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8D2FCE5" w14:textId="77777777" w:rsidTr="00B20551">
        <w:trPr>
          <w:cantSplit/>
          <w:trHeight w:hRule="exact" w:val="851"/>
        </w:trPr>
        <w:tc>
          <w:tcPr>
            <w:tcW w:w="1276" w:type="dxa"/>
            <w:tcBorders>
              <w:bottom w:val="single" w:sz="4" w:space="0" w:color="auto"/>
            </w:tcBorders>
            <w:vAlign w:val="bottom"/>
          </w:tcPr>
          <w:p w14:paraId="097199CF"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6264C2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453A1B" w14:textId="77777777" w:rsidR="009E6CB7" w:rsidRPr="00D47EEA" w:rsidRDefault="00DA2780" w:rsidP="00330647">
            <w:pPr>
              <w:jc w:val="right"/>
            </w:pPr>
            <w:r w:rsidRPr="00DA2780">
              <w:rPr>
                <w:sz w:val="40"/>
              </w:rPr>
              <w:t>ECE</w:t>
            </w:r>
            <w:r w:rsidRPr="005109FD">
              <w:t>/TRANS/SC.1/412</w:t>
            </w:r>
          </w:p>
        </w:tc>
      </w:tr>
      <w:tr w:rsidR="009E6CB7" w14:paraId="1CF400A5" w14:textId="77777777" w:rsidTr="00B20551">
        <w:trPr>
          <w:cantSplit/>
          <w:trHeight w:hRule="exact" w:val="2835"/>
        </w:trPr>
        <w:tc>
          <w:tcPr>
            <w:tcW w:w="1276" w:type="dxa"/>
            <w:tcBorders>
              <w:top w:val="single" w:sz="4" w:space="0" w:color="auto"/>
              <w:bottom w:val="single" w:sz="12" w:space="0" w:color="auto"/>
            </w:tcBorders>
          </w:tcPr>
          <w:p w14:paraId="213CA3ED" w14:textId="77777777" w:rsidR="009E6CB7" w:rsidRDefault="00686A48" w:rsidP="00B20551">
            <w:pPr>
              <w:spacing w:before="120"/>
            </w:pPr>
            <w:r>
              <w:rPr>
                <w:noProof/>
                <w:lang w:val="fr-CH" w:eastAsia="fr-CH"/>
              </w:rPr>
              <w:drawing>
                <wp:inline distT="0" distB="0" distL="0" distR="0" wp14:anchorId="1F66CA1F" wp14:editId="4564CC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69808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75B00A" w14:textId="77777777" w:rsidR="009E6CB7" w:rsidRDefault="00330647" w:rsidP="00330647">
            <w:pPr>
              <w:spacing w:before="240" w:line="240" w:lineRule="exact"/>
            </w:pPr>
            <w:r>
              <w:t>Distr.: General</w:t>
            </w:r>
          </w:p>
          <w:p w14:paraId="5DEF2B0D" w14:textId="77777777" w:rsidR="00330647" w:rsidRDefault="00767902" w:rsidP="00330647">
            <w:pPr>
              <w:spacing w:line="240" w:lineRule="exact"/>
            </w:pPr>
            <w:r>
              <w:t>8</w:t>
            </w:r>
            <w:r w:rsidR="00B26A77">
              <w:t xml:space="preserve"> November</w:t>
            </w:r>
            <w:r w:rsidR="00330647">
              <w:t xml:space="preserve"> 2019</w:t>
            </w:r>
          </w:p>
          <w:p w14:paraId="3B536D23" w14:textId="77777777" w:rsidR="00330647" w:rsidRDefault="00330647" w:rsidP="00330647">
            <w:pPr>
              <w:spacing w:line="240" w:lineRule="exact"/>
            </w:pPr>
          </w:p>
          <w:p w14:paraId="0A8EA246" w14:textId="77777777" w:rsidR="00330647" w:rsidRDefault="00330647" w:rsidP="00330647">
            <w:pPr>
              <w:spacing w:line="240" w:lineRule="exact"/>
            </w:pPr>
            <w:r>
              <w:t>Original: English</w:t>
            </w:r>
          </w:p>
        </w:tc>
      </w:tr>
    </w:tbl>
    <w:p w14:paraId="57C969AB" w14:textId="77777777" w:rsidR="00C02478" w:rsidRDefault="00C02478" w:rsidP="00AD41B1">
      <w:pPr>
        <w:spacing w:before="120"/>
        <w:rPr>
          <w:b/>
          <w:sz w:val="28"/>
          <w:szCs w:val="28"/>
        </w:rPr>
      </w:pPr>
      <w:r w:rsidRPr="00832334">
        <w:rPr>
          <w:b/>
          <w:sz w:val="28"/>
          <w:szCs w:val="28"/>
        </w:rPr>
        <w:t>Economic Commission for Europe</w:t>
      </w:r>
    </w:p>
    <w:p w14:paraId="64E7BA02" w14:textId="77777777" w:rsidR="00C02478" w:rsidRPr="008F31D2" w:rsidRDefault="00C02478" w:rsidP="00AD41B1">
      <w:pPr>
        <w:spacing w:before="120"/>
        <w:rPr>
          <w:sz w:val="28"/>
          <w:szCs w:val="28"/>
        </w:rPr>
      </w:pPr>
      <w:r>
        <w:rPr>
          <w:sz w:val="28"/>
          <w:szCs w:val="28"/>
        </w:rPr>
        <w:t>Inland Transport Committee</w:t>
      </w:r>
    </w:p>
    <w:p w14:paraId="28D7C65B" w14:textId="77777777" w:rsidR="00C02478" w:rsidRDefault="00C02478" w:rsidP="00AD41B1">
      <w:pPr>
        <w:spacing w:before="120"/>
        <w:rPr>
          <w:b/>
          <w:sz w:val="24"/>
          <w:szCs w:val="24"/>
        </w:rPr>
      </w:pPr>
      <w:r>
        <w:rPr>
          <w:b/>
          <w:sz w:val="24"/>
          <w:szCs w:val="24"/>
        </w:rPr>
        <w:t>Working Party on Road Transport</w:t>
      </w:r>
    </w:p>
    <w:p w14:paraId="78E14C8C" w14:textId="77777777" w:rsidR="00C02478" w:rsidRPr="00137836" w:rsidRDefault="00C02478" w:rsidP="00C02478">
      <w:pPr>
        <w:spacing w:before="120"/>
        <w:rPr>
          <w:b/>
        </w:rPr>
      </w:pPr>
      <w:r w:rsidRPr="00137836">
        <w:rPr>
          <w:b/>
        </w:rPr>
        <w:t>114th session</w:t>
      </w:r>
    </w:p>
    <w:p w14:paraId="76429F9A" w14:textId="77777777" w:rsidR="00C02478" w:rsidRPr="00137836" w:rsidRDefault="00C02478" w:rsidP="00C02478">
      <w:r w:rsidRPr="00137836">
        <w:t>Geneva, 16</w:t>
      </w:r>
      <w:r w:rsidR="00E1300C" w:rsidRPr="00137836">
        <w:t>–</w:t>
      </w:r>
      <w:r w:rsidRPr="00137836">
        <w:t>18 October 2019</w:t>
      </w:r>
    </w:p>
    <w:p w14:paraId="74F1C3D0" w14:textId="77777777" w:rsidR="00C02478" w:rsidRDefault="00C02478" w:rsidP="00C02478">
      <w:pPr>
        <w:pStyle w:val="HChG"/>
      </w:pPr>
      <w:r>
        <w:tab/>
      </w:r>
      <w:r>
        <w:tab/>
      </w:r>
      <w:r w:rsidRPr="00F864A1">
        <w:t>Report of the Working Party on Road Transport on its</w:t>
      </w:r>
      <w:r>
        <w:t xml:space="preserve"> 114th </w:t>
      </w:r>
      <w:r>
        <w:rPr>
          <w:vertAlign w:val="superscript"/>
        </w:rPr>
        <w:t xml:space="preserve"> </w:t>
      </w:r>
      <w:r>
        <w:t xml:space="preserve">session </w:t>
      </w:r>
    </w:p>
    <w:p w14:paraId="79F1FFEA" w14:textId="77777777" w:rsidR="00844C91" w:rsidRPr="005109FD" w:rsidRDefault="00844C91" w:rsidP="006E5E26">
      <w:pPr>
        <w:spacing w:after="120"/>
        <w:rPr>
          <w:sz w:val="28"/>
          <w:lang w:val="fr-CH"/>
        </w:rPr>
      </w:pPr>
      <w:r w:rsidRPr="005109FD">
        <w:rPr>
          <w:sz w:val="28"/>
          <w:lang w:val="fr-CH"/>
        </w:rPr>
        <w:t>Contents</w:t>
      </w:r>
    </w:p>
    <w:p w14:paraId="53F3AFDD" w14:textId="77777777" w:rsidR="00844C91" w:rsidRPr="005109FD" w:rsidRDefault="00844C91" w:rsidP="006E5E26">
      <w:pPr>
        <w:tabs>
          <w:tab w:val="right" w:pos="8929"/>
          <w:tab w:val="right" w:pos="9638"/>
        </w:tabs>
        <w:spacing w:after="120"/>
        <w:ind w:left="283"/>
        <w:rPr>
          <w:lang w:val="fr-CH"/>
        </w:rPr>
      </w:pPr>
      <w:r w:rsidRPr="005109FD">
        <w:rPr>
          <w:i/>
          <w:sz w:val="18"/>
          <w:lang w:val="fr-CH"/>
        </w:rPr>
        <w:tab/>
      </w:r>
      <w:proofErr w:type="spellStart"/>
      <w:r w:rsidRPr="005109FD">
        <w:rPr>
          <w:i/>
          <w:sz w:val="18"/>
          <w:lang w:val="fr-CH"/>
        </w:rPr>
        <w:t>Paragraphs</w:t>
      </w:r>
      <w:proofErr w:type="spellEnd"/>
      <w:r w:rsidRPr="005109FD">
        <w:rPr>
          <w:i/>
          <w:sz w:val="18"/>
          <w:lang w:val="fr-CH"/>
        </w:rPr>
        <w:tab/>
        <w:t>Page</w:t>
      </w:r>
    </w:p>
    <w:p w14:paraId="46AE94DD" w14:textId="77777777" w:rsidR="00844C91" w:rsidRPr="005109FD" w:rsidRDefault="00844C91" w:rsidP="006E5E26">
      <w:pPr>
        <w:tabs>
          <w:tab w:val="right" w:pos="850"/>
          <w:tab w:val="left" w:pos="1134"/>
          <w:tab w:val="left" w:pos="1559"/>
          <w:tab w:val="left" w:pos="1984"/>
          <w:tab w:val="left" w:leader="dot" w:pos="7654"/>
          <w:tab w:val="right" w:pos="8929"/>
          <w:tab w:val="right" w:pos="9638"/>
        </w:tabs>
        <w:spacing w:after="120"/>
        <w:rPr>
          <w:lang w:val="fr-CH"/>
        </w:rPr>
      </w:pPr>
      <w:r w:rsidRPr="005109FD">
        <w:rPr>
          <w:lang w:val="fr-CH"/>
        </w:rPr>
        <w:tab/>
        <w:t>I.</w:t>
      </w:r>
      <w:r w:rsidRPr="005109FD">
        <w:rPr>
          <w:lang w:val="fr-CH"/>
        </w:rPr>
        <w:tab/>
        <w:t>Attendance</w:t>
      </w:r>
      <w:r w:rsidRPr="005109FD">
        <w:rPr>
          <w:lang w:val="fr-CH"/>
        </w:rPr>
        <w:tab/>
      </w:r>
      <w:r w:rsidRPr="005109FD">
        <w:rPr>
          <w:lang w:val="fr-CH"/>
        </w:rPr>
        <w:tab/>
      </w:r>
      <w:r w:rsidR="00F47A55" w:rsidRPr="005109FD">
        <w:rPr>
          <w:lang w:val="fr-CH"/>
        </w:rPr>
        <w:t>1</w:t>
      </w:r>
      <w:r w:rsidR="00A84356" w:rsidRPr="005109FD">
        <w:rPr>
          <w:lang w:val="fr-CH"/>
        </w:rPr>
        <w:t>–</w:t>
      </w:r>
      <w:r w:rsidR="00F47A55" w:rsidRPr="005109FD">
        <w:rPr>
          <w:lang w:val="fr-CH"/>
        </w:rPr>
        <w:t>3</w:t>
      </w:r>
      <w:r w:rsidRPr="005109FD">
        <w:rPr>
          <w:lang w:val="fr-CH"/>
        </w:rPr>
        <w:tab/>
      </w:r>
      <w:r w:rsidR="00F47A55" w:rsidRPr="005109FD">
        <w:rPr>
          <w:lang w:val="fr-CH"/>
        </w:rPr>
        <w:t>3</w:t>
      </w:r>
    </w:p>
    <w:p w14:paraId="3291CB7C" w14:textId="77777777" w:rsidR="00844C91" w:rsidRDefault="00844C91" w:rsidP="006E5E26">
      <w:pPr>
        <w:tabs>
          <w:tab w:val="right" w:pos="850"/>
          <w:tab w:val="left" w:pos="1134"/>
          <w:tab w:val="left" w:pos="1559"/>
          <w:tab w:val="left" w:pos="1984"/>
          <w:tab w:val="left" w:leader="dot" w:pos="7654"/>
          <w:tab w:val="right" w:pos="8929"/>
          <w:tab w:val="right" w:pos="9638"/>
        </w:tabs>
        <w:spacing w:after="120"/>
      </w:pPr>
      <w:r w:rsidRPr="005109FD">
        <w:rPr>
          <w:lang w:val="fr-CH"/>
        </w:rPr>
        <w:tab/>
      </w:r>
      <w:r>
        <w:t>II.</w:t>
      </w:r>
      <w:r>
        <w:tab/>
      </w:r>
      <w:r w:rsidRPr="00263FB3">
        <w:t>Adoption of the agenda</w:t>
      </w:r>
      <w:r>
        <w:t xml:space="preserve"> (agenda item 1)</w:t>
      </w:r>
      <w:r>
        <w:tab/>
      </w:r>
      <w:r>
        <w:tab/>
      </w:r>
      <w:r w:rsidR="00086BEA">
        <w:t>4</w:t>
      </w:r>
      <w:r>
        <w:tab/>
      </w:r>
      <w:r w:rsidR="00086BEA">
        <w:t>3</w:t>
      </w:r>
    </w:p>
    <w:p w14:paraId="1E382ECA" w14:textId="77777777" w:rsidR="00844C91" w:rsidRDefault="00844C91" w:rsidP="006E5E26">
      <w:pPr>
        <w:tabs>
          <w:tab w:val="right" w:pos="850"/>
          <w:tab w:val="left" w:pos="1134"/>
          <w:tab w:val="left" w:pos="1559"/>
          <w:tab w:val="left" w:pos="1984"/>
          <w:tab w:val="left" w:leader="dot" w:pos="7654"/>
          <w:tab w:val="right" w:pos="8929"/>
          <w:tab w:val="right" w:pos="9638"/>
        </w:tabs>
        <w:spacing w:after="120"/>
      </w:pPr>
      <w:r>
        <w:tab/>
        <w:t>III.</w:t>
      </w:r>
      <w:r>
        <w:tab/>
      </w:r>
      <w:r w:rsidRPr="002B4560">
        <w:rPr>
          <w:rFonts w:asciiTheme="majorBidi" w:hAnsiTheme="majorBidi" w:cstheme="majorBidi"/>
        </w:rPr>
        <w:t>Activities of interest to the Working Party</w:t>
      </w:r>
      <w:r>
        <w:rPr>
          <w:rFonts w:asciiTheme="majorBidi" w:hAnsiTheme="majorBidi" w:cstheme="majorBidi"/>
        </w:rPr>
        <w:t xml:space="preserve"> (agenda item 2)</w:t>
      </w:r>
      <w:r>
        <w:rPr>
          <w:rFonts w:asciiTheme="majorBidi" w:hAnsiTheme="majorBidi" w:cstheme="majorBidi"/>
        </w:rPr>
        <w:tab/>
      </w:r>
      <w:r>
        <w:rPr>
          <w:rFonts w:asciiTheme="majorBidi" w:hAnsiTheme="majorBidi" w:cstheme="majorBidi"/>
        </w:rPr>
        <w:tab/>
      </w:r>
      <w:r w:rsidR="00086BEA">
        <w:rPr>
          <w:rFonts w:asciiTheme="majorBidi" w:hAnsiTheme="majorBidi" w:cstheme="majorBidi"/>
        </w:rPr>
        <w:t>5</w:t>
      </w:r>
      <w:r w:rsidR="00086BEA">
        <w:t>–14</w:t>
      </w:r>
      <w:r>
        <w:rPr>
          <w:rFonts w:asciiTheme="majorBidi" w:hAnsiTheme="majorBidi" w:cstheme="majorBidi"/>
        </w:rPr>
        <w:tab/>
      </w:r>
      <w:r w:rsidR="00086BEA">
        <w:rPr>
          <w:rFonts w:asciiTheme="majorBidi" w:hAnsiTheme="majorBidi" w:cstheme="majorBidi"/>
        </w:rPr>
        <w:t>3</w:t>
      </w:r>
    </w:p>
    <w:p w14:paraId="6C67AD95" w14:textId="77777777" w:rsidR="00844C91" w:rsidRDefault="00844C91" w:rsidP="006E5E26">
      <w:pPr>
        <w:tabs>
          <w:tab w:val="right" w:pos="850"/>
          <w:tab w:val="left" w:pos="1134"/>
          <w:tab w:val="left" w:pos="1559"/>
          <w:tab w:val="left" w:pos="1984"/>
          <w:tab w:val="left" w:leader="dot" w:pos="7654"/>
          <w:tab w:val="right" w:pos="8929"/>
          <w:tab w:val="right" w:pos="9638"/>
        </w:tabs>
        <w:spacing w:after="120"/>
      </w:pPr>
      <w:r>
        <w:tab/>
      </w:r>
      <w:r>
        <w:tab/>
        <w:t>A.</w:t>
      </w:r>
      <w:r>
        <w:tab/>
      </w:r>
      <w:r w:rsidRPr="00263FB3">
        <w:t>National delegations</w:t>
      </w:r>
      <w:r>
        <w:tab/>
      </w:r>
      <w:r>
        <w:tab/>
      </w:r>
      <w:r w:rsidR="00086BEA">
        <w:t>5</w:t>
      </w:r>
      <w:r>
        <w:tab/>
      </w:r>
      <w:r w:rsidR="00086BEA">
        <w:t>3</w:t>
      </w:r>
    </w:p>
    <w:p w14:paraId="607B21CA" w14:textId="77777777" w:rsidR="00844C91" w:rsidRDefault="00844C91" w:rsidP="006E5E26">
      <w:pPr>
        <w:tabs>
          <w:tab w:val="right" w:pos="850"/>
          <w:tab w:val="left" w:pos="1134"/>
          <w:tab w:val="left" w:pos="1559"/>
          <w:tab w:val="left" w:pos="1984"/>
          <w:tab w:val="left" w:leader="dot" w:pos="7654"/>
          <w:tab w:val="right" w:pos="8929"/>
          <w:tab w:val="right" w:pos="9638"/>
        </w:tabs>
        <w:spacing w:after="120"/>
      </w:pPr>
      <w:r>
        <w:tab/>
      </w:r>
      <w:r>
        <w:tab/>
        <w:t>B.</w:t>
      </w:r>
      <w:r>
        <w:tab/>
      </w:r>
      <w:r w:rsidRPr="00263FB3">
        <w:t>International organizations</w:t>
      </w:r>
      <w:r>
        <w:tab/>
      </w:r>
      <w:r>
        <w:tab/>
      </w:r>
      <w:r w:rsidR="00086BEA">
        <w:t>6</w:t>
      </w:r>
      <w:r>
        <w:tab/>
      </w:r>
      <w:r w:rsidR="00086BEA">
        <w:t>3</w:t>
      </w:r>
    </w:p>
    <w:p w14:paraId="6ECC3B8A" w14:textId="77777777" w:rsidR="00844C91" w:rsidRDefault="00844C91" w:rsidP="006E5E26">
      <w:pPr>
        <w:tabs>
          <w:tab w:val="right" w:pos="850"/>
          <w:tab w:val="left" w:pos="1134"/>
          <w:tab w:val="left" w:pos="1559"/>
          <w:tab w:val="left" w:pos="1984"/>
          <w:tab w:val="left" w:leader="dot" w:pos="7654"/>
          <w:tab w:val="right" w:pos="8929"/>
          <w:tab w:val="right" w:pos="9638"/>
        </w:tabs>
        <w:spacing w:after="120"/>
      </w:pPr>
      <w:r>
        <w:tab/>
      </w:r>
      <w:r>
        <w:tab/>
        <w:t>C.</w:t>
      </w:r>
      <w:r>
        <w:tab/>
      </w:r>
      <w:r w:rsidRPr="005173E1">
        <w:t>Activities of ECE bodies and other United Nations organizations</w:t>
      </w:r>
      <w:r>
        <w:tab/>
      </w:r>
      <w:r>
        <w:tab/>
      </w:r>
      <w:r w:rsidR="00086BEA">
        <w:t>7–</w:t>
      </w:r>
      <w:r>
        <w:t>1</w:t>
      </w:r>
      <w:r w:rsidR="00086BEA">
        <w:t>1</w:t>
      </w:r>
      <w:r>
        <w:tab/>
      </w:r>
      <w:r w:rsidR="00686B8F">
        <w:t>3</w:t>
      </w:r>
    </w:p>
    <w:p w14:paraId="2C151252" w14:textId="77777777" w:rsidR="00844C91" w:rsidRDefault="00844C91" w:rsidP="006E5E26">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tab/>
      </w:r>
      <w:r>
        <w:tab/>
        <w:t>D.</w:t>
      </w:r>
      <w:r>
        <w:tab/>
      </w:r>
      <w:r w:rsidRPr="00557D90">
        <w:rPr>
          <w:rFonts w:asciiTheme="majorBidi" w:hAnsiTheme="majorBidi" w:cstheme="majorBidi"/>
        </w:rPr>
        <w:t>Digital/smart road infrastructure</w:t>
      </w:r>
      <w:r>
        <w:rPr>
          <w:rFonts w:asciiTheme="majorBidi" w:hAnsiTheme="majorBidi" w:cstheme="majorBidi"/>
        </w:rPr>
        <w:tab/>
      </w:r>
      <w:r>
        <w:rPr>
          <w:rFonts w:asciiTheme="majorBidi" w:hAnsiTheme="majorBidi" w:cstheme="majorBidi"/>
        </w:rPr>
        <w:tab/>
      </w:r>
      <w:r w:rsidR="00086BEA">
        <w:rPr>
          <w:rFonts w:asciiTheme="majorBidi" w:hAnsiTheme="majorBidi" w:cstheme="majorBidi"/>
        </w:rPr>
        <w:t>12</w:t>
      </w:r>
      <w:r w:rsidR="00086BEA">
        <w:t>–14</w:t>
      </w:r>
      <w:r>
        <w:rPr>
          <w:rFonts w:asciiTheme="majorBidi" w:hAnsiTheme="majorBidi" w:cstheme="majorBidi"/>
        </w:rPr>
        <w:tab/>
      </w:r>
      <w:r w:rsidR="00086BEA">
        <w:rPr>
          <w:rFonts w:asciiTheme="majorBidi" w:hAnsiTheme="majorBidi" w:cstheme="majorBidi"/>
        </w:rPr>
        <w:t>4</w:t>
      </w:r>
    </w:p>
    <w:p w14:paraId="3F6CB0ED" w14:textId="77777777" w:rsidR="00844C91" w:rsidRDefault="00844C91" w:rsidP="003D3860">
      <w:pPr>
        <w:tabs>
          <w:tab w:val="right" w:pos="850"/>
          <w:tab w:val="left" w:pos="1134"/>
          <w:tab w:val="left" w:pos="1559"/>
          <w:tab w:val="left" w:pos="1984"/>
          <w:tab w:val="left" w:leader="dot" w:pos="7654"/>
          <w:tab w:val="right" w:pos="8929"/>
          <w:tab w:val="right" w:pos="9638"/>
        </w:tabs>
        <w:rPr>
          <w:rFonts w:asciiTheme="majorBidi" w:hAnsiTheme="majorBidi" w:cstheme="majorBidi"/>
        </w:rPr>
      </w:pPr>
      <w:r>
        <w:rPr>
          <w:rFonts w:asciiTheme="majorBidi" w:hAnsiTheme="majorBidi" w:cstheme="majorBidi"/>
        </w:rPr>
        <w:tab/>
        <w:t>IV.</w:t>
      </w:r>
      <w:r>
        <w:rPr>
          <w:rFonts w:asciiTheme="majorBidi" w:hAnsiTheme="majorBidi" w:cstheme="majorBidi"/>
        </w:rPr>
        <w:tab/>
      </w:r>
      <w:r w:rsidRPr="002B4560">
        <w:rPr>
          <w:rFonts w:asciiTheme="majorBidi" w:hAnsiTheme="majorBidi" w:cstheme="majorBidi"/>
        </w:rPr>
        <w:t xml:space="preserve">European Agreement concerning the Work of Crews of Vehicles </w:t>
      </w:r>
      <w:r>
        <w:rPr>
          <w:rFonts w:asciiTheme="majorBidi" w:hAnsiTheme="majorBidi" w:cstheme="majorBidi"/>
        </w:rPr>
        <w:t>Engaged in</w:t>
      </w:r>
    </w:p>
    <w:p w14:paraId="47CC4578" w14:textId="77777777" w:rsidR="00844C91" w:rsidRDefault="003D3860" w:rsidP="003D386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r>
      <w:r w:rsidRPr="002B4560">
        <w:rPr>
          <w:rFonts w:asciiTheme="majorBidi" w:hAnsiTheme="majorBidi" w:cstheme="majorBidi"/>
        </w:rPr>
        <w:t>International Road Transport (AETR)</w:t>
      </w:r>
      <w:r>
        <w:rPr>
          <w:rFonts w:asciiTheme="majorBidi" w:hAnsiTheme="majorBidi" w:cstheme="majorBidi"/>
        </w:rPr>
        <w:t xml:space="preserve"> (agenda item 3)</w:t>
      </w:r>
      <w:r>
        <w:rPr>
          <w:rFonts w:asciiTheme="majorBidi" w:hAnsiTheme="majorBidi" w:cstheme="majorBidi"/>
        </w:rPr>
        <w:tab/>
      </w:r>
      <w:r>
        <w:rPr>
          <w:rFonts w:asciiTheme="majorBidi" w:hAnsiTheme="majorBidi" w:cstheme="majorBidi"/>
        </w:rPr>
        <w:tab/>
      </w:r>
      <w:r w:rsidR="00086BEA">
        <w:rPr>
          <w:rFonts w:asciiTheme="majorBidi" w:hAnsiTheme="majorBidi" w:cstheme="majorBidi"/>
        </w:rPr>
        <w:t>15</w:t>
      </w:r>
      <w:r w:rsidR="00086BEA">
        <w:t>–2</w:t>
      </w:r>
      <w:r w:rsidR="00BF6202">
        <w:t>0</w:t>
      </w:r>
      <w:r>
        <w:rPr>
          <w:rFonts w:asciiTheme="majorBidi" w:hAnsiTheme="majorBidi" w:cstheme="majorBidi"/>
        </w:rPr>
        <w:tab/>
      </w:r>
      <w:r w:rsidR="00086BEA">
        <w:rPr>
          <w:rFonts w:asciiTheme="majorBidi" w:hAnsiTheme="majorBidi" w:cstheme="majorBidi"/>
        </w:rPr>
        <w:t>4</w:t>
      </w:r>
    </w:p>
    <w:p w14:paraId="0291F07A" w14:textId="77777777" w:rsidR="003D3860" w:rsidRDefault="003D3860" w:rsidP="003D386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A.</w:t>
      </w:r>
      <w:r>
        <w:rPr>
          <w:rFonts w:asciiTheme="majorBidi" w:hAnsiTheme="majorBidi" w:cstheme="majorBidi"/>
        </w:rPr>
        <w:tab/>
      </w:r>
      <w:r w:rsidRPr="002B4560">
        <w:rPr>
          <w:rFonts w:asciiTheme="majorBidi" w:hAnsiTheme="majorBidi" w:cstheme="majorBidi"/>
        </w:rPr>
        <w:t>Status of the Agreement</w:t>
      </w:r>
      <w:r>
        <w:rPr>
          <w:rFonts w:asciiTheme="majorBidi" w:hAnsiTheme="majorBidi" w:cstheme="majorBidi"/>
        </w:rPr>
        <w:tab/>
      </w:r>
      <w:r>
        <w:rPr>
          <w:rFonts w:asciiTheme="majorBidi" w:hAnsiTheme="majorBidi" w:cstheme="majorBidi"/>
        </w:rPr>
        <w:tab/>
      </w:r>
      <w:r w:rsidR="00086BEA">
        <w:rPr>
          <w:rFonts w:asciiTheme="majorBidi" w:hAnsiTheme="majorBidi" w:cstheme="majorBidi"/>
        </w:rPr>
        <w:t>15</w:t>
      </w:r>
      <w:r w:rsidR="00086BEA">
        <w:t>–1</w:t>
      </w:r>
      <w:r w:rsidR="004A067C">
        <w:t>7</w:t>
      </w:r>
      <w:r>
        <w:rPr>
          <w:rFonts w:asciiTheme="majorBidi" w:hAnsiTheme="majorBidi" w:cstheme="majorBidi"/>
        </w:rPr>
        <w:tab/>
      </w:r>
      <w:r w:rsidR="00086BEA">
        <w:rPr>
          <w:rFonts w:asciiTheme="majorBidi" w:hAnsiTheme="majorBidi" w:cstheme="majorBidi"/>
        </w:rPr>
        <w:t>4</w:t>
      </w:r>
    </w:p>
    <w:p w14:paraId="33C330AB" w14:textId="77777777" w:rsidR="003D3860" w:rsidRDefault="003D3860" w:rsidP="003D386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B.</w:t>
      </w:r>
      <w:r>
        <w:rPr>
          <w:rFonts w:asciiTheme="majorBidi" w:hAnsiTheme="majorBidi" w:cstheme="majorBidi"/>
        </w:rPr>
        <w:tab/>
      </w:r>
      <w:r w:rsidRPr="002B4560">
        <w:rPr>
          <w:rFonts w:asciiTheme="majorBidi" w:hAnsiTheme="majorBidi" w:cstheme="majorBidi"/>
        </w:rPr>
        <w:t>AETR Group of Experts</w:t>
      </w:r>
      <w:r>
        <w:rPr>
          <w:rFonts w:asciiTheme="majorBidi" w:hAnsiTheme="majorBidi" w:cstheme="majorBidi"/>
        </w:rPr>
        <w:tab/>
      </w:r>
      <w:r>
        <w:rPr>
          <w:rFonts w:asciiTheme="majorBidi" w:hAnsiTheme="majorBidi" w:cstheme="majorBidi"/>
        </w:rPr>
        <w:tab/>
      </w:r>
      <w:r w:rsidR="00086BEA">
        <w:rPr>
          <w:rFonts w:asciiTheme="majorBidi" w:hAnsiTheme="majorBidi" w:cstheme="majorBidi"/>
        </w:rPr>
        <w:t>1</w:t>
      </w:r>
      <w:r w:rsidR="004A067C">
        <w:rPr>
          <w:rFonts w:asciiTheme="majorBidi" w:hAnsiTheme="majorBidi" w:cstheme="majorBidi"/>
        </w:rPr>
        <w:t>8</w:t>
      </w:r>
      <w:r w:rsidR="00086BEA">
        <w:t>–2</w:t>
      </w:r>
      <w:r w:rsidR="004A067C">
        <w:t>0</w:t>
      </w:r>
      <w:r>
        <w:rPr>
          <w:rFonts w:asciiTheme="majorBidi" w:hAnsiTheme="majorBidi" w:cstheme="majorBidi"/>
        </w:rPr>
        <w:tab/>
      </w:r>
      <w:r w:rsidR="00086BEA">
        <w:rPr>
          <w:rFonts w:asciiTheme="majorBidi" w:hAnsiTheme="majorBidi" w:cstheme="majorBidi"/>
        </w:rPr>
        <w:t>5</w:t>
      </w:r>
    </w:p>
    <w:p w14:paraId="622EDA60" w14:textId="77777777" w:rsidR="003D3860" w:rsidRDefault="003D3860" w:rsidP="003D386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t>V.</w:t>
      </w:r>
      <w:r>
        <w:rPr>
          <w:rFonts w:asciiTheme="majorBidi" w:hAnsiTheme="majorBidi" w:cstheme="majorBidi"/>
        </w:rPr>
        <w:tab/>
      </w:r>
      <w:r w:rsidR="00C20B29" w:rsidRPr="002B4560">
        <w:rPr>
          <w:rFonts w:asciiTheme="majorBidi" w:hAnsiTheme="majorBidi" w:cstheme="majorBidi"/>
        </w:rPr>
        <w:t>European Agreement on Main International Traffic Arteries (AGR)</w:t>
      </w:r>
      <w:r w:rsidR="00C20B29">
        <w:rPr>
          <w:rFonts w:asciiTheme="majorBidi" w:hAnsiTheme="majorBidi" w:cstheme="majorBidi"/>
        </w:rPr>
        <w:t xml:space="preserve"> (agenda item 4)</w:t>
      </w:r>
      <w:r w:rsidR="00C20B29">
        <w:rPr>
          <w:rFonts w:asciiTheme="majorBidi" w:hAnsiTheme="majorBidi" w:cstheme="majorBidi"/>
        </w:rPr>
        <w:tab/>
      </w:r>
      <w:r w:rsidR="005919D3">
        <w:rPr>
          <w:rFonts w:asciiTheme="majorBidi" w:hAnsiTheme="majorBidi" w:cstheme="majorBidi"/>
        </w:rPr>
        <w:t>2</w:t>
      </w:r>
      <w:r w:rsidR="005D7169">
        <w:rPr>
          <w:rFonts w:asciiTheme="majorBidi" w:hAnsiTheme="majorBidi" w:cstheme="majorBidi"/>
        </w:rPr>
        <w:t>1</w:t>
      </w:r>
      <w:r w:rsidR="005919D3">
        <w:t>–2</w:t>
      </w:r>
      <w:r w:rsidR="005D7169">
        <w:t>5</w:t>
      </w:r>
      <w:r w:rsidR="00C20B29">
        <w:rPr>
          <w:rFonts w:asciiTheme="majorBidi" w:hAnsiTheme="majorBidi" w:cstheme="majorBidi"/>
        </w:rPr>
        <w:tab/>
      </w:r>
      <w:r w:rsidR="005919D3">
        <w:rPr>
          <w:rFonts w:asciiTheme="majorBidi" w:hAnsiTheme="majorBidi" w:cstheme="majorBidi"/>
        </w:rPr>
        <w:t>5</w:t>
      </w:r>
    </w:p>
    <w:p w14:paraId="3A7C85F1" w14:textId="77777777" w:rsidR="00C20B29" w:rsidRDefault="00C20B29" w:rsidP="003D386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A.</w:t>
      </w:r>
      <w:r>
        <w:rPr>
          <w:rFonts w:asciiTheme="majorBidi" w:hAnsiTheme="majorBidi" w:cstheme="majorBidi"/>
        </w:rPr>
        <w:tab/>
        <w:t>Status of the Agreement</w:t>
      </w:r>
      <w:r>
        <w:rPr>
          <w:rFonts w:asciiTheme="majorBidi" w:hAnsiTheme="majorBidi" w:cstheme="majorBidi"/>
        </w:rPr>
        <w:tab/>
      </w:r>
      <w:r>
        <w:rPr>
          <w:rFonts w:asciiTheme="majorBidi" w:hAnsiTheme="majorBidi" w:cstheme="majorBidi"/>
        </w:rPr>
        <w:tab/>
      </w:r>
      <w:r w:rsidR="005919D3">
        <w:rPr>
          <w:rFonts w:asciiTheme="majorBidi" w:hAnsiTheme="majorBidi" w:cstheme="majorBidi"/>
        </w:rPr>
        <w:t>2</w:t>
      </w:r>
      <w:r w:rsidR="005D7169">
        <w:rPr>
          <w:rFonts w:asciiTheme="majorBidi" w:hAnsiTheme="majorBidi" w:cstheme="majorBidi"/>
        </w:rPr>
        <w:t>1</w:t>
      </w:r>
      <w:r>
        <w:rPr>
          <w:rFonts w:asciiTheme="majorBidi" w:hAnsiTheme="majorBidi" w:cstheme="majorBidi"/>
        </w:rPr>
        <w:tab/>
      </w:r>
      <w:r w:rsidR="005919D3">
        <w:rPr>
          <w:rFonts w:asciiTheme="majorBidi" w:hAnsiTheme="majorBidi" w:cstheme="majorBidi"/>
        </w:rPr>
        <w:t>5</w:t>
      </w:r>
    </w:p>
    <w:p w14:paraId="562B4C0F" w14:textId="77777777" w:rsidR="00C20B29" w:rsidRDefault="00C20B29" w:rsidP="003D386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B.</w:t>
      </w:r>
      <w:r>
        <w:rPr>
          <w:rFonts w:asciiTheme="majorBidi" w:hAnsiTheme="majorBidi" w:cstheme="majorBidi"/>
        </w:rPr>
        <w:tab/>
        <w:t>Amendments to the Agreement</w:t>
      </w:r>
      <w:r>
        <w:rPr>
          <w:rFonts w:asciiTheme="majorBidi" w:hAnsiTheme="majorBidi" w:cstheme="majorBidi"/>
        </w:rPr>
        <w:tab/>
      </w:r>
      <w:r>
        <w:rPr>
          <w:rFonts w:asciiTheme="majorBidi" w:hAnsiTheme="majorBidi" w:cstheme="majorBidi"/>
        </w:rPr>
        <w:tab/>
      </w:r>
      <w:r w:rsidR="005919D3">
        <w:rPr>
          <w:rFonts w:asciiTheme="majorBidi" w:hAnsiTheme="majorBidi" w:cstheme="majorBidi"/>
        </w:rPr>
        <w:t>2</w:t>
      </w:r>
      <w:r w:rsidR="005D7169">
        <w:rPr>
          <w:rFonts w:asciiTheme="majorBidi" w:hAnsiTheme="majorBidi" w:cstheme="majorBidi"/>
        </w:rPr>
        <w:t>2</w:t>
      </w:r>
      <w:r w:rsidR="005919D3">
        <w:t>–2</w:t>
      </w:r>
      <w:r w:rsidR="005D7169">
        <w:t>5</w:t>
      </w:r>
      <w:r>
        <w:rPr>
          <w:rFonts w:asciiTheme="majorBidi" w:hAnsiTheme="majorBidi" w:cstheme="majorBidi"/>
        </w:rPr>
        <w:tab/>
      </w:r>
      <w:r w:rsidR="007247FC">
        <w:rPr>
          <w:rFonts w:asciiTheme="majorBidi" w:hAnsiTheme="majorBidi" w:cstheme="majorBidi"/>
        </w:rPr>
        <w:t>5</w:t>
      </w:r>
    </w:p>
    <w:p w14:paraId="5611CFA9" w14:textId="77777777" w:rsidR="00C20B29" w:rsidRDefault="00C20B29" w:rsidP="003D386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t>VI.</w:t>
      </w:r>
      <w:r w:rsidR="00CA74AB">
        <w:rPr>
          <w:rFonts w:asciiTheme="majorBidi" w:hAnsiTheme="majorBidi" w:cstheme="majorBidi"/>
        </w:rPr>
        <w:tab/>
      </w:r>
      <w:r w:rsidR="00FB0497" w:rsidRPr="002B4560">
        <w:rPr>
          <w:rFonts w:asciiTheme="majorBidi" w:hAnsiTheme="majorBidi" w:cstheme="majorBidi"/>
        </w:rPr>
        <w:t>Trans-European North-South Motorway (TEM) Project</w:t>
      </w:r>
      <w:r w:rsidR="00FB0497">
        <w:rPr>
          <w:rFonts w:asciiTheme="majorBidi" w:hAnsiTheme="majorBidi" w:cstheme="majorBidi"/>
        </w:rPr>
        <w:t xml:space="preserve"> (agenda item 5)</w:t>
      </w:r>
      <w:r w:rsidR="00FB0497">
        <w:rPr>
          <w:rFonts w:asciiTheme="majorBidi" w:hAnsiTheme="majorBidi" w:cstheme="majorBidi"/>
        </w:rPr>
        <w:tab/>
      </w:r>
      <w:r w:rsidR="00FB0497">
        <w:rPr>
          <w:rFonts w:asciiTheme="majorBidi" w:hAnsiTheme="majorBidi" w:cstheme="majorBidi"/>
        </w:rPr>
        <w:tab/>
      </w:r>
      <w:r w:rsidR="00E0010E">
        <w:rPr>
          <w:rFonts w:asciiTheme="majorBidi" w:hAnsiTheme="majorBidi" w:cstheme="majorBidi"/>
        </w:rPr>
        <w:t>2</w:t>
      </w:r>
      <w:r w:rsidR="005D7169">
        <w:rPr>
          <w:rFonts w:asciiTheme="majorBidi" w:hAnsiTheme="majorBidi" w:cstheme="majorBidi"/>
        </w:rPr>
        <w:t>6</w:t>
      </w:r>
      <w:r w:rsidR="00E0010E">
        <w:t>–2</w:t>
      </w:r>
      <w:r w:rsidR="005D7169">
        <w:t>8</w:t>
      </w:r>
      <w:r w:rsidR="00FB0497">
        <w:rPr>
          <w:rFonts w:asciiTheme="majorBidi" w:hAnsiTheme="majorBidi" w:cstheme="majorBidi"/>
        </w:rPr>
        <w:tab/>
      </w:r>
      <w:r w:rsidR="00E0010E">
        <w:rPr>
          <w:rFonts w:asciiTheme="majorBidi" w:hAnsiTheme="majorBidi" w:cstheme="majorBidi"/>
        </w:rPr>
        <w:t>6</w:t>
      </w:r>
    </w:p>
    <w:p w14:paraId="04587C09" w14:textId="77777777" w:rsidR="00FB0497" w:rsidRDefault="00FB0497" w:rsidP="00FB0497">
      <w:pPr>
        <w:tabs>
          <w:tab w:val="right" w:pos="850"/>
          <w:tab w:val="left" w:pos="1134"/>
          <w:tab w:val="left" w:pos="1559"/>
          <w:tab w:val="left" w:pos="1984"/>
          <w:tab w:val="left" w:leader="dot" w:pos="7654"/>
          <w:tab w:val="right" w:pos="8929"/>
          <w:tab w:val="right" w:pos="9638"/>
        </w:tabs>
        <w:rPr>
          <w:rFonts w:asciiTheme="majorBidi" w:hAnsiTheme="majorBidi" w:cstheme="majorBidi"/>
        </w:rPr>
      </w:pPr>
      <w:r>
        <w:rPr>
          <w:rFonts w:asciiTheme="majorBidi" w:hAnsiTheme="majorBidi" w:cstheme="majorBidi"/>
        </w:rPr>
        <w:tab/>
        <w:t>VII.</w:t>
      </w:r>
      <w:r>
        <w:rPr>
          <w:rFonts w:asciiTheme="majorBidi" w:hAnsiTheme="majorBidi" w:cstheme="majorBidi"/>
        </w:rPr>
        <w:tab/>
      </w:r>
      <w:r w:rsidRPr="002B4560">
        <w:rPr>
          <w:rFonts w:asciiTheme="majorBidi" w:hAnsiTheme="majorBidi" w:cstheme="majorBidi"/>
        </w:rPr>
        <w:t>Convention on the Contract for the International Carriage of Goods</w:t>
      </w:r>
      <w:r>
        <w:rPr>
          <w:rFonts w:asciiTheme="majorBidi" w:hAnsiTheme="majorBidi" w:cstheme="majorBidi"/>
        </w:rPr>
        <w:t xml:space="preserve"> </w:t>
      </w:r>
    </w:p>
    <w:p w14:paraId="519B1F7D" w14:textId="77777777" w:rsidR="00FB0497" w:rsidRDefault="00FB0497" w:rsidP="00FB0497">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 xml:space="preserve">by Road </w:t>
      </w:r>
      <w:r w:rsidRPr="002B4560">
        <w:rPr>
          <w:rFonts w:asciiTheme="majorBidi" w:hAnsiTheme="majorBidi" w:cstheme="majorBidi"/>
        </w:rPr>
        <w:t>(CMR)</w:t>
      </w:r>
      <w:r>
        <w:rPr>
          <w:rFonts w:asciiTheme="majorBidi" w:hAnsiTheme="majorBidi" w:cstheme="majorBidi"/>
        </w:rPr>
        <w:t xml:space="preserve"> (agenda item 6)</w:t>
      </w:r>
      <w:r>
        <w:rPr>
          <w:rFonts w:asciiTheme="majorBidi" w:hAnsiTheme="majorBidi" w:cstheme="majorBidi"/>
        </w:rPr>
        <w:tab/>
      </w:r>
      <w:r>
        <w:rPr>
          <w:rFonts w:asciiTheme="majorBidi" w:hAnsiTheme="majorBidi" w:cstheme="majorBidi"/>
        </w:rPr>
        <w:tab/>
      </w:r>
      <w:r w:rsidR="005D7169">
        <w:rPr>
          <w:rFonts w:asciiTheme="majorBidi" w:hAnsiTheme="majorBidi" w:cstheme="majorBidi"/>
        </w:rPr>
        <w:t>29</w:t>
      </w:r>
      <w:r w:rsidR="00E0010E">
        <w:t>–3</w:t>
      </w:r>
      <w:r w:rsidR="005D7169">
        <w:t>7</w:t>
      </w:r>
      <w:r>
        <w:rPr>
          <w:rFonts w:asciiTheme="majorBidi" w:hAnsiTheme="majorBidi" w:cstheme="majorBidi"/>
        </w:rPr>
        <w:tab/>
      </w:r>
      <w:r w:rsidR="00E0010E">
        <w:rPr>
          <w:rFonts w:asciiTheme="majorBidi" w:hAnsiTheme="majorBidi" w:cstheme="majorBidi"/>
        </w:rPr>
        <w:t>6</w:t>
      </w:r>
    </w:p>
    <w:p w14:paraId="4713DD6B" w14:textId="77777777" w:rsidR="00FB0497" w:rsidRDefault="00FB0497" w:rsidP="00FB0497">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A.</w:t>
      </w:r>
      <w:r>
        <w:rPr>
          <w:rFonts w:asciiTheme="majorBidi" w:hAnsiTheme="majorBidi" w:cstheme="majorBidi"/>
        </w:rPr>
        <w:tab/>
      </w:r>
      <w:r w:rsidRPr="002B4560">
        <w:rPr>
          <w:rFonts w:asciiTheme="majorBidi" w:hAnsiTheme="majorBidi" w:cstheme="majorBidi"/>
        </w:rPr>
        <w:t>Status of the Convention</w:t>
      </w:r>
      <w:r>
        <w:rPr>
          <w:rFonts w:asciiTheme="majorBidi" w:hAnsiTheme="majorBidi" w:cstheme="majorBidi"/>
        </w:rPr>
        <w:tab/>
      </w:r>
      <w:r>
        <w:rPr>
          <w:rFonts w:asciiTheme="majorBidi" w:hAnsiTheme="majorBidi" w:cstheme="majorBidi"/>
        </w:rPr>
        <w:tab/>
      </w:r>
      <w:r w:rsidR="005D7169">
        <w:rPr>
          <w:rFonts w:asciiTheme="majorBidi" w:hAnsiTheme="majorBidi" w:cstheme="majorBidi"/>
        </w:rPr>
        <w:t>29</w:t>
      </w:r>
      <w:r>
        <w:rPr>
          <w:rFonts w:asciiTheme="majorBidi" w:hAnsiTheme="majorBidi" w:cstheme="majorBidi"/>
        </w:rPr>
        <w:tab/>
      </w:r>
      <w:r w:rsidR="00E0010E">
        <w:rPr>
          <w:rFonts w:asciiTheme="majorBidi" w:hAnsiTheme="majorBidi" w:cstheme="majorBidi"/>
        </w:rPr>
        <w:t>6</w:t>
      </w:r>
    </w:p>
    <w:p w14:paraId="602237FF" w14:textId="77777777" w:rsidR="00FB0497" w:rsidRDefault="00FB0497" w:rsidP="00FB0497">
      <w:pPr>
        <w:tabs>
          <w:tab w:val="right" w:pos="850"/>
          <w:tab w:val="left" w:pos="1134"/>
          <w:tab w:val="left" w:pos="1559"/>
          <w:tab w:val="left" w:pos="1984"/>
          <w:tab w:val="left" w:leader="dot" w:pos="7654"/>
          <w:tab w:val="right" w:pos="8929"/>
          <w:tab w:val="right" w:pos="9638"/>
        </w:tabs>
        <w:rPr>
          <w:rFonts w:asciiTheme="majorBidi" w:hAnsiTheme="majorBidi" w:cstheme="majorBidi"/>
        </w:rPr>
      </w:pPr>
      <w:r>
        <w:rPr>
          <w:rFonts w:asciiTheme="majorBidi" w:hAnsiTheme="majorBidi" w:cstheme="majorBidi"/>
        </w:rPr>
        <w:tab/>
      </w:r>
      <w:r>
        <w:rPr>
          <w:rFonts w:asciiTheme="majorBidi" w:hAnsiTheme="majorBidi" w:cstheme="majorBidi"/>
        </w:rPr>
        <w:tab/>
        <w:t>B.</w:t>
      </w:r>
      <w:r>
        <w:rPr>
          <w:rFonts w:asciiTheme="majorBidi" w:hAnsiTheme="majorBidi" w:cstheme="majorBidi"/>
        </w:rPr>
        <w:tab/>
      </w:r>
      <w:r w:rsidRPr="002B4560">
        <w:rPr>
          <w:rFonts w:asciiTheme="majorBidi" w:hAnsiTheme="majorBidi" w:cstheme="majorBidi"/>
        </w:rPr>
        <w:t>Protocol to the Convention on the Contract for the International</w:t>
      </w:r>
      <w:r>
        <w:rPr>
          <w:rFonts w:asciiTheme="majorBidi" w:hAnsiTheme="majorBidi" w:cstheme="majorBidi"/>
        </w:rPr>
        <w:t xml:space="preserve"> Carriage of</w:t>
      </w:r>
    </w:p>
    <w:p w14:paraId="1BCB2195" w14:textId="77777777" w:rsidR="00FB0497" w:rsidRDefault="00FB0497" w:rsidP="00FD6592">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t>Goods by Road (CMR)</w:t>
      </w:r>
      <w:r>
        <w:rPr>
          <w:rFonts w:asciiTheme="majorBidi" w:hAnsiTheme="majorBidi" w:cstheme="majorBidi"/>
        </w:rPr>
        <w:tab/>
      </w:r>
      <w:r>
        <w:rPr>
          <w:rFonts w:asciiTheme="majorBidi" w:hAnsiTheme="majorBidi" w:cstheme="majorBidi"/>
        </w:rPr>
        <w:tab/>
      </w:r>
      <w:r w:rsidR="00E0010E">
        <w:rPr>
          <w:rFonts w:asciiTheme="majorBidi" w:hAnsiTheme="majorBidi" w:cstheme="majorBidi"/>
        </w:rPr>
        <w:t>3</w:t>
      </w:r>
      <w:r w:rsidR="005D7169">
        <w:rPr>
          <w:rFonts w:asciiTheme="majorBidi" w:hAnsiTheme="majorBidi" w:cstheme="majorBidi"/>
        </w:rPr>
        <w:t>0</w:t>
      </w:r>
      <w:r w:rsidR="00FD6592">
        <w:rPr>
          <w:rFonts w:asciiTheme="majorBidi" w:hAnsiTheme="majorBidi" w:cstheme="majorBidi"/>
        </w:rPr>
        <w:tab/>
      </w:r>
      <w:r w:rsidR="00E0010E">
        <w:rPr>
          <w:rFonts w:asciiTheme="majorBidi" w:hAnsiTheme="majorBidi" w:cstheme="majorBidi"/>
        </w:rPr>
        <w:t>6</w:t>
      </w:r>
    </w:p>
    <w:p w14:paraId="5AD412D7" w14:textId="77777777" w:rsidR="00FD6592" w:rsidRDefault="00FD6592" w:rsidP="00FD6592">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C.</w:t>
      </w:r>
      <w:r>
        <w:rPr>
          <w:rFonts w:asciiTheme="majorBidi" w:hAnsiTheme="majorBidi" w:cstheme="majorBidi"/>
        </w:rPr>
        <w:tab/>
      </w:r>
      <w:r w:rsidRPr="002B4560">
        <w:rPr>
          <w:rFonts w:asciiTheme="majorBidi" w:hAnsiTheme="majorBidi" w:cstheme="majorBidi"/>
        </w:rPr>
        <w:t>Additional Protocol to the CMR concerning the Electronic</w:t>
      </w:r>
      <w:r>
        <w:rPr>
          <w:rFonts w:asciiTheme="majorBidi" w:hAnsiTheme="majorBidi" w:cstheme="majorBidi"/>
        </w:rPr>
        <w:t xml:space="preserve"> Note</w:t>
      </w:r>
      <w:r>
        <w:rPr>
          <w:rFonts w:asciiTheme="majorBidi" w:hAnsiTheme="majorBidi" w:cstheme="majorBidi"/>
        </w:rPr>
        <w:tab/>
      </w:r>
      <w:r>
        <w:rPr>
          <w:rFonts w:asciiTheme="majorBidi" w:hAnsiTheme="majorBidi" w:cstheme="majorBidi"/>
        </w:rPr>
        <w:tab/>
      </w:r>
      <w:r w:rsidR="00E0010E">
        <w:rPr>
          <w:rFonts w:asciiTheme="majorBidi" w:hAnsiTheme="majorBidi" w:cstheme="majorBidi"/>
        </w:rPr>
        <w:t>3</w:t>
      </w:r>
      <w:r w:rsidR="005D7169">
        <w:rPr>
          <w:rFonts w:asciiTheme="majorBidi" w:hAnsiTheme="majorBidi" w:cstheme="majorBidi"/>
        </w:rPr>
        <w:t>1</w:t>
      </w:r>
      <w:r w:rsidR="00E0010E">
        <w:t>–3</w:t>
      </w:r>
      <w:r w:rsidR="005D7169">
        <w:t>7</w:t>
      </w:r>
      <w:r>
        <w:rPr>
          <w:rFonts w:asciiTheme="majorBidi" w:hAnsiTheme="majorBidi" w:cstheme="majorBidi"/>
        </w:rPr>
        <w:tab/>
      </w:r>
      <w:r w:rsidR="00E0010E">
        <w:rPr>
          <w:rFonts w:asciiTheme="majorBidi" w:hAnsiTheme="majorBidi" w:cstheme="majorBidi"/>
        </w:rPr>
        <w:t>6</w:t>
      </w:r>
    </w:p>
    <w:p w14:paraId="14E3A769" w14:textId="77777777" w:rsidR="00FD6592" w:rsidRDefault="00FD6592" w:rsidP="00FD6592">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t>VIII.</w:t>
      </w:r>
      <w:r>
        <w:rPr>
          <w:rFonts w:asciiTheme="majorBidi" w:hAnsiTheme="majorBidi" w:cstheme="majorBidi"/>
        </w:rPr>
        <w:tab/>
      </w:r>
      <w:r w:rsidRPr="002B4560">
        <w:rPr>
          <w:rFonts w:asciiTheme="majorBidi" w:hAnsiTheme="majorBidi" w:cstheme="majorBidi"/>
        </w:rPr>
        <w:t>Facilitation of international road transport</w:t>
      </w:r>
      <w:r>
        <w:rPr>
          <w:rFonts w:asciiTheme="majorBidi" w:hAnsiTheme="majorBidi" w:cstheme="majorBidi"/>
        </w:rPr>
        <w:t xml:space="preserve"> (agenda item 7)</w:t>
      </w:r>
      <w:r>
        <w:rPr>
          <w:rFonts w:asciiTheme="majorBidi" w:hAnsiTheme="majorBidi" w:cstheme="majorBidi"/>
        </w:rPr>
        <w:tab/>
      </w:r>
      <w:r>
        <w:rPr>
          <w:rFonts w:asciiTheme="majorBidi" w:hAnsiTheme="majorBidi" w:cstheme="majorBidi"/>
        </w:rPr>
        <w:tab/>
      </w:r>
      <w:r w:rsidR="00E0010E">
        <w:rPr>
          <w:rFonts w:asciiTheme="majorBidi" w:hAnsiTheme="majorBidi" w:cstheme="majorBidi"/>
        </w:rPr>
        <w:t>3</w:t>
      </w:r>
      <w:r w:rsidR="005D7169">
        <w:rPr>
          <w:rFonts w:asciiTheme="majorBidi" w:hAnsiTheme="majorBidi" w:cstheme="majorBidi"/>
        </w:rPr>
        <w:t>8</w:t>
      </w:r>
      <w:r w:rsidR="00E0010E">
        <w:t>–4</w:t>
      </w:r>
      <w:r w:rsidR="005D7169">
        <w:t>8</w:t>
      </w:r>
      <w:r>
        <w:rPr>
          <w:rFonts w:asciiTheme="majorBidi" w:hAnsiTheme="majorBidi" w:cstheme="majorBidi"/>
        </w:rPr>
        <w:tab/>
      </w:r>
      <w:r w:rsidR="00E0010E">
        <w:rPr>
          <w:rFonts w:asciiTheme="majorBidi" w:hAnsiTheme="majorBidi" w:cstheme="majorBidi"/>
        </w:rPr>
        <w:t>7</w:t>
      </w:r>
    </w:p>
    <w:p w14:paraId="7C9A30CC" w14:textId="77777777" w:rsidR="00FD6592" w:rsidRDefault="00FD6592" w:rsidP="00FD6592">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A.</w:t>
      </w:r>
      <w:r>
        <w:rPr>
          <w:rFonts w:asciiTheme="majorBidi" w:hAnsiTheme="majorBidi" w:cstheme="majorBidi"/>
        </w:rPr>
        <w:tab/>
      </w:r>
      <w:r w:rsidRPr="002B4560">
        <w:rPr>
          <w:rFonts w:asciiTheme="majorBidi" w:hAnsiTheme="majorBidi" w:cstheme="majorBidi"/>
        </w:rPr>
        <w:t>International Motor Insurance System (Green Card)</w:t>
      </w:r>
      <w:r>
        <w:rPr>
          <w:rFonts w:asciiTheme="majorBidi" w:hAnsiTheme="majorBidi" w:cstheme="majorBidi"/>
        </w:rPr>
        <w:tab/>
      </w:r>
      <w:r>
        <w:rPr>
          <w:rFonts w:asciiTheme="majorBidi" w:hAnsiTheme="majorBidi" w:cstheme="majorBidi"/>
        </w:rPr>
        <w:tab/>
      </w:r>
      <w:r w:rsidR="007C4C41">
        <w:rPr>
          <w:rFonts w:asciiTheme="majorBidi" w:hAnsiTheme="majorBidi" w:cstheme="majorBidi"/>
        </w:rPr>
        <w:t>3</w:t>
      </w:r>
      <w:r w:rsidR="005D7169">
        <w:rPr>
          <w:rFonts w:asciiTheme="majorBidi" w:hAnsiTheme="majorBidi" w:cstheme="majorBidi"/>
        </w:rPr>
        <w:t>8</w:t>
      </w:r>
      <w:r>
        <w:rPr>
          <w:rFonts w:asciiTheme="majorBidi" w:hAnsiTheme="majorBidi" w:cstheme="majorBidi"/>
        </w:rPr>
        <w:tab/>
      </w:r>
      <w:r w:rsidR="000E66E5">
        <w:rPr>
          <w:rFonts w:asciiTheme="majorBidi" w:hAnsiTheme="majorBidi" w:cstheme="majorBidi"/>
        </w:rPr>
        <w:t>7</w:t>
      </w:r>
    </w:p>
    <w:p w14:paraId="424EF127" w14:textId="77777777" w:rsidR="00FD6592" w:rsidRDefault="00FD6592" w:rsidP="00FD6592">
      <w:pPr>
        <w:tabs>
          <w:tab w:val="right" w:pos="850"/>
          <w:tab w:val="left" w:pos="1134"/>
          <w:tab w:val="left" w:pos="1559"/>
          <w:tab w:val="left" w:pos="1984"/>
          <w:tab w:val="left" w:leader="dot" w:pos="7654"/>
          <w:tab w:val="right" w:pos="8929"/>
          <w:tab w:val="right" w:pos="9638"/>
        </w:tabs>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t>B.</w:t>
      </w:r>
      <w:r>
        <w:rPr>
          <w:rFonts w:asciiTheme="majorBidi" w:hAnsiTheme="majorBidi" w:cstheme="majorBidi"/>
        </w:rPr>
        <w:tab/>
      </w:r>
      <w:r w:rsidRPr="002B4560">
        <w:rPr>
          <w:rFonts w:asciiTheme="majorBidi" w:hAnsiTheme="majorBidi" w:cstheme="majorBidi"/>
        </w:rPr>
        <w:t xml:space="preserve">Proposal for a global multilateral agreement on the international </w:t>
      </w:r>
    </w:p>
    <w:p w14:paraId="6986467F" w14:textId="77777777" w:rsidR="00FD6592" w:rsidRDefault="00FD6592" w:rsidP="00FD6592">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DD22F2">
        <w:rPr>
          <w:rFonts w:asciiTheme="majorBidi" w:hAnsiTheme="majorBidi" w:cstheme="majorBidi"/>
        </w:rPr>
        <w:t xml:space="preserve">regular transport </w:t>
      </w:r>
      <w:r w:rsidRPr="002B4560">
        <w:rPr>
          <w:rFonts w:asciiTheme="majorBidi" w:hAnsiTheme="majorBidi" w:cstheme="majorBidi"/>
        </w:rPr>
        <w:t>of passen</w:t>
      </w:r>
      <w:r>
        <w:rPr>
          <w:rFonts w:asciiTheme="majorBidi" w:hAnsiTheme="majorBidi" w:cstheme="majorBidi"/>
        </w:rPr>
        <w:t>gers by coach and bus (</w:t>
      </w:r>
      <w:proofErr w:type="spellStart"/>
      <w:r>
        <w:rPr>
          <w:rFonts w:asciiTheme="majorBidi" w:hAnsiTheme="majorBidi" w:cstheme="majorBidi"/>
        </w:rPr>
        <w:t>OmniBUS</w:t>
      </w:r>
      <w:proofErr w:type="spellEnd"/>
      <w:r>
        <w:rPr>
          <w:rFonts w:asciiTheme="majorBidi" w:hAnsiTheme="majorBidi" w:cstheme="majorBidi"/>
        </w:rPr>
        <w:t>)</w:t>
      </w:r>
      <w:r>
        <w:rPr>
          <w:rFonts w:asciiTheme="majorBidi" w:hAnsiTheme="majorBidi" w:cstheme="majorBidi"/>
        </w:rPr>
        <w:tab/>
      </w:r>
      <w:r>
        <w:rPr>
          <w:rFonts w:asciiTheme="majorBidi" w:hAnsiTheme="majorBidi" w:cstheme="majorBidi"/>
        </w:rPr>
        <w:tab/>
      </w:r>
      <w:r w:rsidR="005D7169">
        <w:rPr>
          <w:rFonts w:asciiTheme="majorBidi" w:hAnsiTheme="majorBidi" w:cstheme="majorBidi"/>
        </w:rPr>
        <w:t>39</w:t>
      </w:r>
      <w:r w:rsidR="007C4C41">
        <w:t>–4</w:t>
      </w:r>
      <w:r w:rsidR="005D7169">
        <w:t>1</w:t>
      </w:r>
      <w:r>
        <w:rPr>
          <w:rFonts w:asciiTheme="majorBidi" w:hAnsiTheme="majorBidi" w:cstheme="majorBidi"/>
        </w:rPr>
        <w:tab/>
      </w:r>
      <w:r w:rsidR="007C4C41">
        <w:rPr>
          <w:rFonts w:asciiTheme="majorBidi" w:hAnsiTheme="majorBidi" w:cstheme="majorBidi"/>
        </w:rPr>
        <w:t>7</w:t>
      </w:r>
    </w:p>
    <w:p w14:paraId="5F4B7477" w14:textId="77777777" w:rsidR="00FD6592" w:rsidRDefault="00FD6592" w:rsidP="00FD6592">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C.</w:t>
      </w:r>
      <w:r>
        <w:rPr>
          <w:rFonts w:asciiTheme="majorBidi" w:hAnsiTheme="majorBidi" w:cstheme="majorBidi"/>
        </w:rPr>
        <w:tab/>
      </w:r>
      <w:r w:rsidRPr="002B4560">
        <w:rPr>
          <w:rFonts w:asciiTheme="majorBidi" w:hAnsiTheme="majorBidi" w:cstheme="majorBidi"/>
        </w:rPr>
        <w:t xml:space="preserve">Quantitative restrictions imposed on </w:t>
      </w:r>
      <w:r w:rsidR="00816F2E">
        <w:rPr>
          <w:rFonts w:asciiTheme="majorBidi" w:hAnsiTheme="majorBidi" w:cstheme="majorBidi"/>
        </w:rPr>
        <w:t xml:space="preserve">the </w:t>
      </w:r>
      <w:r w:rsidRPr="002B4560">
        <w:rPr>
          <w:rFonts w:asciiTheme="majorBidi" w:hAnsiTheme="majorBidi" w:cstheme="majorBidi"/>
        </w:rPr>
        <w:t>international road transport of goods</w:t>
      </w:r>
      <w:r>
        <w:rPr>
          <w:rFonts w:asciiTheme="majorBidi" w:hAnsiTheme="majorBidi" w:cstheme="majorBidi"/>
        </w:rPr>
        <w:tab/>
      </w:r>
      <w:r w:rsidR="007C4C41">
        <w:rPr>
          <w:rFonts w:asciiTheme="majorBidi" w:hAnsiTheme="majorBidi" w:cstheme="majorBidi"/>
        </w:rPr>
        <w:t>4</w:t>
      </w:r>
      <w:r w:rsidR="005D7169">
        <w:rPr>
          <w:rFonts w:asciiTheme="majorBidi" w:hAnsiTheme="majorBidi" w:cstheme="majorBidi"/>
        </w:rPr>
        <w:t>2</w:t>
      </w:r>
      <w:r w:rsidR="007C4C41">
        <w:t>–4</w:t>
      </w:r>
      <w:r w:rsidR="005D7169">
        <w:t>4</w:t>
      </w:r>
      <w:r>
        <w:rPr>
          <w:rFonts w:asciiTheme="majorBidi" w:hAnsiTheme="majorBidi" w:cstheme="majorBidi"/>
        </w:rPr>
        <w:tab/>
      </w:r>
      <w:r w:rsidR="007C4C41">
        <w:rPr>
          <w:rFonts w:asciiTheme="majorBidi" w:hAnsiTheme="majorBidi" w:cstheme="majorBidi"/>
        </w:rPr>
        <w:t>7</w:t>
      </w:r>
    </w:p>
    <w:p w14:paraId="6CBFDC82" w14:textId="77777777" w:rsidR="00FD6592" w:rsidRDefault="00FD6592" w:rsidP="00FD6592">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D.</w:t>
      </w:r>
      <w:r>
        <w:rPr>
          <w:rFonts w:asciiTheme="majorBidi" w:hAnsiTheme="majorBidi" w:cstheme="majorBidi"/>
        </w:rPr>
        <w:tab/>
      </w:r>
      <w:r w:rsidRPr="00E36D9D">
        <w:rPr>
          <w:rFonts w:asciiTheme="majorBidi" w:hAnsiTheme="majorBidi" w:cstheme="majorBidi"/>
        </w:rPr>
        <w:t>The relationship between the origin of goods and transport operations</w:t>
      </w:r>
      <w:r w:rsidR="009465C8">
        <w:rPr>
          <w:rFonts w:asciiTheme="majorBidi" w:hAnsiTheme="majorBidi" w:cstheme="majorBidi"/>
        </w:rPr>
        <w:tab/>
      </w:r>
      <w:r w:rsidR="009465C8">
        <w:rPr>
          <w:rFonts w:asciiTheme="majorBidi" w:hAnsiTheme="majorBidi" w:cstheme="majorBidi"/>
        </w:rPr>
        <w:tab/>
      </w:r>
      <w:r w:rsidR="007C4C41">
        <w:rPr>
          <w:rFonts w:asciiTheme="majorBidi" w:hAnsiTheme="majorBidi" w:cstheme="majorBidi"/>
        </w:rPr>
        <w:t>4</w:t>
      </w:r>
      <w:r w:rsidR="005D7169">
        <w:rPr>
          <w:rFonts w:asciiTheme="majorBidi" w:hAnsiTheme="majorBidi" w:cstheme="majorBidi"/>
        </w:rPr>
        <w:t>5</w:t>
      </w:r>
      <w:r w:rsidR="007C4C41">
        <w:t>–4</w:t>
      </w:r>
      <w:r w:rsidR="005D7169">
        <w:t>8</w:t>
      </w:r>
      <w:r w:rsidR="009465C8">
        <w:rPr>
          <w:rFonts w:asciiTheme="majorBidi" w:hAnsiTheme="majorBidi" w:cstheme="majorBidi"/>
        </w:rPr>
        <w:tab/>
      </w:r>
      <w:r w:rsidR="007C4C41">
        <w:rPr>
          <w:rFonts w:asciiTheme="majorBidi" w:hAnsiTheme="majorBidi" w:cstheme="majorBidi"/>
        </w:rPr>
        <w:t>8</w:t>
      </w:r>
    </w:p>
    <w:p w14:paraId="177B5AEB" w14:textId="77777777" w:rsidR="009465C8" w:rsidRDefault="009465C8" w:rsidP="00FD6592">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t>IX.</w:t>
      </w:r>
      <w:r>
        <w:rPr>
          <w:rFonts w:asciiTheme="majorBidi" w:hAnsiTheme="majorBidi" w:cstheme="majorBidi"/>
        </w:rPr>
        <w:tab/>
      </w:r>
      <w:r w:rsidRPr="004014B4">
        <w:rPr>
          <w:rFonts w:asciiTheme="majorBidi" w:hAnsiTheme="majorBidi" w:cstheme="majorBidi"/>
        </w:rPr>
        <w:t>Revision of SC.1 terms of reference and rules of procedure</w:t>
      </w:r>
      <w:r>
        <w:rPr>
          <w:rFonts w:asciiTheme="majorBidi" w:hAnsiTheme="majorBidi" w:cstheme="majorBidi"/>
        </w:rPr>
        <w:t xml:space="preserve"> (agenda item 8)</w:t>
      </w:r>
      <w:r>
        <w:rPr>
          <w:rFonts w:asciiTheme="majorBidi" w:hAnsiTheme="majorBidi" w:cstheme="majorBidi"/>
        </w:rPr>
        <w:tab/>
      </w:r>
      <w:r>
        <w:rPr>
          <w:rFonts w:asciiTheme="majorBidi" w:hAnsiTheme="majorBidi" w:cstheme="majorBidi"/>
        </w:rPr>
        <w:tab/>
      </w:r>
      <w:r w:rsidR="005D7169">
        <w:rPr>
          <w:rFonts w:asciiTheme="majorBidi" w:hAnsiTheme="majorBidi" w:cstheme="majorBidi"/>
        </w:rPr>
        <w:t>4</w:t>
      </w:r>
      <w:r w:rsidR="00250A26">
        <w:rPr>
          <w:rFonts w:asciiTheme="majorBidi" w:hAnsiTheme="majorBidi" w:cstheme="majorBidi"/>
        </w:rPr>
        <w:t>9</w:t>
      </w:r>
      <w:r w:rsidR="007C4C41">
        <w:t>–5</w:t>
      </w:r>
      <w:r w:rsidR="005D7169">
        <w:t>0</w:t>
      </w:r>
      <w:r>
        <w:rPr>
          <w:rFonts w:asciiTheme="majorBidi" w:hAnsiTheme="majorBidi" w:cstheme="majorBidi"/>
        </w:rPr>
        <w:tab/>
      </w:r>
      <w:r w:rsidR="007C4C41">
        <w:rPr>
          <w:rFonts w:asciiTheme="majorBidi" w:hAnsiTheme="majorBidi" w:cstheme="majorBidi"/>
        </w:rPr>
        <w:t>8</w:t>
      </w:r>
    </w:p>
    <w:p w14:paraId="725BAE3A" w14:textId="77777777" w:rsidR="009465C8" w:rsidRDefault="009465C8" w:rsidP="009465C8">
      <w:pPr>
        <w:tabs>
          <w:tab w:val="right" w:pos="850"/>
          <w:tab w:val="left" w:pos="1134"/>
          <w:tab w:val="left" w:pos="1559"/>
          <w:tab w:val="left" w:pos="1984"/>
          <w:tab w:val="left" w:leader="dot" w:pos="7654"/>
          <w:tab w:val="right" w:pos="8929"/>
          <w:tab w:val="right" w:pos="9638"/>
        </w:tabs>
      </w:pPr>
      <w:r>
        <w:rPr>
          <w:rFonts w:asciiTheme="majorBidi" w:hAnsiTheme="majorBidi" w:cstheme="majorBidi"/>
        </w:rPr>
        <w:tab/>
        <w:t>X.</w:t>
      </w:r>
      <w:r>
        <w:rPr>
          <w:rFonts w:asciiTheme="majorBidi" w:hAnsiTheme="majorBidi" w:cstheme="majorBidi"/>
        </w:rPr>
        <w:tab/>
      </w:r>
      <w:r>
        <w:t>Climate Change Impacts and Adaptation for Transport Networks and Nodes</w:t>
      </w:r>
    </w:p>
    <w:p w14:paraId="4237E480" w14:textId="77777777" w:rsidR="009465C8" w:rsidRDefault="009465C8" w:rsidP="009465C8">
      <w:pPr>
        <w:tabs>
          <w:tab w:val="right" w:pos="850"/>
          <w:tab w:val="left" w:pos="1134"/>
          <w:tab w:val="left" w:pos="1559"/>
          <w:tab w:val="left" w:pos="1984"/>
          <w:tab w:val="left" w:leader="dot" w:pos="7654"/>
          <w:tab w:val="right" w:pos="8929"/>
          <w:tab w:val="right" w:pos="9638"/>
        </w:tabs>
        <w:spacing w:after="120"/>
      </w:pPr>
      <w:r>
        <w:tab/>
      </w:r>
      <w:r>
        <w:tab/>
        <w:t>(agenda item 9)</w:t>
      </w:r>
      <w:r>
        <w:tab/>
      </w:r>
      <w:r>
        <w:tab/>
      </w:r>
      <w:r w:rsidR="007C4C41">
        <w:t>5</w:t>
      </w:r>
      <w:r w:rsidR="005D7169">
        <w:t>1</w:t>
      </w:r>
      <w:r w:rsidR="007C4C41">
        <w:t>–5</w:t>
      </w:r>
      <w:r w:rsidR="005D7169">
        <w:t>4</w:t>
      </w:r>
      <w:r>
        <w:tab/>
      </w:r>
      <w:r w:rsidR="00A9631D">
        <w:t>8</w:t>
      </w:r>
    </w:p>
    <w:p w14:paraId="7545DF09" w14:textId="77777777" w:rsidR="00D46422" w:rsidRDefault="00D46422" w:rsidP="009465C8">
      <w:pPr>
        <w:tabs>
          <w:tab w:val="right" w:pos="850"/>
          <w:tab w:val="left" w:pos="1134"/>
          <w:tab w:val="left" w:pos="1559"/>
          <w:tab w:val="left" w:pos="1984"/>
          <w:tab w:val="left" w:leader="dot" w:pos="7654"/>
          <w:tab w:val="right" w:pos="8929"/>
          <w:tab w:val="right" w:pos="9638"/>
        </w:tabs>
        <w:spacing w:after="120"/>
        <w:rPr>
          <w:lang w:val="en-US"/>
        </w:rPr>
      </w:pPr>
      <w:r>
        <w:tab/>
        <w:t>XI.</w:t>
      </w:r>
      <w:r>
        <w:tab/>
      </w:r>
      <w:r>
        <w:rPr>
          <w:lang w:val="en-US"/>
        </w:rPr>
        <w:t>Benchmarking for Transport Infrastructure (agenda item 10)</w:t>
      </w:r>
      <w:r>
        <w:rPr>
          <w:lang w:val="en-US"/>
        </w:rPr>
        <w:tab/>
      </w:r>
      <w:r>
        <w:rPr>
          <w:lang w:val="en-US"/>
        </w:rPr>
        <w:tab/>
      </w:r>
      <w:r w:rsidR="007C4C41">
        <w:rPr>
          <w:lang w:val="en-US"/>
        </w:rPr>
        <w:t>5</w:t>
      </w:r>
      <w:r w:rsidR="005D7169">
        <w:rPr>
          <w:lang w:val="en-US"/>
        </w:rPr>
        <w:t>5</w:t>
      </w:r>
      <w:r w:rsidR="007C4C41">
        <w:t>–5</w:t>
      </w:r>
      <w:r w:rsidR="005D7169">
        <w:t>7</w:t>
      </w:r>
      <w:r>
        <w:rPr>
          <w:lang w:val="en-US"/>
        </w:rPr>
        <w:tab/>
      </w:r>
      <w:r w:rsidR="007C4C41">
        <w:rPr>
          <w:lang w:val="en-US"/>
        </w:rPr>
        <w:t>9</w:t>
      </w:r>
    </w:p>
    <w:p w14:paraId="148A42A0" w14:textId="77777777" w:rsidR="00D46422" w:rsidRDefault="00D46422" w:rsidP="00B46938">
      <w:pPr>
        <w:tabs>
          <w:tab w:val="right" w:pos="850"/>
          <w:tab w:val="left" w:pos="1134"/>
          <w:tab w:val="left" w:pos="1559"/>
          <w:tab w:val="left" w:pos="1984"/>
          <w:tab w:val="left" w:leader="dot" w:pos="7654"/>
          <w:tab w:val="right" w:pos="8929"/>
          <w:tab w:val="right" w:pos="9638"/>
        </w:tabs>
        <w:spacing w:after="120"/>
        <w:rPr>
          <w:szCs w:val="24"/>
        </w:rPr>
      </w:pPr>
      <w:r>
        <w:rPr>
          <w:lang w:val="en-US"/>
        </w:rPr>
        <w:tab/>
        <w:t>XII.</w:t>
      </w:r>
      <w:r>
        <w:rPr>
          <w:lang w:val="en-US"/>
        </w:rPr>
        <w:tab/>
      </w:r>
      <w:r w:rsidRPr="00040C63">
        <w:rPr>
          <w:szCs w:val="24"/>
        </w:rPr>
        <w:t>Other business</w:t>
      </w:r>
      <w:r w:rsidR="00B46938">
        <w:rPr>
          <w:szCs w:val="24"/>
        </w:rPr>
        <w:t xml:space="preserve"> </w:t>
      </w:r>
      <w:r>
        <w:rPr>
          <w:szCs w:val="24"/>
        </w:rPr>
        <w:t>(agenda item 11)</w:t>
      </w:r>
      <w:r>
        <w:rPr>
          <w:szCs w:val="24"/>
        </w:rPr>
        <w:tab/>
      </w:r>
      <w:r>
        <w:rPr>
          <w:szCs w:val="24"/>
        </w:rPr>
        <w:tab/>
      </w:r>
      <w:r w:rsidR="007C4C41">
        <w:rPr>
          <w:szCs w:val="24"/>
        </w:rPr>
        <w:t>5</w:t>
      </w:r>
      <w:r w:rsidR="005D7169">
        <w:rPr>
          <w:szCs w:val="24"/>
        </w:rPr>
        <w:t>8</w:t>
      </w:r>
      <w:r w:rsidR="00A84356">
        <w:t>–</w:t>
      </w:r>
      <w:r w:rsidR="00DD22F2">
        <w:rPr>
          <w:szCs w:val="24"/>
        </w:rPr>
        <w:t>6</w:t>
      </w:r>
      <w:r w:rsidR="005D7169">
        <w:rPr>
          <w:szCs w:val="24"/>
        </w:rPr>
        <w:t>0</w:t>
      </w:r>
      <w:r>
        <w:rPr>
          <w:szCs w:val="24"/>
        </w:rPr>
        <w:tab/>
      </w:r>
      <w:r w:rsidR="007C4C41">
        <w:rPr>
          <w:szCs w:val="24"/>
        </w:rPr>
        <w:t>9</w:t>
      </w:r>
    </w:p>
    <w:p w14:paraId="172AAC66" w14:textId="77777777" w:rsidR="00D46422" w:rsidRDefault="00D46422" w:rsidP="009465C8">
      <w:pPr>
        <w:tabs>
          <w:tab w:val="right" w:pos="850"/>
          <w:tab w:val="left" w:pos="1134"/>
          <w:tab w:val="left" w:pos="1559"/>
          <w:tab w:val="left" w:pos="1984"/>
          <w:tab w:val="left" w:leader="dot" w:pos="7654"/>
          <w:tab w:val="right" w:pos="8929"/>
          <w:tab w:val="right" w:pos="9638"/>
        </w:tabs>
        <w:spacing w:after="120"/>
        <w:rPr>
          <w:rStyle w:val="SingleTxtGChar"/>
          <w:szCs w:val="24"/>
        </w:rPr>
      </w:pPr>
      <w:r>
        <w:rPr>
          <w:szCs w:val="24"/>
        </w:rPr>
        <w:tab/>
        <w:t>XIII.</w:t>
      </w:r>
      <w:r>
        <w:rPr>
          <w:szCs w:val="24"/>
        </w:rPr>
        <w:tab/>
      </w:r>
      <w:r w:rsidRPr="00040C63">
        <w:rPr>
          <w:rStyle w:val="SingleTxtGChar"/>
          <w:szCs w:val="24"/>
        </w:rPr>
        <w:t>Date of next session</w:t>
      </w:r>
      <w:r>
        <w:rPr>
          <w:rStyle w:val="SingleTxtGChar"/>
          <w:szCs w:val="24"/>
        </w:rPr>
        <w:t xml:space="preserve"> (agenda item 12)</w:t>
      </w:r>
      <w:r>
        <w:rPr>
          <w:rStyle w:val="SingleTxtGChar"/>
          <w:szCs w:val="24"/>
        </w:rPr>
        <w:tab/>
      </w:r>
      <w:r>
        <w:rPr>
          <w:rStyle w:val="SingleTxtGChar"/>
          <w:szCs w:val="24"/>
        </w:rPr>
        <w:tab/>
      </w:r>
      <w:r w:rsidR="007C4C41">
        <w:rPr>
          <w:rStyle w:val="SingleTxtGChar"/>
          <w:szCs w:val="24"/>
        </w:rPr>
        <w:t>6</w:t>
      </w:r>
      <w:r w:rsidR="005D7169">
        <w:rPr>
          <w:rStyle w:val="SingleTxtGChar"/>
          <w:szCs w:val="24"/>
        </w:rPr>
        <w:t>1</w:t>
      </w:r>
      <w:r>
        <w:rPr>
          <w:rStyle w:val="SingleTxtGChar"/>
          <w:szCs w:val="24"/>
        </w:rPr>
        <w:tab/>
      </w:r>
      <w:r w:rsidR="007C4C41">
        <w:rPr>
          <w:rStyle w:val="SingleTxtGChar"/>
          <w:szCs w:val="24"/>
        </w:rPr>
        <w:t>9</w:t>
      </w:r>
    </w:p>
    <w:p w14:paraId="5B248857" w14:textId="77777777" w:rsidR="00D46422" w:rsidRDefault="00D46422" w:rsidP="009465C8">
      <w:pPr>
        <w:tabs>
          <w:tab w:val="right" w:pos="850"/>
          <w:tab w:val="left" w:pos="1134"/>
          <w:tab w:val="left" w:pos="1559"/>
          <w:tab w:val="left" w:pos="1984"/>
          <w:tab w:val="left" w:leader="dot" w:pos="7654"/>
          <w:tab w:val="right" w:pos="8929"/>
          <w:tab w:val="right" w:pos="9638"/>
        </w:tabs>
        <w:spacing w:after="120"/>
        <w:rPr>
          <w:rStyle w:val="SingleTxtGChar"/>
          <w:szCs w:val="24"/>
        </w:rPr>
      </w:pPr>
      <w:r>
        <w:rPr>
          <w:rStyle w:val="SingleTxtGChar"/>
          <w:szCs w:val="24"/>
        </w:rPr>
        <w:tab/>
        <w:t>XIV.</w:t>
      </w:r>
      <w:r>
        <w:rPr>
          <w:rStyle w:val="SingleTxtGChar"/>
          <w:szCs w:val="24"/>
        </w:rPr>
        <w:tab/>
        <w:t>Adoption of the report (agenda item 13)</w:t>
      </w:r>
      <w:r>
        <w:rPr>
          <w:rStyle w:val="SingleTxtGChar"/>
          <w:szCs w:val="24"/>
        </w:rPr>
        <w:tab/>
      </w:r>
      <w:r>
        <w:rPr>
          <w:rStyle w:val="SingleTxtGChar"/>
          <w:szCs w:val="24"/>
        </w:rPr>
        <w:tab/>
      </w:r>
      <w:r w:rsidR="007C4C41">
        <w:rPr>
          <w:rStyle w:val="SingleTxtGChar"/>
          <w:szCs w:val="24"/>
        </w:rPr>
        <w:t>6</w:t>
      </w:r>
      <w:r w:rsidR="005D7169">
        <w:rPr>
          <w:rStyle w:val="SingleTxtGChar"/>
          <w:szCs w:val="24"/>
        </w:rPr>
        <w:t>2</w:t>
      </w:r>
      <w:r>
        <w:rPr>
          <w:rStyle w:val="SingleTxtGChar"/>
          <w:szCs w:val="24"/>
        </w:rPr>
        <w:tab/>
      </w:r>
      <w:r w:rsidR="007C4C41">
        <w:rPr>
          <w:rStyle w:val="SingleTxtGChar"/>
          <w:szCs w:val="24"/>
        </w:rPr>
        <w:t>9</w:t>
      </w:r>
    </w:p>
    <w:p w14:paraId="238F4FCB" w14:textId="77777777" w:rsidR="00D46422" w:rsidRDefault="00967CC0" w:rsidP="009465C8">
      <w:pPr>
        <w:tabs>
          <w:tab w:val="right" w:pos="850"/>
          <w:tab w:val="left" w:pos="1134"/>
          <w:tab w:val="left" w:pos="1559"/>
          <w:tab w:val="left" w:pos="1984"/>
          <w:tab w:val="left" w:leader="dot" w:pos="7654"/>
          <w:tab w:val="right" w:pos="8929"/>
          <w:tab w:val="right" w:pos="9638"/>
        </w:tabs>
        <w:spacing w:after="120"/>
        <w:rPr>
          <w:rStyle w:val="SingleTxtGChar"/>
          <w:szCs w:val="24"/>
        </w:rPr>
      </w:pPr>
      <w:r>
        <w:rPr>
          <w:rStyle w:val="SingleTxtGChar"/>
          <w:szCs w:val="24"/>
        </w:rPr>
        <w:t>Annexes</w:t>
      </w:r>
    </w:p>
    <w:p w14:paraId="4BF4DE96" w14:textId="77777777" w:rsidR="00967CC0" w:rsidRDefault="00967CC0" w:rsidP="00DD22F2">
      <w:pPr>
        <w:tabs>
          <w:tab w:val="right" w:pos="850"/>
          <w:tab w:val="left" w:pos="1134"/>
          <w:tab w:val="left" w:pos="1559"/>
          <w:tab w:val="left" w:pos="1984"/>
          <w:tab w:val="left" w:leader="dot" w:pos="8789"/>
          <w:tab w:val="right" w:pos="9214"/>
          <w:tab w:val="right" w:pos="9638"/>
        </w:tabs>
        <w:spacing w:after="120"/>
        <w:rPr>
          <w:rStyle w:val="SingleTxtGChar"/>
          <w:szCs w:val="24"/>
        </w:rPr>
      </w:pPr>
      <w:r>
        <w:rPr>
          <w:rStyle w:val="SingleTxtGChar"/>
          <w:szCs w:val="24"/>
        </w:rPr>
        <w:tab/>
        <w:t>I.</w:t>
      </w:r>
      <w:r>
        <w:rPr>
          <w:rStyle w:val="SingleTxtGChar"/>
          <w:szCs w:val="24"/>
        </w:rPr>
        <w:tab/>
        <w:t>List of Priorities until 2030</w:t>
      </w:r>
      <w:r>
        <w:rPr>
          <w:rStyle w:val="SingleTxtGChar"/>
          <w:szCs w:val="24"/>
        </w:rPr>
        <w:tab/>
      </w:r>
      <w:r>
        <w:rPr>
          <w:rStyle w:val="SingleTxtGChar"/>
          <w:szCs w:val="24"/>
        </w:rPr>
        <w:tab/>
      </w:r>
      <w:r>
        <w:rPr>
          <w:rStyle w:val="SingleTxtGChar"/>
          <w:szCs w:val="24"/>
        </w:rPr>
        <w:tab/>
        <w:t>1</w:t>
      </w:r>
      <w:r w:rsidR="007C4C41">
        <w:rPr>
          <w:rStyle w:val="SingleTxtGChar"/>
          <w:szCs w:val="24"/>
        </w:rPr>
        <w:t>0</w:t>
      </w:r>
    </w:p>
    <w:p w14:paraId="0C0BF10B" w14:textId="77777777" w:rsidR="009C1536" w:rsidRDefault="00967CC0" w:rsidP="00DD22F2">
      <w:pPr>
        <w:tabs>
          <w:tab w:val="right" w:pos="850"/>
          <w:tab w:val="left" w:pos="1134"/>
          <w:tab w:val="left" w:pos="1559"/>
          <w:tab w:val="left" w:pos="1984"/>
          <w:tab w:val="left" w:leader="dot" w:pos="8789"/>
          <w:tab w:val="right" w:pos="9638"/>
        </w:tabs>
        <w:spacing w:after="120"/>
        <w:rPr>
          <w:rStyle w:val="SingleTxtGChar"/>
          <w:szCs w:val="24"/>
        </w:rPr>
      </w:pPr>
      <w:r>
        <w:rPr>
          <w:rStyle w:val="SingleTxtGChar"/>
          <w:szCs w:val="24"/>
        </w:rPr>
        <w:tab/>
        <w:t>II.</w:t>
      </w:r>
      <w:r>
        <w:rPr>
          <w:rStyle w:val="SingleTxtGChar"/>
          <w:szCs w:val="24"/>
        </w:rPr>
        <w:tab/>
        <w:t>Proposed restructur</w:t>
      </w:r>
      <w:r w:rsidR="00B46938">
        <w:rPr>
          <w:rStyle w:val="SingleTxtGChar"/>
          <w:szCs w:val="24"/>
        </w:rPr>
        <w:t>ing</w:t>
      </w:r>
      <w:r>
        <w:rPr>
          <w:rStyle w:val="SingleTxtGChar"/>
          <w:szCs w:val="24"/>
        </w:rPr>
        <w:t xml:space="preserve"> of SC.1 agenda from </w:t>
      </w:r>
      <w:r w:rsidR="00B46938">
        <w:rPr>
          <w:rStyle w:val="SingleTxtGChar"/>
          <w:szCs w:val="24"/>
        </w:rPr>
        <w:t>the</w:t>
      </w:r>
      <w:r w:rsidR="00753720">
        <w:rPr>
          <w:rStyle w:val="SingleTxtGChar"/>
          <w:szCs w:val="24"/>
        </w:rPr>
        <w:t xml:space="preserve"> </w:t>
      </w:r>
      <w:r>
        <w:rPr>
          <w:rStyle w:val="SingleTxtGChar"/>
          <w:szCs w:val="24"/>
        </w:rPr>
        <w:t>11</w:t>
      </w:r>
      <w:r w:rsidR="00B602FE">
        <w:rPr>
          <w:rStyle w:val="SingleTxtGChar"/>
          <w:szCs w:val="24"/>
        </w:rPr>
        <w:t>5th</w:t>
      </w:r>
      <w:r>
        <w:rPr>
          <w:rStyle w:val="SingleTxtGChar"/>
          <w:szCs w:val="24"/>
        </w:rPr>
        <w:t xml:space="preserve"> session</w:t>
      </w:r>
      <w:r>
        <w:rPr>
          <w:rStyle w:val="SingleTxtGChar"/>
          <w:szCs w:val="24"/>
        </w:rPr>
        <w:tab/>
      </w:r>
      <w:r>
        <w:rPr>
          <w:rStyle w:val="SingleTxtGChar"/>
          <w:szCs w:val="24"/>
        </w:rPr>
        <w:tab/>
      </w:r>
      <w:r w:rsidR="00DD22F2">
        <w:rPr>
          <w:rStyle w:val="SingleTxtGChar"/>
          <w:szCs w:val="24"/>
        </w:rPr>
        <w:t>14</w:t>
      </w:r>
    </w:p>
    <w:p w14:paraId="412AF096" w14:textId="77777777" w:rsidR="009C1536" w:rsidRDefault="009C1536">
      <w:pPr>
        <w:suppressAutoHyphens w:val="0"/>
        <w:spacing w:line="240" w:lineRule="auto"/>
        <w:rPr>
          <w:rStyle w:val="SingleTxtGChar"/>
          <w:szCs w:val="24"/>
        </w:rPr>
      </w:pPr>
      <w:r>
        <w:rPr>
          <w:rStyle w:val="SingleTxtGChar"/>
          <w:szCs w:val="24"/>
        </w:rPr>
        <w:br w:type="page"/>
      </w:r>
    </w:p>
    <w:p w14:paraId="275C902C" w14:textId="77777777" w:rsidR="006009FF" w:rsidRDefault="00387410" w:rsidP="006009FF">
      <w:pPr>
        <w:pStyle w:val="HChG"/>
      </w:pPr>
      <w:r>
        <w:lastRenderedPageBreak/>
        <w:tab/>
      </w:r>
      <w:r w:rsidR="006009FF">
        <w:t>I.</w:t>
      </w:r>
      <w:r w:rsidR="006009FF">
        <w:tab/>
      </w:r>
      <w:r w:rsidR="006009FF">
        <w:tab/>
        <w:t>Attendance</w:t>
      </w:r>
    </w:p>
    <w:p w14:paraId="2513AE1F" w14:textId="77777777" w:rsidR="006009FF" w:rsidRDefault="006009FF" w:rsidP="00FF39F0">
      <w:pPr>
        <w:pStyle w:val="SingleTxtG"/>
      </w:pPr>
      <w:r w:rsidRPr="001C2134">
        <w:t>1.</w:t>
      </w:r>
      <w:r w:rsidRPr="001C2134">
        <w:tab/>
        <w:t>The Working Party on Ro</w:t>
      </w:r>
      <w:r>
        <w:t>ad Transport (SC.1) held its 11</w:t>
      </w:r>
      <w:r w:rsidR="00387410">
        <w:t>4</w:t>
      </w:r>
      <w:r w:rsidRPr="001C2134">
        <w:t xml:space="preserve">th session </w:t>
      </w:r>
      <w:r>
        <w:t>from</w:t>
      </w:r>
      <w:r w:rsidRPr="001C2134">
        <w:t xml:space="preserve"> 1</w:t>
      </w:r>
      <w:r>
        <w:t xml:space="preserve">6 to </w:t>
      </w:r>
      <w:r w:rsidRPr="001C2134">
        <w:t>18 October 201</w:t>
      </w:r>
      <w:r w:rsidR="00387410">
        <w:t>9</w:t>
      </w:r>
      <w:r w:rsidRPr="001C2134">
        <w:t xml:space="preserve">, chaired by Mr. R. </w:t>
      </w:r>
      <w:proofErr w:type="spellStart"/>
      <w:r w:rsidRPr="001C2134">
        <w:t>Symonenko</w:t>
      </w:r>
      <w:proofErr w:type="spellEnd"/>
      <w:r w:rsidRPr="001C2134">
        <w:t xml:space="preserve"> (Ukraine). The following United Nations Economic Commission for Europe (ECE) member States were represented in the meeting: </w:t>
      </w:r>
      <w:r w:rsidR="00FF39F0">
        <w:t>Andorra, Austria</w:t>
      </w:r>
      <w:r w:rsidR="00F14F20">
        <w:t>,</w:t>
      </w:r>
      <w:r>
        <w:t xml:space="preserve"> </w:t>
      </w:r>
      <w:r w:rsidRPr="001C2134">
        <w:t>Finland,</w:t>
      </w:r>
      <w:r w:rsidR="00FF39F0">
        <w:t xml:space="preserve"> France,</w:t>
      </w:r>
      <w:r w:rsidR="00FF39F0" w:rsidRPr="00FF39F0">
        <w:t xml:space="preserve"> </w:t>
      </w:r>
      <w:r w:rsidR="00717B02">
        <w:t xml:space="preserve">Georgia, </w:t>
      </w:r>
      <w:r w:rsidR="00FF39F0" w:rsidRPr="001C2134">
        <w:t xml:space="preserve">Germany, </w:t>
      </w:r>
      <w:r w:rsidR="00FF39F0">
        <w:t xml:space="preserve">Latvia, Liechtenstein, Monaco, </w:t>
      </w:r>
      <w:r w:rsidRPr="001C2134">
        <w:t xml:space="preserve">Norway, Poland, Russian Federation, </w:t>
      </w:r>
      <w:r w:rsidR="00717B02">
        <w:t xml:space="preserve">Slovakia, </w:t>
      </w:r>
      <w:r>
        <w:t>Slovenia,</w:t>
      </w:r>
      <w:r w:rsidRPr="001C2134">
        <w:t xml:space="preserve"> </w:t>
      </w:r>
      <w:r w:rsidR="00717B02">
        <w:t xml:space="preserve">Sweden, Switzerland, </w:t>
      </w:r>
      <w:r w:rsidRPr="001C2134">
        <w:t>Turkey</w:t>
      </w:r>
      <w:r w:rsidR="00E00D6E">
        <w:t xml:space="preserve">, </w:t>
      </w:r>
      <w:r w:rsidRPr="001C2134">
        <w:t>Ukrai</w:t>
      </w:r>
      <w:r w:rsidR="00E00D6E">
        <w:t xml:space="preserve">ne, </w:t>
      </w:r>
      <w:r w:rsidR="00E00D6E" w:rsidRPr="00E00D6E">
        <w:t>United Kingdom of Great Britain and Northern Ireland</w:t>
      </w:r>
      <w:r w:rsidR="008F5C92">
        <w:t xml:space="preserve"> and Uzbekistan.</w:t>
      </w:r>
    </w:p>
    <w:p w14:paraId="7F0B8F55" w14:textId="77777777" w:rsidR="00B1345A" w:rsidRPr="001C2134" w:rsidRDefault="00B1345A" w:rsidP="00FF39F0">
      <w:pPr>
        <w:pStyle w:val="SingleTxtG"/>
      </w:pPr>
      <w:r>
        <w:t>2.</w:t>
      </w:r>
      <w:r>
        <w:tab/>
        <w:t xml:space="preserve">The following non-ECE members were represented: Algeria, </w:t>
      </w:r>
      <w:r w:rsidR="00F21A58">
        <w:t>Egypt</w:t>
      </w:r>
      <w:r w:rsidR="00775EBA">
        <w:t>,</w:t>
      </w:r>
      <w:r w:rsidR="0039671A">
        <w:t xml:space="preserve"> </w:t>
      </w:r>
      <w:r>
        <w:t>Jordan</w:t>
      </w:r>
      <w:r w:rsidR="00F21A58">
        <w:t xml:space="preserve"> and Tunisia</w:t>
      </w:r>
      <w:r w:rsidR="00B46938">
        <w:t>.</w:t>
      </w:r>
    </w:p>
    <w:p w14:paraId="7986B94B" w14:textId="77777777" w:rsidR="006009FF" w:rsidRPr="001C2134" w:rsidRDefault="00F21A58" w:rsidP="006009FF">
      <w:pPr>
        <w:pStyle w:val="SingleTxtG"/>
      </w:pPr>
      <w:bookmarkStart w:id="1" w:name="_Hlk528581737"/>
      <w:r>
        <w:t>3</w:t>
      </w:r>
      <w:r w:rsidR="006009FF" w:rsidRPr="001C2134">
        <w:t>.</w:t>
      </w:r>
      <w:r w:rsidR="006009FF" w:rsidRPr="001C2134">
        <w:tab/>
        <w:t>The European Union,</w:t>
      </w:r>
      <w:r w:rsidR="00A97BE6">
        <w:t xml:space="preserve"> </w:t>
      </w:r>
      <w:proofErr w:type="spellStart"/>
      <w:r>
        <w:t>Euromed</w:t>
      </w:r>
      <w:proofErr w:type="spellEnd"/>
      <w:r>
        <w:t xml:space="preserve"> and the following </w:t>
      </w:r>
      <w:r w:rsidR="006009FF" w:rsidRPr="001C2134">
        <w:t>non</w:t>
      </w:r>
      <w:r w:rsidR="006009FF" w:rsidRPr="001C2134">
        <w:noBreakHyphen/>
        <w:t xml:space="preserve">governmental organizations were represented: </w:t>
      </w:r>
      <w:r>
        <w:t xml:space="preserve">Association for the promotion of tachograph systems, </w:t>
      </w:r>
      <w:r w:rsidR="006009FF">
        <w:t>A</w:t>
      </w:r>
      <w:r w:rsidR="006009FF" w:rsidRPr="001C2134">
        <w:rPr>
          <w:bCs/>
          <w:iCs/>
          <w:noProof/>
          <w:szCs w:val="17"/>
        </w:rPr>
        <w:t>ssociation of International Road Carriers (ASMAP)</w:t>
      </w:r>
      <w:r w:rsidR="006009FF">
        <w:rPr>
          <w:bCs/>
          <w:iCs/>
          <w:noProof/>
          <w:szCs w:val="17"/>
        </w:rPr>
        <w:t>,</w:t>
      </w:r>
      <w:r w:rsidR="006009FF" w:rsidRPr="005E6E93">
        <w:rPr>
          <w:bCs/>
          <w:iCs/>
          <w:noProof/>
          <w:szCs w:val="17"/>
        </w:rPr>
        <w:t xml:space="preserve"> </w:t>
      </w:r>
      <w:r w:rsidR="004F2B7D">
        <w:rPr>
          <w:lang w:val="en"/>
        </w:rPr>
        <w:t>Confederation of Organizations in Road Transport Enforcement (CORTE)</w:t>
      </w:r>
      <w:r w:rsidR="00B46938">
        <w:rPr>
          <w:lang w:val="en"/>
        </w:rPr>
        <w:t>,</w:t>
      </w:r>
      <w:r w:rsidR="004F2B7D">
        <w:rPr>
          <w:bCs/>
          <w:iCs/>
          <w:noProof/>
          <w:szCs w:val="17"/>
        </w:rPr>
        <w:t xml:space="preserve"> </w:t>
      </w:r>
      <w:r w:rsidR="006009FF" w:rsidRPr="001C2134">
        <w:t>Council of Bureaux (</w:t>
      </w:r>
      <w:proofErr w:type="spellStart"/>
      <w:r w:rsidR="006009FF" w:rsidRPr="001C2134">
        <w:t>CoB</w:t>
      </w:r>
      <w:proofErr w:type="spellEnd"/>
      <w:r w:rsidR="006009FF">
        <w:t>)</w:t>
      </w:r>
      <w:r w:rsidR="004F2B7D">
        <w:t xml:space="preserve"> and </w:t>
      </w:r>
      <w:r w:rsidR="004F2B7D">
        <w:rPr>
          <w:bCs/>
          <w:iCs/>
          <w:noProof/>
          <w:szCs w:val="17"/>
        </w:rPr>
        <w:t>I</w:t>
      </w:r>
      <w:r w:rsidR="006009FF">
        <w:rPr>
          <w:bCs/>
          <w:iCs/>
          <w:noProof/>
          <w:szCs w:val="17"/>
        </w:rPr>
        <w:t>nternational</w:t>
      </w:r>
      <w:r w:rsidR="006009FF" w:rsidRPr="001C2134">
        <w:t xml:space="preserve"> Road Transport Union (IRU)</w:t>
      </w:r>
      <w:r w:rsidR="004F2B7D">
        <w:t>.</w:t>
      </w:r>
      <w:r w:rsidR="006009FF">
        <w:t xml:space="preserve"> </w:t>
      </w:r>
    </w:p>
    <w:bookmarkEnd w:id="1"/>
    <w:p w14:paraId="407F778B" w14:textId="77777777" w:rsidR="00AE774E" w:rsidRPr="00AE774E" w:rsidRDefault="00AE774E" w:rsidP="00AE774E">
      <w:pPr>
        <w:pStyle w:val="HChG"/>
      </w:pPr>
      <w:r>
        <w:tab/>
        <w:t>II</w:t>
      </w:r>
      <w:r w:rsidRPr="00AE774E">
        <w:t>.</w:t>
      </w:r>
      <w:r>
        <w:tab/>
      </w:r>
      <w:r w:rsidRPr="00AE774E">
        <w:tab/>
        <w:t>Adoption of the agenda</w:t>
      </w:r>
    </w:p>
    <w:p w14:paraId="7519EEBA" w14:textId="77777777" w:rsidR="00AE774E" w:rsidRPr="00AE774E" w:rsidRDefault="00AE774E" w:rsidP="00AE774E">
      <w:pPr>
        <w:pStyle w:val="SingleTxtG"/>
      </w:pPr>
      <w:r w:rsidRPr="00AE774E">
        <w:t>4.</w:t>
      </w:r>
      <w:r w:rsidRPr="00AE774E">
        <w:tab/>
        <w:t xml:space="preserve">SC.1 adopted </w:t>
      </w:r>
      <w:r w:rsidR="00677A22">
        <w:t xml:space="preserve">the </w:t>
      </w:r>
      <w:r w:rsidRPr="00AE774E">
        <w:t>agenda</w:t>
      </w:r>
      <w:r w:rsidR="00677A22">
        <w:t xml:space="preserve"> of the session</w:t>
      </w:r>
      <w:r w:rsidRPr="00AE774E">
        <w:t xml:space="preserve"> (</w:t>
      </w:r>
      <w:r w:rsidRPr="00AE774E">
        <w:rPr>
          <w:rStyle w:val="SingleTxtGChar"/>
        </w:rPr>
        <w:t>ECE/TRANS/SC.1/411)</w:t>
      </w:r>
      <w:r w:rsidRPr="00AE774E">
        <w:t xml:space="preserve">. </w:t>
      </w:r>
    </w:p>
    <w:p w14:paraId="7EE85099" w14:textId="77777777" w:rsidR="00AE774E" w:rsidRPr="00AE774E" w:rsidRDefault="00AE774E" w:rsidP="00AE774E">
      <w:pPr>
        <w:pStyle w:val="HChG"/>
      </w:pPr>
      <w:r w:rsidRPr="00AE774E">
        <w:tab/>
      </w:r>
      <w:r>
        <w:t>III</w:t>
      </w:r>
      <w:r w:rsidRPr="00AE774E">
        <w:t>.</w:t>
      </w:r>
      <w:r w:rsidRPr="00AE774E">
        <w:tab/>
        <w:t>Activities of interest to the Working Party</w:t>
      </w:r>
    </w:p>
    <w:p w14:paraId="316907AD" w14:textId="77777777" w:rsidR="00AE774E" w:rsidRPr="00AE774E" w:rsidRDefault="00AE774E" w:rsidP="00AE774E">
      <w:pPr>
        <w:pStyle w:val="H1G"/>
      </w:pPr>
      <w:r w:rsidRPr="007333CC">
        <w:rPr>
          <w:lang w:eastAsia="en-US"/>
        </w:rPr>
        <w:tab/>
      </w:r>
      <w:r>
        <w:t>A.</w:t>
      </w:r>
      <w:r>
        <w:tab/>
      </w:r>
      <w:r w:rsidRPr="00AE774E">
        <w:t>National delegations</w:t>
      </w:r>
    </w:p>
    <w:p w14:paraId="255848B2" w14:textId="77777777" w:rsidR="00AE774E" w:rsidRPr="00AE774E" w:rsidRDefault="00AE774E" w:rsidP="00AE774E">
      <w:pPr>
        <w:pStyle w:val="SingleTxtG"/>
      </w:pPr>
      <w:r w:rsidRPr="00AE774E">
        <w:t>5.</w:t>
      </w:r>
      <w:r w:rsidRPr="00AE774E">
        <w:tab/>
        <w:t>The representative of Jordan submitted a presentation on the developments in Jordan in relation to road transport and tachograph and requested that it be shared on SC.1 website. There were no other updates by national delegations.</w:t>
      </w:r>
    </w:p>
    <w:p w14:paraId="46E9AE21" w14:textId="77777777" w:rsidR="00AE774E" w:rsidRPr="00AE774E" w:rsidRDefault="00AE774E" w:rsidP="00AE774E">
      <w:pPr>
        <w:pStyle w:val="H1G"/>
        <w:rPr>
          <w:lang w:eastAsia="en-US"/>
        </w:rPr>
      </w:pPr>
      <w:r w:rsidRPr="00AE774E">
        <w:rPr>
          <w:lang w:eastAsia="en-US"/>
        </w:rPr>
        <w:tab/>
      </w:r>
      <w:r w:rsidR="00A376B4">
        <w:rPr>
          <w:lang w:eastAsia="en-US"/>
        </w:rPr>
        <w:t>B.</w:t>
      </w:r>
      <w:r w:rsidRPr="00AE774E">
        <w:rPr>
          <w:lang w:eastAsia="en-US"/>
        </w:rPr>
        <w:tab/>
        <w:t>International organizations</w:t>
      </w:r>
    </w:p>
    <w:p w14:paraId="0DC9FD2F" w14:textId="77777777" w:rsidR="00AE774E" w:rsidRPr="002A16E4" w:rsidRDefault="00743BA3" w:rsidP="002A16E4">
      <w:pPr>
        <w:pStyle w:val="SingleTxtG"/>
      </w:pPr>
      <w:r w:rsidRPr="002A16E4">
        <w:t>6.</w:t>
      </w:r>
      <w:r w:rsidRPr="002A16E4">
        <w:tab/>
      </w:r>
      <w:r w:rsidR="00AE774E" w:rsidRPr="002A16E4">
        <w:t xml:space="preserve">There were no updates by international organizations. </w:t>
      </w:r>
    </w:p>
    <w:p w14:paraId="1902BBB5" w14:textId="77777777" w:rsidR="00AE774E" w:rsidRPr="00AE774E" w:rsidRDefault="00AE774E" w:rsidP="00AE774E">
      <w:pPr>
        <w:pStyle w:val="H1G"/>
        <w:rPr>
          <w:lang w:eastAsia="en-US"/>
        </w:rPr>
      </w:pPr>
      <w:r w:rsidRPr="00AE774E">
        <w:rPr>
          <w:lang w:eastAsia="en-US"/>
        </w:rPr>
        <w:tab/>
      </w:r>
      <w:r w:rsidR="00A376B4">
        <w:rPr>
          <w:lang w:eastAsia="en-US"/>
        </w:rPr>
        <w:t>C.</w:t>
      </w:r>
      <w:r w:rsidRPr="00AE774E">
        <w:rPr>
          <w:lang w:eastAsia="en-US"/>
        </w:rPr>
        <w:tab/>
        <w:t>Activities of ECE bodies and other United Nations organizations</w:t>
      </w:r>
    </w:p>
    <w:p w14:paraId="18E7DB1C" w14:textId="77777777" w:rsidR="00AE774E" w:rsidRPr="00AE774E" w:rsidRDefault="00743BA3" w:rsidP="00AE774E">
      <w:pPr>
        <w:pStyle w:val="SingleTxtG"/>
      </w:pPr>
      <w:r>
        <w:rPr>
          <w:sz w:val="24"/>
          <w:szCs w:val="24"/>
          <w:lang w:eastAsia="en-US"/>
        </w:rPr>
        <w:t>7.</w:t>
      </w:r>
      <w:r>
        <w:rPr>
          <w:sz w:val="24"/>
          <w:szCs w:val="24"/>
          <w:lang w:eastAsia="en-US"/>
        </w:rPr>
        <w:tab/>
      </w:r>
      <w:r w:rsidR="00AE774E" w:rsidRPr="00367B64">
        <w:t>SC.1</w:t>
      </w:r>
      <w:r w:rsidR="00AE774E" w:rsidRPr="00AE774E">
        <w:t xml:space="preserve"> was informed about the results of relevant sessions of the Inland Transport Committee (ITC), its subsidiary bodies and other United Nations entities of interest. Specifically, the ITC Secretary informed SC.1 about the adoption of the “ITC Strategy until 2030” (ITC 2030 Strategy) at the Committee’s </w:t>
      </w:r>
      <w:r w:rsidR="003B3C03">
        <w:t>eighty-first</w:t>
      </w:r>
      <w:r w:rsidR="00617A95">
        <w:t xml:space="preserve"> </w:t>
      </w:r>
      <w:r w:rsidR="00AE774E" w:rsidRPr="00AE774E">
        <w:t xml:space="preserve"> session in February 2019 as well as the resulting implications to ITC subsidiary bodies to “take follow</w:t>
      </w:r>
      <w:r w:rsidR="00590CDC">
        <w:t>-</w:t>
      </w:r>
      <w:r w:rsidR="00AE774E" w:rsidRPr="00AE774E">
        <w:t>up actions to align their work with the strategy” (ECE/TRANS/288, paras. 15(a) and (c)). The “Inland Transport Committee Strategy until 2030” may be found in ECE/TRANS/288/Add.2 with Table 1 in Section V containing a “List of priorities until 2030”.</w:t>
      </w:r>
    </w:p>
    <w:p w14:paraId="11CD782C" w14:textId="77777777" w:rsidR="00AE774E" w:rsidRPr="00AE774E" w:rsidRDefault="00743BA3" w:rsidP="00AE774E">
      <w:pPr>
        <w:pStyle w:val="SingleTxtG"/>
      </w:pPr>
      <w:r>
        <w:t>8.</w:t>
      </w:r>
      <w:r>
        <w:tab/>
      </w:r>
      <w:r w:rsidR="00AE774E" w:rsidRPr="00AE774E">
        <w:t xml:space="preserve">The ITC Secretary drew attention to the ITC Bureau decision of 4 June 2019 inviting Chairs of Working Parties to “propose a concrete plan aligning the work of their Working Party with the ITC strategy” by 15 November 2019 preferably or by </w:t>
      </w:r>
      <w:r w:rsidRPr="00AE774E">
        <w:t>mid-2020</w:t>
      </w:r>
      <w:r w:rsidR="00AE774E" w:rsidRPr="00AE774E">
        <w:t xml:space="preserve"> latest. Using Table 1 as a guide, SC.1 discussion on the alignment of its work with the ITC Strategy is reflected in Annex I. In addition, SC.1 agreed to restructure its agenda with effect from the next session to better reflect the alignment of its agenda with the ITC Strategy (Annex II). On behalf of the Chair, the secretariat was requested to provide both annexes to the ITC Secretary.</w:t>
      </w:r>
    </w:p>
    <w:p w14:paraId="1287EFE7" w14:textId="77777777" w:rsidR="00AE774E" w:rsidRPr="00AE774E" w:rsidRDefault="00743BA3" w:rsidP="00AE774E">
      <w:pPr>
        <w:pStyle w:val="SingleTxtG"/>
      </w:pPr>
      <w:r>
        <w:t>9.</w:t>
      </w:r>
      <w:r>
        <w:tab/>
      </w:r>
      <w:r w:rsidR="00AE774E" w:rsidRPr="00AE774E">
        <w:t xml:space="preserve">The ITC Secretary also informed SC.1 that its comments were sought </w:t>
      </w:r>
      <w:r w:rsidR="00753720">
        <w:t>by</w:t>
      </w:r>
      <w:r w:rsidR="00F106B4" w:rsidRPr="00AE774E">
        <w:t xml:space="preserve"> 15 November 2019 </w:t>
      </w:r>
      <w:r w:rsidR="00753720">
        <w:t>on</w:t>
      </w:r>
      <w:r w:rsidR="00753720" w:rsidRPr="00AE774E">
        <w:t xml:space="preserve"> </w:t>
      </w:r>
      <w:r w:rsidR="00AE774E" w:rsidRPr="00AE774E">
        <w:t xml:space="preserve">the “restricted” zero draft of the ITC Strategy Recommendations for Enhancing National Road Safety Systems. </w:t>
      </w:r>
    </w:p>
    <w:p w14:paraId="040B2213" w14:textId="77777777" w:rsidR="00AE774E" w:rsidRPr="00AE774E" w:rsidRDefault="00743BA3" w:rsidP="00AE774E">
      <w:pPr>
        <w:pStyle w:val="SingleTxtG"/>
      </w:pPr>
      <w:r>
        <w:lastRenderedPageBreak/>
        <w:t>10.</w:t>
      </w:r>
      <w:r>
        <w:tab/>
      </w:r>
      <w:r w:rsidR="00AE774E" w:rsidRPr="00AE774E">
        <w:t>SC.1 discussed the zero draft and agreed in principle with the document. It recommended that SC.1 be included together with</w:t>
      </w:r>
      <w:r w:rsidR="00D446A8">
        <w:t xml:space="preserve"> </w:t>
      </w:r>
      <w:r w:rsidR="007D0BC6">
        <w:t>the Global Forum for Road Traffic Safety</w:t>
      </w:r>
      <w:r w:rsidR="00AE774E" w:rsidRPr="00AE774E">
        <w:t xml:space="preserve"> </w:t>
      </w:r>
      <w:r w:rsidR="007D0BC6">
        <w:t>(</w:t>
      </w:r>
      <w:r w:rsidR="00AE774E" w:rsidRPr="007D0BC6">
        <w:t>WP.1</w:t>
      </w:r>
      <w:r w:rsidR="007D0BC6" w:rsidRPr="007D0BC6">
        <w:t>)</w:t>
      </w:r>
      <w:r w:rsidR="00AE774E" w:rsidRPr="007D0BC6">
        <w:t>,</w:t>
      </w:r>
      <w:r w:rsidR="00AE774E" w:rsidRPr="00AE774E">
        <w:t xml:space="preserve"> </w:t>
      </w:r>
      <w:r w:rsidR="007D0BC6">
        <w:t>Working Party on the Transport of Dangerous Goods (</w:t>
      </w:r>
      <w:r w:rsidR="00AE774E" w:rsidRPr="007D0BC6">
        <w:t>WP.15</w:t>
      </w:r>
      <w:r w:rsidR="007D0BC6" w:rsidRPr="007D0BC6">
        <w:t>)</w:t>
      </w:r>
      <w:r w:rsidR="00AE774E" w:rsidRPr="00AE774E">
        <w:t xml:space="preserve"> and</w:t>
      </w:r>
      <w:r w:rsidR="007D0BC6">
        <w:t xml:space="preserve"> </w:t>
      </w:r>
      <w:r w:rsidR="007D0BC6" w:rsidRPr="007D0BC6">
        <w:t xml:space="preserve">World Forum for the </w:t>
      </w:r>
      <w:r w:rsidR="00562B80">
        <w:t>H</w:t>
      </w:r>
      <w:r w:rsidR="007D0BC6" w:rsidRPr="007D0BC6">
        <w:t xml:space="preserve">armonization of </w:t>
      </w:r>
      <w:r w:rsidR="00562B80">
        <w:t>V</w:t>
      </w:r>
      <w:r w:rsidR="007D0BC6" w:rsidRPr="007D0BC6">
        <w:t xml:space="preserve">ehicle </w:t>
      </w:r>
      <w:r w:rsidR="00562B80">
        <w:t>R</w:t>
      </w:r>
      <w:r w:rsidR="007D0BC6" w:rsidRPr="007D0BC6">
        <w:t>egulations</w:t>
      </w:r>
      <w:r w:rsidR="00AE774E" w:rsidRPr="00AE774E">
        <w:t xml:space="preserve"> </w:t>
      </w:r>
      <w:r w:rsidR="007D0BC6">
        <w:t>(</w:t>
      </w:r>
      <w:r w:rsidR="00AE774E" w:rsidRPr="00AE774E">
        <w:t>WP.29</w:t>
      </w:r>
      <w:r w:rsidR="007D0BC6">
        <w:t>)</w:t>
      </w:r>
      <w:r w:rsidR="00AE774E" w:rsidRPr="00AE774E">
        <w:t xml:space="preserve"> in the box corresponding to the “safe vehicle” pillar and “International Regulatory Support” area in Figure 1, and also recommended that the AETR Agreement be included in the list of U</w:t>
      </w:r>
      <w:r w:rsidR="00617A95">
        <w:t xml:space="preserve">nited </w:t>
      </w:r>
      <w:r w:rsidR="00AE774E" w:rsidRPr="00AE774E">
        <w:t>N</w:t>
      </w:r>
      <w:r w:rsidR="00617A95">
        <w:t>ations</w:t>
      </w:r>
      <w:r w:rsidR="00AE774E" w:rsidRPr="00AE774E">
        <w:t xml:space="preserve"> </w:t>
      </w:r>
      <w:r w:rsidR="00617A95">
        <w:t>C</w:t>
      </w:r>
      <w:r w:rsidR="00AE774E" w:rsidRPr="00AE774E">
        <w:t>onventions in para</w:t>
      </w:r>
      <w:r w:rsidR="00F106B4">
        <w:t>graph</w:t>
      </w:r>
      <w:r w:rsidR="00F106B4" w:rsidRPr="00AE774E">
        <w:t xml:space="preserve"> </w:t>
      </w:r>
      <w:r w:rsidR="00AE774E" w:rsidRPr="00AE774E">
        <w:t xml:space="preserve">38. SC.1 also recommended that there should be </w:t>
      </w:r>
      <w:r w:rsidR="00F106B4">
        <w:t xml:space="preserve">future </w:t>
      </w:r>
      <w:r w:rsidR="00AE774E" w:rsidRPr="00AE774E">
        <w:t>opportunities from time to time to amend or update the ITC Strategy Recommendations for Enhancing National Road Safety Systems as appropriate. On behalf of the Chair, the secretariat was requested to provide SC.1</w:t>
      </w:r>
      <w:r w:rsidR="00F106B4">
        <w:t xml:space="preserve"> </w:t>
      </w:r>
      <w:r w:rsidR="00AE774E" w:rsidRPr="00AE774E">
        <w:t>comments to the ITC Secretary.</w:t>
      </w:r>
    </w:p>
    <w:p w14:paraId="3A26EC5F" w14:textId="77777777" w:rsidR="00AE774E" w:rsidRPr="00AE774E" w:rsidRDefault="00743BA3" w:rsidP="00AE774E">
      <w:pPr>
        <w:pStyle w:val="SingleTxtG"/>
      </w:pPr>
      <w:r>
        <w:t>11.</w:t>
      </w:r>
      <w:r>
        <w:tab/>
      </w:r>
      <w:r w:rsidR="00AE774E" w:rsidRPr="00AE774E">
        <w:t>SC.1 invited the Secretaries of WP.1 and WP.29 to attend its next session, and to provide an overview of the work of their Working Parties.</w:t>
      </w:r>
    </w:p>
    <w:p w14:paraId="0246DE91" w14:textId="77777777" w:rsidR="00AE774E" w:rsidRPr="00AE774E" w:rsidRDefault="00AE774E" w:rsidP="00AE774E">
      <w:pPr>
        <w:pStyle w:val="H1G"/>
        <w:rPr>
          <w:lang w:eastAsia="en-US"/>
        </w:rPr>
      </w:pPr>
      <w:r w:rsidRPr="00AE774E">
        <w:rPr>
          <w:lang w:eastAsia="en-US"/>
        </w:rPr>
        <w:tab/>
      </w:r>
      <w:r w:rsidR="00A376B4">
        <w:rPr>
          <w:lang w:eastAsia="en-US"/>
        </w:rPr>
        <w:t>D.</w:t>
      </w:r>
      <w:r w:rsidRPr="00AE774E">
        <w:rPr>
          <w:lang w:eastAsia="en-US"/>
        </w:rPr>
        <w:tab/>
        <w:t>Digital/smart road infrastructure</w:t>
      </w:r>
    </w:p>
    <w:p w14:paraId="73D52349" w14:textId="77777777" w:rsidR="00AE774E" w:rsidRPr="00AE774E" w:rsidRDefault="00743BA3" w:rsidP="00AE774E">
      <w:pPr>
        <w:pStyle w:val="SingleTxtG"/>
      </w:pPr>
      <w:r>
        <w:t>12.</w:t>
      </w:r>
      <w:r>
        <w:tab/>
      </w:r>
      <w:r w:rsidR="00AE774E" w:rsidRPr="00AE774E">
        <w:t>The secretariat informed the Working Party that, at</w:t>
      </w:r>
      <w:r w:rsidR="00886F72">
        <w:t xml:space="preserve"> the</w:t>
      </w:r>
      <w:r w:rsidR="00AE774E" w:rsidRPr="00AE774E">
        <w:t xml:space="preserve"> ITC </w:t>
      </w:r>
      <w:r w:rsidR="004A2D2A">
        <w:t>eighty-first</w:t>
      </w:r>
      <w:r w:rsidR="004A2D2A" w:rsidRPr="00AE774E">
        <w:t xml:space="preserve"> </w:t>
      </w:r>
      <w:r w:rsidR="00AE774E" w:rsidRPr="00AE774E">
        <w:t>session, the Committee had encouraged SC.1 to continue its work on smart roads (</w:t>
      </w:r>
      <w:r w:rsidR="00617A95" w:rsidRPr="00AE774E">
        <w:t>ECE/TRANS/288</w:t>
      </w:r>
      <w:r w:rsidR="00617A95">
        <w:t xml:space="preserve">, </w:t>
      </w:r>
      <w:r w:rsidR="00AE774E" w:rsidRPr="00AE774E">
        <w:t>para</w:t>
      </w:r>
      <w:r w:rsidR="00886F72">
        <w:t>.</w:t>
      </w:r>
      <w:r w:rsidR="00AE774E" w:rsidRPr="00AE774E">
        <w:t xml:space="preserve"> 35). </w:t>
      </w:r>
      <w:proofErr w:type="gramStart"/>
      <w:r w:rsidR="00AE774E" w:rsidRPr="00AE774E">
        <w:t>In light of</w:t>
      </w:r>
      <w:proofErr w:type="gramEnd"/>
      <w:r w:rsidR="00AE774E" w:rsidRPr="00AE774E">
        <w:t xml:space="preserve"> this, as well as the priority placed by the ITC 2030 Strategy on supporting new technologies and innovations in inland transport, SC.1 affirmed the relevance of this item in its agenda. </w:t>
      </w:r>
    </w:p>
    <w:p w14:paraId="52B793B8" w14:textId="77777777" w:rsidR="00AE774E" w:rsidRPr="00AE774E" w:rsidRDefault="00743BA3" w:rsidP="00AE774E">
      <w:pPr>
        <w:pStyle w:val="SingleTxtG"/>
      </w:pPr>
      <w:r>
        <w:t>13.</w:t>
      </w:r>
      <w:r>
        <w:tab/>
      </w:r>
      <w:r w:rsidR="00AE774E" w:rsidRPr="00AE774E">
        <w:t xml:space="preserve">The representative of Turkey made a presentation on the digitalization of road transport in Turkey which included information on its transport automation system (U-net) and electronic permits. </w:t>
      </w:r>
    </w:p>
    <w:p w14:paraId="67AACF7C" w14:textId="77777777" w:rsidR="00AE774E" w:rsidRPr="00AE774E" w:rsidRDefault="00743BA3" w:rsidP="00AE774E">
      <w:pPr>
        <w:pStyle w:val="SingleTxtG"/>
      </w:pPr>
      <w:r>
        <w:t>14.</w:t>
      </w:r>
      <w:r>
        <w:tab/>
      </w:r>
      <w:r w:rsidR="00AE774E" w:rsidRPr="00AE774E">
        <w:t>Members of SC.1 were encouraged to volunteer to share or present</w:t>
      </w:r>
      <w:r w:rsidR="00663332" w:rsidRPr="00663332">
        <w:t xml:space="preserve"> </w:t>
      </w:r>
      <w:r w:rsidR="00663332">
        <w:t>initiatives</w:t>
      </w:r>
      <w:r w:rsidR="00577802">
        <w:t xml:space="preserve"> </w:t>
      </w:r>
      <w:r w:rsidR="00AE774E" w:rsidRPr="00AE774E">
        <w:t>on the digitalization of road systems or road infrastructure in their countries at the next session. Liechtenstein expressed its interest in providing a presentation at the next session on managing a vehicle’s life cycle with blockchain technology.</w:t>
      </w:r>
    </w:p>
    <w:p w14:paraId="1EE6B97E" w14:textId="77777777" w:rsidR="00AE774E" w:rsidRPr="007333CC" w:rsidRDefault="00AE774E" w:rsidP="00AE774E">
      <w:pPr>
        <w:pStyle w:val="HChG"/>
        <w:rPr>
          <w:szCs w:val="24"/>
        </w:rPr>
      </w:pPr>
      <w:r w:rsidRPr="007333CC">
        <w:rPr>
          <w:rFonts w:asciiTheme="majorBidi" w:hAnsiTheme="majorBidi" w:cstheme="majorBidi"/>
          <w:szCs w:val="24"/>
        </w:rPr>
        <w:tab/>
      </w:r>
      <w:bookmarkStart w:id="2" w:name="_Hlk22125961"/>
      <w:r w:rsidR="00A376B4">
        <w:t>IV</w:t>
      </w:r>
      <w:r w:rsidRPr="00AE774E">
        <w:t>.</w:t>
      </w:r>
      <w:r w:rsidRPr="00AE774E">
        <w:tab/>
        <w:t>European Agreement concerning the Work of Crews of Vehicles Engaged in International Road Transport (AETR)</w:t>
      </w:r>
    </w:p>
    <w:p w14:paraId="1466CA67" w14:textId="77777777" w:rsidR="00AE774E" w:rsidRPr="00AE774E" w:rsidRDefault="00AE774E" w:rsidP="00AE774E">
      <w:pPr>
        <w:pStyle w:val="H1G"/>
        <w:rPr>
          <w:lang w:eastAsia="en-US"/>
        </w:rPr>
      </w:pPr>
      <w:r w:rsidRPr="00AE774E">
        <w:rPr>
          <w:lang w:eastAsia="en-US"/>
        </w:rPr>
        <w:tab/>
      </w:r>
      <w:r w:rsidR="00A376B4">
        <w:rPr>
          <w:lang w:eastAsia="en-US"/>
        </w:rPr>
        <w:t>A.</w:t>
      </w:r>
      <w:r w:rsidRPr="00AE774E">
        <w:rPr>
          <w:lang w:eastAsia="en-US"/>
        </w:rPr>
        <w:tab/>
        <w:t>Status of the Agreement</w:t>
      </w:r>
    </w:p>
    <w:p w14:paraId="466F8AAA" w14:textId="77777777" w:rsidR="00AE774E" w:rsidRPr="00AE774E" w:rsidRDefault="00743BA3" w:rsidP="00AE774E">
      <w:pPr>
        <w:pStyle w:val="SingleTxtG"/>
      </w:pPr>
      <w:r>
        <w:t>15.</w:t>
      </w:r>
      <w:r>
        <w:tab/>
      </w:r>
      <w:r w:rsidR="00AE774E" w:rsidRPr="00AE774E">
        <w:t>The secretariat informed SC.1 about the status of the AETR Agreement, including about the acceptance of the proposal by the Government of Turkey to amend Article 14 to make Lebanon eligible to accede to the AETR Agreement. The amendment will enter into force on 8 January 2020 (Depositary Notification CN.503.2019.TREATIES-XI.B.21).</w:t>
      </w:r>
    </w:p>
    <w:p w14:paraId="40276CE8" w14:textId="77777777" w:rsidR="00AE774E" w:rsidRPr="00AE774E" w:rsidRDefault="00743BA3" w:rsidP="00AE774E">
      <w:pPr>
        <w:pStyle w:val="SingleTxtG"/>
      </w:pPr>
      <w:r>
        <w:t>16.</w:t>
      </w:r>
      <w:r>
        <w:tab/>
      </w:r>
      <w:r w:rsidR="00AE774E" w:rsidRPr="00AE774E">
        <w:t>As request</w:t>
      </w:r>
      <w:r w:rsidR="0068522B">
        <w:t>ed</w:t>
      </w:r>
      <w:r w:rsidR="00663332">
        <w:t xml:space="preserve"> </w:t>
      </w:r>
      <w:r w:rsidR="0068522B">
        <w:t xml:space="preserve">by </w:t>
      </w:r>
      <w:r w:rsidR="00AE774E" w:rsidRPr="00AE774E">
        <w:t xml:space="preserve">the AETR Group of Experts (ECE/TRANS/SC.1/GE.21/47, paras. 16-17), SC.1 was also informed about </w:t>
      </w:r>
      <w:r w:rsidR="00753720">
        <w:t xml:space="preserve">the interest of </w:t>
      </w:r>
      <w:r w:rsidR="00AE774E" w:rsidRPr="00AE774E">
        <w:t>Egypt in be</w:t>
      </w:r>
      <w:r w:rsidR="00367B64">
        <w:t>coming</w:t>
      </w:r>
      <w:r w:rsidR="00AE774E" w:rsidRPr="00AE774E">
        <w:t xml:space="preserve"> eligible to accede to the AETR Agreement. As this would require an amendment to Article 14, SC.1 agreed to the following amendment:</w:t>
      </w:r>
    </w:p>
    <w:p w14:paraId="4389CF41" w14:textId="77777777" w:rsidR="00AE774E" w:rsidRPr="00562B80" w:rsidRDefault="002D3D21" w:rsidP="00562B80">
      <w:pPr>
        <w:pStyle w:val="SingleTxtG"/>
      </w:pPr>
      <w:r>
        <w:tab/>
      </w:r>
      <w:r w:rsidR="00137836">
        <w:tab/>
      </w:r>
      <w:r w:rsidR="00AE774E" w:rsidRPr="00562B80">
        <w:t xml:space="preserve">“Article 14 </w:t>
      </w:r>
    </w:p>
    <w:p w14:paraId="18E0DBB0" w14:textId="77777777" w:rsidR="00AE774E" w:rsidRPr="00AE774E" w:rsidRDefault="00CA67BD" w:rsidP="00CA67BD">
      <w:pPr>
        <w:pStyle w:val="SingleTxtG"/>
        <w:ind w:left="1701" w:hanging="567"/>
      </w:pPr>
      <w:r>
        <w:tab/>
      </w:r>
      <w:r w:rsidR="00743BA3">
        <w:tab/>
      </w:r>
      <w:r w:rsidR="00AE774E" w:rsidRPr="00AE774E">
        <w:t xml:space="preserve">This Agreement shall be open for signature until 31 March 1971 and thereafter for </w:t>
      </w:r>
      <w:r>
        <w:tab/>
      </w:r>
      <w:r>
        <w:tab/>
      </w:r>
      <w:r w:rsidR="00AE774E" w:rsidRPr="00AE774E">
        <w:t>accession, by States members of the Economic Commission for Europe and States admitted to the Commission in a consultative capacity under paragraph 8 or 11 of the Commission's terms of reference. Accessions under paragraph 11 of the Commission's terms of reference shall be limited to the following States: Algeria, Egypt, Jordan, Lebanon, Morocco and Tunisia."</w:t>
      </w:r>
    </w:p>
    <w:p w14:paraId="0558B812" w14:textId="77777777" w:rsidR="00AE774E" w:rsidRPr="00AE774E" w:rsidRDefault="00743BA3" w:rsidP="00AE774E">
      <w:pPr>
        <w:pStyle w:val="SingleTxtG"/>
      </w:pPr>
      <w:r>
        <w:t>1</w:t>
      </w:r>
      <w:r w:rsidR="00CA67BD">
        <w:t>7</w:t>
      </w:r>
      <w:r>
        <w:t>.</w:t>
      </w:r>
      <w:r>
        <w:tab/>
      </w:r>
      <w:r w:rsidR="00AE774E" w:rsidRPr="00AE774E">
        <w:t>The SC.1 Chair invited an AETR Contracting Party to formally submit this proposal to the Secretary-General</w:t>
      </w:r>
      <w:r w:rsidR="0068522B">
        <w:t xml:space="preserve"> through the United Nations Office of Legal Affairs</w:t>
      </w:r>
      <w:r w:rsidR="00AE774E" w:rsidRPr="00AE774E">
        <w:t>.</w:t>
      </w:r>
    </w:p>
    <w:p w14:paraId="379A48CE" w14:textId="77777777" w:rsidR="00AE774E" w:rsidRPr="00AE774E" w:rsidRDefault="00AE774E" w:rsidP="00AE774E">
      <w:pPr>
        <w:pStyle w:val="H1G"/>
        <w:rPr>
          <w:lang w:eastAsia="en-US"/>
        </w:rPr>
      </w:pPr>
      <w:r w:rsidRPr="00AE774E">
        <w:rPr>
          <w:lang w:eastAsia="en-US"/>
        </w:rPr>
        <w:lastRenderedPageBreak/>
        <w:tab/>
      </w:r>
      <w:bookmarkStart w:id="3" w:name="_Hlk14418356"/>
      <w:r w:rsidR="00A376B4">
        <w:rPr>
          <w:lang w:eastAsia="en-US"/>
        </w:rPr>
        <w:t>B.</w:t>
      </w:r>
      <w:r w:rsidRPr="00AE774E">
        <w:rPr>
          <w:lang w:eastAsia="en-US"/>
        </w:rPr>
        <w:tab/>
        <w:t>AETR Group of Experts</w:t>
      </w:r>
    </w:p>
    <w:bookmarkEnd w:id="3"/>
    <w:p w14:paraId="34E7DE81" w14:textId="77777777" w:rsidR="00AE774E" w:rsidRPr="00253348" w:rsidRDefault="00743BA3" w:rsidP="00AE774E">
      <w:pPr>
        <w:pStyle w:val="SingleTxtG"/>
      </w:pPr>
      <w:r>
        <w:t>1</w:t>
      </w:r>
      <w:r w:rsidR="00CA67BD">
        <w:t>8</w:t>
      </w:r>
      <w:r>
        <w:t>.</w:t>
      </w:r>
      <w:r>
        <w:tab/>
      </w:r>
      <w:r w:rsidR="00AE774E" w:rsidRPr="00AE774E">
        <w:t xml:space="preserve">The Chair of AETR Group of Experts updated SC.1 on the recent work of the Group, especially on the work to reconcile the AETR regime in </w:t>
      </w:r>
      <w:r w:rsidR="00253348">
        <w:t xml:space="preserve">the </w:t>
      </w:r>
      <w:r w:rsidR="00AE774E" w:rsidRPr="00AE774E">
        <w:t>E</w:t>
      </w:r>
      <w:r w:rsidR="00253348">
        <w:t xml:space="preserve">uropean </w:t>
      </w:r>
      <w:r w:rsidR="00AE774E" w:rsidRPr="00AE774E">
        <w:t>U</w:t>
      </w:r>
      <w:r w:rsidR="00253348">
        <w:t>nion</w:t>
      </w:r>
      <w:r w:rsidR="00AE774E" w:rsidRPr="00AE774E">
        <w:t xml:space="preserve"> and non-E</w:t>
      </w:r>
      <w:r w:rsidR="00253348">
        <w:t xml:space="preserve">uropean </w:t>
      </w:r>
      <w:r w:rsidR="00253348" w:rsidRPr="00AE774E">
        <w:t>U</w:t>
      </w:r>
      <w:r w:rsidR="00253348">
        <w:t>nion</w:t>
      </w:r>
      <w:r w:rsidR="00AE774E" w:rsidRPr="00AE774E">
        <w:t xml:space="preserve"> AETR contracting parties following the introduction of the smart tachograph in the EU. The European Commission presented ECE/TRANS/SC.1/GE.21/2019/1/Rev.1, submitted by Austria, which contains draft text on a possible new annex to the AETR Agreement related to </w:t>
      </w:r>
      <w:proofErr w:type="spellStart"/>
      <w:r w:rsidR="00AE774E" w:rsidRPr="00AE774E">
        <w:t>TACHOnet</w:t>
      </w:r>
      <w:proofErr w:type="spellEnd"/>
      <w:r w:rsidR="00AE774E" w:rsidRPr="00AE774E">
        <w:t xml:space="preserve">. </w:t>
      </w:r>
      <w:r w:rsidR="00253348" w:rsidRPr="00253348">
        <w:t>The European Commission encouraged all AETR contracting parties to connect to the new system by the end of 2020.</w:t>
      </w:r>
    </w:p>
    <w:p w14:paraId="3E4FC245" w14:textId="77777777" w:rsidR="00AE774E" w:rsidRPr="00AE774E" w:rsidRDefault="00CA67BD" w:rsidP="00AE774E">
      <w:pPr>
        <w:pStyle w:val="SingleTxtG"/>
      </w:pPr>
      <w:r>
        <w:t>19</w:t>
      </w:r>
      <w:r w:rsidR="00743BA3">
        <w:t>.</w:t>
      </w:r>
      <w:r w:rsidR="00743BA3">
        <w:tab/>
      </w:r>
      <w:r w:rsidR="00AE774E" w:rsidRPr="00AE774E">
        <w:t xml:space="preserve">SC.1 considered the issue of changing the name of the AETR Agreement by deleting the term “European” from the title. Making this change would be consistent with the fact that there are currently five non-European countries which are eligible to accede to the Agreement </w:t>
      </w:r>
      <w:proofErr w:type="gramStart"/>
      <w:r w:rsidR="00AE774E" w:rsidRPr="00AE774E">
        <w:t>and also</w:t>
      </w:r>
      <w:proofErr w:type="gramEnd"/>
      <w:r w:rsidR="00AE774E" w:rsidRPr="00AE774E">
        <w:t xml:space="preserve"> with the ITC Strategy document’s (ECE/TRANS/288/Add.2, table 1) priority actions to amend legal instruments with geographical and procedural barriers by 2025. The </w:t>
      </w:r>
      <w:r w:rsidR="00253348">
        <w:t>w</w:t>
      </w:r>
      <w:r w:rsidR="00AE774E" w:rsidRPr="00AE774E">
        <w:t xml:space="preserve">orking </w:t>
      </w:r>
      <w:r w:rsidR="00253348">
        <w:t>p</w:t>
      </w:r>
      <w:r w:rsidR="00AE774E" w:rsidRPr="00AE774E">
        <w:t>arty agreed to keep this issue on the agenda of future sessions.</w:t>
      </w:r>
    </w:p>
    <w:p w14:paraId="14DCAEE1" w14:textId="77777777" w:rsidR="00AE774E" w:rsidRPr="00AE774E" w:rsidRDefault="00743BA3" w:rsidP="00AE774E">
      <w:pPr>
        <w:pStyle w:val="SingleTxtG"/>
      </w:pPr>
      <w:r>
        <w:t>2</w:t>
      </w:r>
      <w:r w:rsidR="00CA67BD">
        <w:t>0</w:t>
      </w:r>
      <w:r>
        <w:t>.</w:t>
      </w:r>
      <w:r>
        <w:tab/>
      </w:r>
      <w:r w:rsidR="00AE774E" w:rsidRPr="00AE774E">
        <w:t>Turkey provided an update on its project to establish a national driving times and rest periods data monitoring centre.</w:t>
      </w:r>
    </w:p>
    <w:bookmarkEnd w:id="2"/>
    <w:p w14:paraId="712DB119" w14:textId="77777777" w:rsidR="00AE774E" w:rsidRPr="00AE774E" w:rsidRDefault="00AE774E" w:rsidP="00AE774E">
      <w:pPr>
        <w:pStyle w:val="HChG"/>
      </w:pPr>
      <w:r w:rsidRPr="00AE774E">
        <w:tab/>
      </w:r>
      <w:r w:rsidR="00A376B4">
        <w:t>V</w:t>
      </w:r>
      <w:r w:rsidRPr="00AE774E">
        <w:t>.</w:t>
      </w:r>
      <w:r w:rsidRPr="00AE774E">
        <w:tab/>
        <w:t>European Agreement on Main International Traffic Arteries (AGR)</w:t>
      </w:r>
    </w:p>
    <w:p w14:paraId="00EFF13D" w14:textId="77777777" w:rsidR="00AE774E" w:rsidRPr="00AE774E" w:rsidRDefault="00AE774E" w:rsidP="00AE774E">
      <w:pPr>
        <w:pStyle w:val="H1G"/>
        <w:rPr>
          <w:lang w:eastAsia="en-US"/>
        </w:rPr>
      </w:pPr>
      <w:r w:rsidRPr="00AE774E">
        <w:rPr>
          <w:lang w:eastAsia="en-US"/>
        </w:rPr>
        <w:tab/>
      </w:r>
      <w:r w:rsidR="00A376B4">
        <w:rPr>
          <w:lang w:eastAsia="en-US"/>
        </w:rPr>
        <w:t>A.</w:t>
      </w:r>
      <w:r w:rsidRPr="00AE774E">
        <w:rPr>
          <w:lang w:eastAsia="en-US"/>
        </w:rPr>
        <w:tab/>
        <w:t>Status of the Agreement</w:t>
      </w:r>
    </w:p>
    <w:p w14:paraId="10066D08" w14:textId="77777777" w:rsidR="00AE774E" w:rsidRPr="00AE774E" w:rsidRDefault="00743BA3" w:rsidP="00AE774E">
      <w:pPr>
        <w:pStyle w:val="SingleTxtG"/>
      </w:pPr>
      <w:r>
        <w:t>2</w:t>
      </w:r>
      <w:r w:rsidR="00CA67BD">
        <w:t>1</w:t>
      </w:r>
      <w:r>
        <w:t>.</w:t>
      </w:r>
      <w:r>
        <w:tab/>
      </w:r>
      <w:r w:rsidR="00AE774E" w:rsidRPr="00AE774E">
        <w:t>The secretariat informed SC.1 that there was no change to the number of contracting parties (37).</w:t>
      </w:r>
    </w:p>
    <w:p w14:paraId="61918467" w14:textId="77777777" w:rsidR="00AE774E" w:rsidRPr="00AE774E" w:rsidRDefault="00AE774E" w:rsidP="00AE774E">
      <w:pPr>
        <w:pStyle w:val="H1G"/>
        <w:rPr>
          <w:lang w:eastAsia="en-US"/>
        </w:rPr>
      </w:pPr>
      <w:r w:rsidRPr="00AE774E">
        <w:rPr>
          <w:lang w:eastAsia="en-US"/>
        </w:rPr>
        <w:tab/>
      </w:r>
      <w:r w:rsidR="00A376B4">
        <w:rPr>
          <w:lang w:eastAsia="en-US"/>
        </w:rPr>
        <w:t>B.</w:t>
      </w:r>
      <w:r w:rsidRPr="00AE774E">
        <w:rPr>
          <w:lang w:eastAsia="en-US"/>
        </w:rPr>
        <w:tab/>
        <w:t>Amendments to the Agreement</w:t>
      </w:r>
    </w:p>
    <w:p w14:paraId="2691471D" w14:textId="77777777" w:rsidR="00AE774E" w:rsidRPr="00AE774E" w:rsidRDefault="00743BA3" w:rsidP="00AE774E">
      <w:pPr>
        <w:pStyle w:val="SingleTxtG"/>
      </w:pPr>
      <w:r>
        <w:t>2</w:t>
      </w:r>
      <w:r w:rsidR="00CA67BD">
        <w:t>2</w:t>
      </w:r>
      <w:r>
        <w:t>.</w:t>
      </w:r>
      <w:r>
        <w:tab/>
      </w:r>
      <w:r w:rsidR="00AE774E" w:rsidRPr="00AE774E">
        <w:t xml:space="preserve">SC.1 was informed that ECE/TRANS/SC.1/2019/1, the amendment proposal submitted by Hungary to Annex I of the Agreement to extend E66 from </w:t>
      </w:r>
      <w:bookmarkStart w:id="4" w:name="_Hlk21514949"/>
      <w:proofErr w:type="spellStart"/>
      <w:r w:rsidR="00AE774E" w:rsidRPr="00AE774E">
        <w:t>Székesfehérvár</w:t>
      </w:r>
      <w:proofErr w:type="spellEnd"/>
      <w:r w:rsidR="00AE774E" w:rsidRPr="00AE774E">
        <w:t xml:space="preserve"> (Hungary) to Szolnok (Hungary)</w:t>
      </w:r>
      <w:bookmarkEnd w:id="4"/>
      <w:r w:rsidR="00AE774E" w:rsidRPr="00AE774E">
        <w:t>, was withdrawn in light of a similar proposal which was accepted by SC.1 at its 111th session, and which entered into force on 6 December 2013 (per Depositary Notification C.N.562. 2013.TREATIES-XI.B.28).</w:t>
      </w:r>
    </w:p>
    <w:p w14:paraId="2E61DDAE" w14:textId="77777777" w:rsidR="00AE774E" w:rsidRPr="00AE774E" w:rsidRDefault="00743BA3" w:rsidP="00AE774E">
      <w:pPr>
        <w:pStyle w:val="SingleTxtG"/>
      </w:pPr>
      <w:r>
        <w:t>2</w:t>
      </w:r>
      <w:r w:rsidR="00CA67BD">
        <w:t>3</w:t>
      </w:r>
      <w:r>
        <w:t>.</w:t>
      </w:r>
      <w:r>
        <w:tab/>
      </w:r>
      <w:proofErr w:type="gramStart"/>
      <w:r w:rsidR="00AE774E" w:rsidRPr="00AE774E">
        <w:t>In light of</w:t>
      </w:r>
      <w:proofErr w:type="gramEnd"/>
      <w:r w:rsidR="00AE774E" w:rsidRPr="00AE774E">
        <w:t xml:space="preserve"> the ITC 2030 Strategy action of promoting the accession by non-ECE member States to the UN legal instruments, the secretariat drew attention to article 5 of the Agreement. SC.1 discussed the matter, and SC.1 members agreed to consult their capitals on whether it would be appropriate to open the Agreement to accession by non</w:t>
      </w:r>
      <w:r w:rsidR="00253348">
        <w:t>-</w:t>
      </w:r>
      <w:r w:rsidR="00AE774E" w:rsidRPr="00AE774E">
        <w:t>ECE member States, and to revert on this at the next session.</w:t>
      </w:r>
    </w:p>
    <w:p w14:paraId="7B823440" w14:textId="77777777" w:rsidR="00AE774E" w:rsidRPr="00AE774E" w:rsidRDefault="00743BA3" w:rsidP="00AE774E">
      <w:pPr>
        <w:pStyle w:val="SingleTxtG"/>
      </w:pPr>
      <w:r>
        <w:t>2</w:t>
      </w:r>
      <w:r w:rsidR="00CA67BD">
        <w:t>4</w:t>
      </w:r>
      <w:r>
        <w:t>.</w:t>
      </w:r>
      <w:r>
        <w:tab/>
      </w:r>
      <w:r w:rsidR="00AE774E" w:rsidRPr="00AE774E">
        <w:t>In light of the ITC Strategy Recommendations for Enhancing National Road Safety Systems which include safe roads, the secretariat recalled that at the 105th session of SC.1, SC.1 had considered and approved amendment proposals to the Agreement relating to road safety impact assessments, road safety audits, the management of road network safety and safety inspections (based on European Commission Directive 2008/96/EC on road infrastructure safety management) (ECE/TRANS/SC.1/392</w:t>
      </w:r>
      <w:r w:rsidR="00A84B13">
        <w:t>,</w:t>
      </w:r>
      <w:r w:rsidR="00A84B13" w:rsidRPr="00A84B13">
        <w:t xml:space="preserve"> </w:t>
      </w:r>
      <w:r w:rsidR="00A84B13" w:rsidRPr="00AE774E">
        <w:t>para</w:t>
      </w:r>
      <w:r w:rsidR="00A84B13">
        <w:t>.</w:t>
      </w:r>
      <w:r w:rsidR="00A84B13" w:rsidRPr="00AE774E">
        <w:t xml:space="preserve"> 53</w:t>
      </w:r>
      <w:r w:rsidR="00AE774E" w:rsidRPr="00AE774E">
        <w:t xml:space="preserve">). However, as no Contracting Party had indicated that it was willing to propose the amendment, the secretariat had been unable to forward the amendment proposal to the United Nations Office of Legal Affairs, and after some years, SC.1 requested that this item be removed from its agenda item (para 21, ECE/TRANS/SC.1/402). </w:t>
      </w:r>
    </w:p>
    <w:p w14:paraId="4D1B657F" w14:textId="77777777" w:rsidR="00AE774E" w:rsidRPr="00AE774E" w:rsidRDefault="00743BA3" w:rsidP="00AE774E">
      <w:pPr>
        <w:pStyle w:val="SingleTxtG"/>
      </w:pPr>
      <w:r>
        <w:t>2</w:t>
      </w:r>
      <w:r w:rsidR="00CA67BD">
        <w:t>5</w:t>
      </w:r>
      <w:r>
        <w:t>.</w:t>
      </w:r>
      <w:r>
        <w:tab/>
      </w:r>
      <w:r w:rsidR="00AE774E" w:rsidRPr="00AE774E">
        <w:t xml:space="preserve">SC.1 decided not to revisit the abovementioned amendment proposals (which would require updating given the passage of several years), but to consider the topic of safe and sustainable road infrastructure in general as a new item on its agenda for future sessions. </w:t>
      </w:r>
    </w:p>
    <w:p w14:paraId="2F11A8DB" w14:textId="77777777" w:rsidR="00AE774E" w:rsidRPr="00AE774E" w:rsidRDefault="00AE774E" w:rsidP="00AE774E">
      <w:pPr>
        <w:pStyle w:val="HChG"/>
      </w:pPr>
      <w:r w:rsidRPr="00AE774E">
        <w:lastRenderedPageBreak/>
        <w:tab/>
      </w:r>
      <w:r w:rsidR="00A376B4">
        <w:t>VI</w:t>
      </w:r>
      <w:r w:rsidRPr="00AE774E">
        <w:t>.</w:t>
      </w:r>
      <w:r w:rsidRPr="00AE774E">
        <w:tab/>
        <w:t>Trans-European North-South Motorway (TEM) Project</w:t>
      </w:r>
    </w:p>
    <w:p w14:paraId="5387ACBA" w14:textId="77777777" w:rsidR="00AE774E" w:rsidRPr="00AE774E" w:rsidRDefault="00743BA3" w:rsidP="00AE774E">
      <w:pPr>
        <w:pStyle w:val="SingleTxtG"/>
      </w:pPr>
      <w:r>
        <w:t>2</w:t>
      </w:r>
      <w:r w:rsidR="00CA67BD">
        <w:t>6</w:t>
      </w:r>
      <w:r>
        <w:t>.</w:t>
      </w:r>
      <w:r>
        <w:tab/>
      </w:r>
      <w:r w:rsidR="00AE774E" w:rsidRPr="00AE774E">
        <w:t xml:space="preserve">SC.1 noted with appreciation the information provided in ECE/TRANS/SC.1/2019/2 by the TEM Project representative on project activities since the last session. </w:t>
      </w:r>
    </w:p>
    <w:p w14:paraId="16FA4D3D" w14:textId="77777777" w:rsidR="00AE774E" w:rsidRPr="00AE774E" w:rsidRDefault="00743BA3" w:rsidP="00AE774E">
      <w:pPr>
        <w:pStyle w:val="SingleTxtG"/>
      </w:pPr>
      <w:r>
        <w:t>2</w:t>
      </w:r>
      <w:r w:rsidR="00CA67BD">
        <w:t>7</w:t>
      </w:r>
      <w:r>
        <w:t>.</w:t>
      </w:r>
      <w:r>
        <w:tab/>
      </w:r>
      <w:r w:rsidR="00AE774E" w:rsidRPr="00AE774E">
        <w:t>The UNECE Transport Regional Adviser drew attention to the publication “Road Safety Audit and Road Safety Inspection on the TEM network” in light of SC.1’s discussion on road infrastructure at this session.</w:t>
      </w:r>
    </w:p>
    <w:p w14:paraId="1B71E5B1" w14:textId="77777777" w:rsidR="00AE774E" w:rsidRPr="00AE774E" w:rsidRDefault="00743BA3" w:rsidP="00AE774E">
      <w:pPr>
        <w:pStyle w:val="SingleTxtG"/>
      </w:pPr>
      <w:r>
        <w:t>2</w:t>
      </w:r>
      <w:r w:rsidR="00CA67BD">
        <w:t>8</w:t>
      </w:r>
      <w:r>
        <w:t>.</w:t>
      </w:r>
      <w:r>
        <w:tab/>
      </w:r>
      <w:r w:rsidR="00AE774E" w:rsidRPr="00AE774E">
        <w:t xml:space="preserve">SC.1 requested the UNECE Transport Regional Adviser to convey to the TEM Project Manager the interest of SC.1 in TEM project activities, and to suggest areas of synergy and possibilities for collaboration between SC.1 and TEM Project Group at the next session. </w:t>
      </w:r>
    </w:p>
    <w:p w14:paraId="7B858A8B" w14:textId="77777777" w:rsidR="00AE774E" w:rsidRPr="00AE774E" w:rsidRDefault="00AE774E" w:rsidP="00AE774E">
      <w:pPr>
        <w:pStyle w:val="HChG"/>
      </w:pPr>
      <w:r w:rsidRPr="00AE774E">
        <w:tab/>
      </w:r>
      <w:r w:rsidR="00A376B4">
        <w:t>VII.</w:t>
      </w:r>
      <w:r w:rsidRPr="00AE774E">
        <w:tab/>
      </w:r>
      <w:bookmarkStart w:id="5" w:name="_Hlk23758093"/>
      <w:r w:rsidRPr="00AE774E">
        <w:t>Convention on the Contract for the International Carriage of Goods by Road (CMR)</w:t>
      </w:r>
      <w:bookmarkEnd w:id="5"/>
    </w:p>
    <w:p w14:paraId="4D20EF21" w14:textId="77777777" w:rsidR="00AE774E" w:rsidRPr="00AE774E" w:rsidRDefault="00A376B4" w:rsidP="00AE774E">
      <w:pPr>
        <w:pStyle w:val="H1G"/>
        <w:rPr>
          <w:lang w:eastAsia="en-US"/>
        </w:rPr>
      </w:pPr>
      <w:r>
        <w:rPr>
          <w:lang w:eastAsia="en-US"/>
        </w:rPr>
        <w:tab/>
        <w:t>A.</w:t>
      </w:r>
      <w:r>
        <w:rPr>
          <w:lang w:eastAsia="en-US"/>
        </w:rPr>
        <w:tab/>
      </w:r>
      <w:r w:rsidR="00AE774E" w:rsidRPr="00AE774E">
        <w:rPr>
          <w:lang w:eastAsia="en-US"/>
        </w:rPr>
        <w:tab/>
        <w:t>Status of the Convention</w:t>
      </w:r>
    </w:p>
    <w:p w14:paraId="0382AFEA" w14:textId="77777777" w:rsidR="00AE774E" w:rsidRPr="00AE774E" w:rsidRDefault="00CA67BD" w:rsidP="00AE774E">
      <w:pPr>
        <w:pStyle w:val="SingleTxtG"/>
      </w:pPr>
      <w:r>
        <w:t>29</w:t>
      </w:r>
      <w:r w:rsidR="00743BA3">
        <w:t>.</w:t>
      </w:r>
      <w:r w:rsidR="00743BA3">
        <w:tab/>
      </w:r>
      <w:r w:rsidR="00AE774E" w:rsidRPr="00AE774E">
        <w:t>The secretariat informed SC.1 that Pakistan had acceded to the Convention on 30 May 2019, bringing the total number of contracting parties to 56.</w:t>
      </w:r>
    </w:p>
    <w:p w14:paraId="47A35F33" w14:textId="77777777" w:rsidR="00AE774E" w:rsidRPr="00AE774E" w:rsidRDefault="00AE774E" w:rsidP="00AE774E">
      <w:pPr>
        <w:pStyle w:val="H1G"/>
        <w:rPr>
          <w:lang w:eastAsia="en-US"/>
        </w:rPr>
      </w:pPr>
      <w:r w:rsidRPr="00AE774E">
        <w:rPr>
          <w:lang w:eastAsia="en-US"/>
        </w:rPr>
        <w:tab/>
      </w:r>
      <w:r w:rsidR="00A376B4">
        <w:rPr>
          <w:lang w:eastAsia="en-US"/>
        </w:rPr>
        <w:t>B.</w:t>
      </w:r>
      <w:r w:rsidRPr="00AE774E">
        <w:rPr>
          <w:lang w:eastAsia="en-US"/>
        </w:rPr>
        <w:tab/>
      </w:r>
      <w:bookmarkStart w:id="6" w:name="_Hlk23758124"/>
      <w:r w:rsidRPr="00AE774E">
        <w:rPr>
          <w:lang w:eastAsia="en-US"/>
        </w:rPr>
        <w:t>Protocol to the Convention on the Contract for the International Carriage of Goods by Road (CMR)</w:t>
      </w:r>
      <w:bookmarkEnd w:id="6"/>
    </w:p>
    <w:p w14:paraId="61881465" w14:textId="77777777" w:rsidR="00AE774E" w:rsidRPr="00AE774E" w:rsidRDefault="00743BA3" w:rsidP="00AE774E">
      <w:pPr>
        <w:pStyle w:val="SingleTxtG"/>
      </w:pPr>
      <w:r>
        <w:t>3</w:t>
      </w:r>
      <w:r w:rsidR="00CA67BD">
        <w:t>0</w:t>
      </w:r>
      <w:r>
        <w:t>.</w:t>
      </w:r>
      <w:r>
        <w:tab/>
      </w:r>
      <w:r w:rsidR="00AE774E" w:rsidRPr="00AE774E">
        <w:t>The secretariat informed SC.1 that Pakistan had acceded to the Protocol to the Convention on 30 May 2019, bringing the total number of contracting parties to 45.</w:t>
      </w:r>
    </w:p>
    <w:p w14:paraId="3C8363F9" w14:textId="77777777" w:rsidR="00AE774E" w:rsidRPr="007333CC" w:rsidRDefault="00AE774E" w:rsidP="00AE774E">
      <w:pPr>
        <w:pStyle w:val="H1G"/>
        <w:rPr>
          <w:rFonts w:asciiTheme="majorBidi" w:hAnsiTheme="majorBidi" w:cstheme="majorBidi"/>
          <w:szCs w:val="24"/>
        </w:rPr>
      </w:pPr>
      <w:r w:rsidRPr="007333CC">
        <w:rPr>
          <w:rFonts w:asciiTheme="majorBidi" w:hAnsiTheme="majorBidi" w:cstheme="majorBidi"/>
          <w:szCs w:val="24"/>
        </w:rPr>
        <w:tab/>
      </w:r>
      <w:r w:rsidR="00A376B4">
        <w:rPr>
          <w:lang w:eastAsia="en-US"/>
        </w:rPr>
        <w:t>C.</w:t>
      </w:r>
      <w:r w:rsidRPr="00AE774E">
        <w:rPr>
          <w:lang w:eastAsia="en-US"/>
        </w:rPr>
        <w:tab/>
        <w:t>Additional Protocol to the CMR concerning the Electronic Consignment Note (e-CMR)</w:t>
      </w:r>
    </w:p>
    <w:p w14:paraId="179F15E9" w14:textId="77777777" w:rsidR="00AE774E" w:rsidRPr="00AE774E" w:rsidRDefault="00743BA3" w:rsidP="00AE774E">
      <w:pPr>
        <w:pStyle w:val="SingleTxtG"/>
      </w:pPr>
      <w:r>
        <w:t>3</w:t>
      </w:r>
      <w:r w:rsidR="00CA67BD">
        <w:t>1</w:t>
      </w:r>
      <w:r>
        <w:t>.</w:t>
      </w:r>
      <w:r>
        <w:tab/>
      </w:r>
      <w:r w:rsidR="00AE774E" w:rsidRPr="00AE774E">
        <w:t xml:space="preserve">The secretariat informed SC.1 that there were six accessions to e-CMR since the last session, bringing the total number of contracting parties to 23. The recent accessions included that of Belarus, Finland, Poland, Portugal, Romania and Tajikistan. </w:t>
      </w:r>
    </w:p>
    <w:p w14:paraId="4D1845F0" w14:textId="77777777" w:rsidR="00AE774E" w:rsidRPr="00AE774E" w:rsidRDefault="00C964B0" w:rsidP="00AE774E">
      <w:pPr>
        <w:pStyle w:val="SingleTxtG"/>
      </w:pPr>
      <w:r>
        <w:t>3</w:t>
      </w:r>
      <w:r w:rsidR="00CA67BD">
        <w:t>2</w:t>
      </w:r>
      <w:r>
        <w:t>.</w:t>
      </w:r>
      <w:r>
        <w:tab/>
      </w:r>
      <w:r w:rsidR="00AE774E" w:rsidRPr="00AE774E">
        <w:t>The representative of Austria informed SC.1 that Austria intended to accede to e-CMR.</w:t>
      </w:r>
    </w:p>
    <w:p w14:paraId="373FEE2A" w14:textId="77777777" w:rsidR="00AE774E" w:rsidRPr="00AE774E" w:rsidRDefault="00743BA3" w:rsidP="00AE774E">
      <w:pPr>
        <w:pStyle w:val="SingleTxtG"/>
      </w:pPr>
      <w:r>
        <w:t>3</w:t>
      </w:r>
      <w:r w:rsidR="00CA67BD">
        <w:t>3</w:t>
      </w:r>
      <w:r>
        <w:t>.</w:t>
      </w:r>
      <w:r>
        <w:tab/>
      </w:r>
      <w:r w:rsidR="00AE774E" w:rsidRPr="00AE774E">
        <w:t xml:space="preserve">At </w:t>
      </w:r>
      <w:r w:rsidR="00753720">
        <w:t xml:space="preserve">the request of </w:t>
      </w:r>
      <w:r w:rsidR="00AE774E" w:rsidRPr="00AE774E">
        <w:t xml:space="preserve">SC.1 at the last session, the Netherlands submitted ECE/TRANS/SC.1/2018/1/Rev.1 with additional text in a new paragraph 31 to reflect the usual scenario of the usage of electronic consignment notes for contracts of carriage of goods by road in vehicles for reward where both the place of origin and place of destination are situated in two different countries which are both contracting parties to the CMR. </w:t>
      </w:r>
    </w:p>
    <w:p w14:paraId="2AA0A344" w14:textId="77777777" w:rsidR="00AE774E" w:rsidRPr="00AE774E" w:rsidRDefault="00743BA3" w:rsidP="00AE774E">
      <w:pPr>
        <w:pStyle w:val="SingleTxtG"/>
      </w:pPr>
      <w:r>
        <w:t>3</w:t>
      </w:r>
      <w:r w:rsidR="00CA67BD">
        <w:t>4</w:t>
      </w:r>
      <w:r>
        <w:t>.</w:t>
      </w:r>
      <w:r>
        <w:tab/>
      </w:r>
      <w:r w:rsidR="00AE774E" w:rsidRPr="00AE774E">
        <w:t xml:space="preserve">SC.1 endorsed the “without prejudice” guidance </w:t>
      </w:r>
      <w:proofErr w:type="gramStart"/>
      <w:r w:rsidR="00AE774E" w:rsidRPr="00AE774E">
        <w:t>note</w:t>
      </w:r>
      <w:proofErr w:type="gramEnd"/>
      <w:r w:rsidR="00AE774E" w:rsidRPr="00AE774E">
        <w:t xml:space="preserve"> on the legal aspects of e-CMR, noting that the note may be revised and expanded in the future to include further legal considerations as contracting parties begin to operationalize and implement e-CMR. SC.1 requested the secretariat to make the guidance note available in English, French and Russian on SC.1’s website.</w:t>
      </w:r>
    </w:p>
    <w:p w14:paraId="6FA431A8" w14:textId="77777777" w:rsidR="00AE774E" w:rsidRPr="00AE774E" w:rsidRDefault="00743BA3" w:rsidP="00AE774E">
      <w:pPr>
        <w:pStyle w:val="SingleTxtG"/>
      </w:pPr>
      <w:r>
        <w:t>3</w:t>
      </w:r>
      <w:r w:rsidR="00CA67BD">
        <w:t>5</w:t>
      </w:r>
      <w:r>
        <w:t>.</w:t>
      </w:r>
      <w:r>
        <w:tab/>
      </w:r>
      <w:r w:rsidR="00AE774E" w:rsidRPr="00AE774E">
        <w:t xml:space="preserve">SC.1 was informed that ITC, at its </w:t>
      </w:r>
      <w:r w:rsidR="00E24692">
        <w:t>eighty-first</w:t>
      </w:r>
      <w:r w:rsidR="00AE774E" w:rsidRPr="00AE774E">
        <w:t xml:space="preserve"> session in February 2019, had expressed its support for SC.1 being the main platform for multilateral dialogue and exchange of best/emerging practices by contracting parties implementing e-CMR, and encouraged SC.1 to increase its efforts to advocate and raise awareness of the benefits of being a contracting party to the CMR, Protocol to the CMR, and e-CMR, with a particular emphasis on the latter. In addition, ITC requested SC.1, with the support of the secretariat, to (a) prepare a paper detailing the research and other actions needed and/or recommended for the operationalization of e-CMR, to be tabled at a future ITC session, and (b) to report back to the Committee at its </w:t>
      </w:r>
      <w:r w:rsidR="00E24692">
        <w:t>eighty-second</w:t>
      </w:r>
      <w:r w:rsidR="00AE774E" w:rsidRPr="00AE774E">
        <w:t xml:space="preserve"> session on progress achieved (ECE/TRANS/288</w:t>
      </w:r>
      <w:r w:rsidR="00A84B13">
        <w:t>,</w:t>
      </w:r>
      <w:r w:rsidR="00A84B13" w:rsidRPr="00A84B13">
        <w:t xml:space="preserve"> </w:t>
      </w:r>
      <w:r w:rsidR="00A84B13" w:rsidRPr="00AE774E">
        <w:t>para</w:t>
      </w:r>
      <w:r w:rsidR="00001C12">
        <w:t>.</w:t>
      </w:r>
      <w:r w:rsidR="00A84B13" w:rsidRPr="00AE774E">
        <w:t xml:space="preserve"> 70</w:t>
      </w:r>
      <w:r w:rsidR="00AE774E" w:rsidRPr="00AE774E">
        <w:t xml:space="preserve">). </w:t>
      </w:r>
    </w:p>
    <w:p w14:paraId="0911DE97" w14:textId="77777777" w:rsidR="00AE774E" w:rsidRPr="00A84B13" w:rsidRDefault="00196930" w:rsidP="00A84B13">
      <w:pPr>
        <w:pStyle w:val="SingleTxtG"/>
      </w:pPr>
      <w:r w:rsidRPr="00A84B13">
        <w:lastRenderedPageBreak/>
        <w:t>3</w:t>
      </w:r>
      <w:r w:rsidR="00CA67BD">
        <w:t>6</w:t>
      </w:r>
      <w:r w:rsidRPr="00A84B13">
        <w:t>.</w:t>
      </w:r>
      <w:r w:rsidRPr="00A84B13">
        <w:tab/>
      </w:r>
      <w:r w:rsidR="00AE774E" w:rsidRPr="00A84B13">
        <w:t xml:space="preserve">To facilitate discussions, the secretariat presented its desktop research findings related to the cost-benefits of changing from paper-based to electronic consignment </w:t>
      </w:r>
      <w:r w:rsidRPr="00A84B13">
        <w:t>notes and</w:t>
      </w:r>
      <w:r w:rsidR="00AE774E" w:rsidRPr="00A84B13">
        <w:t xml:space="preserve"> provided examples of digitalization projects in other transport modes/other regions. Slovenia also made a presentation on its “</w:t>
      </w:r>
      <w:proofErr w:type="spellStart"/>
      <w:r w:rsidR="00AE774E" w:rsidRPr="00A84B13">
        <w:t>Transbook</w:t>
      </w:r>
      <w:proofErr w:type="spellEnd"/>
      <w:r w:rsidR="00AE774E" w:rsidRPr="00A84B13">
        <w:t>” e-CMR pilot project.</w:t>
      </w:r>
    </w:p>
    <w:p w14:paraId="0D94F158" w14:textId="77777777" w:rsidR="00AE774E" w:rsidRPr="00A84B13" w:rsidRDefault="00196930" w:rsidP="00A84B13">
      <w:pPr>
        <w:pStyle w:val="SingleTxtG"/>
      </w:pPr>
      <w:r w:rsidRPr="00A84B13">
        <w:t>3</w:t>
      </w:r>
      <w:r w:rsidR="00CA67BD">
        <w:t>7</w:t>
      </w:r>
      <w:r w:rsidRPr="00A84B13">
        <w:t>.</w:t>
      </w:r>
      <w:r w:rsidRPr="00A84B13">
        <w:tab/>
      </w:r>
      <w:r w:rsidR="00AE774E" w:rsidRPr="00A84B13">
        <w:t xml:space="preserve">In relation to </w:t>
      </w:r>
      <w:r w:rsidR="00753720">
        <w:t xml:space="preserve">the request of </w:t>
      </w:r>
      <w:r w:rsidR="00AE774E" w:rsidRPr="00A84B13">
        <w:t xml:space="preserve">ITC for a paper detailing research and other recommended actions, SC.1 decided to create an informal group of experts comprising of </w:t>
      </w:r>
      <w:r w:rsidR="00BB645D" w:rsidRPr="00A84B13">
        <w:t>Germany,</w:t>
      </w:r>
      <w:r w:rsidR="00BB645D" w:rsidRPr="00BB645D">
        <w:t xml:space="preserve"> </w:t>
      </w:r>
      <w:r w:rsidR="00BB645D" w:rsidRPr="00A84B13">
        <w:t xml:space="preserve">Latvia,  Russian Federation, </w:t>
      </w:r>
      <w:r w:rsidR="00AE774E" w:rsidRPr="00A84B13">
        <w:t xml:space="preserve">Slovenia, Turkey, IRU and the European Commission to prepare a draft paper for SC.1’s consideration at the next session. </w:t>
      </w:r>
      <w:r w:rsidR="00BB645D" w:rsidRPr="00BB645D">
        <w:t>Other members of SC.1 were invited to join the informal group of experts.</w:t>
      </w:r>
      <w:r w:rsidR="00BB645D">
        <w:rPr>
          <w:sz w:val="24"/>
          <w:szCs w:val="24"/>
          <w:lang w:eastAsia="en-US"/>
        </w:rPr>
        <w:t xml:space="preserve"> </w:t>
      </w:r>
      <w:r w:rsidR="00AE774E" w:rsidRPr="00A84B13">
        <w:t xml:space="preserve">SC.1 also requested that the Chair or the secretariat informs ITC at its </w:t>
      </w:r>
      <w:r w:rsidR="00BB645D">
        <w:t xml:space="preserve">eighty-second </w:t>
      </w:r>
      <w:r w:rsidR="00AE774E" w:rsidRPr="00A84B13">
        <w:t>session on the creation of the informal group of experts which will prepare the paper requested by ITC for its consideration at a future session.</w:t>
      </w:r>
    </w:p>
    <w:p w14:paraId="25FB7012" w14:textId="77777777" w:rsidR="00AE774E" w:rsidRPr="00AE774E" w:rsidRDefault="00AE774E" w:rsidP="00AE774E">
      <w:pPr>
        <w:pStyle w:val="HChG"/>
      </w:pPr>
      <w:r w:rsidRPr="00AE774E">
        <w:tab/>
      </w:r>
      <w:r w:rsidR="006B5EC9">
        <w:t>VIII.</w:t>
      </w:r>
      <w:r w:rsidRPr="00AE774E">
        <w:tab/>
      </w:r>
      <w:r w:rsidRPr="00AE774E">
        <w:tab/>
        <w:t>Facilitation of international road transport</w:t>
      </w:r>
    </w:p>
    <w:p w14:paraId="3A0737BC" w14:textId="77777777" w:rsidR="00AE774E" w:rsidRPr="00AE774E" w:rsidRDefault="00AE774E" w:rsidP="00AE774E">
      <w:pPr>
        <w:pStyle w:val="H1G"/>
        <w:rPr>
          <w:lang w:eastAsia="en-US"/>
        </w:rPr>
      </w:pPr>
      <w:r w:rsidRPr="007333CC">
        <w:rPr>
          <w:rFonts w:asciiTheme="majorBidi" w:hAnsiTheme="majorBidi" w:cstheme="majorBidi"/>
          <w:szCs w:val="24"/>
        </w:rPr>
        <w:tab/>
      </w:r>
      <w:r w:rsidR="006B5EC9">
        <w:rPr>
          <w:lang w:eastAsia="en-US"/>
        </w:rPr>
        <w:t>A.</w:t>
      </w:r>
      <w:r w:rsidRPr="00AE774E">
        <w:rPr>
          <w:lang w:eastAsia="en-US"/>
        </w:rPr>
        <w:tab/>
        <w:t>International Motor Insurance System (Green Card)</w:t>
      </w:r>
    </w:p>
    <w:p w14:paraId="41F1EEEE" w14:textId="77777777" w:rsidR="00AE774E" w:rsidRPr="00A84B13" w:rsidRDefault="00196930" w:rsidP="00A84B13">
      <w:pPr>
        <w:pStyle w:val="SingleTxtG"/>
      </w:pPr>
      <w:r w:rsidRPr="00A84B13">
        <w:t>3</w:t>
      </w:r>
      <w:r w:rsidR="00CA67BD">
        <w:t>8</w:t>
      </w:r>
      <w:r w:rsidRPr="00A84B13">
        <w:t>.</w:t>
      </w:r>
      <w:r w:rsidRPr="00A84B13">
        <w:tab/>
      </w:r>
      <w:r w:rsidR="00AE774E" w:rsidRPr="00A84B13">
        <w:t>SC.1 was informed by the Secretary-General of the Council of Bureaux about recent developments in the “Green Card system” (detailed information is available in Informal document No. 1).</w:t>
      </w:r>
    </w:p>
    <w:p w14:paraId="7967ECCF" w14:textId="77777777" w:rsidR="00AE774E" w:rsidRPr="00AE774E" w:rsidRDefault="00AE774E" w:rsidP="00AE774E">
      <w:pPr>
        <w:pStyle w:val="H1G"/>
        <w:rPr>
          <w:lang w:eastAsia="en-US"/>
        </w:rPr>
      </w:pPr>
      <w:r w:rsidRPr="00AE774E">
        <w:rPr>
          <w:lang w:eastAsia="en-US"/>
        </w:rPr>
        <w:tab/>
      </w:r>
      <w:r w:rsidR="006B5EC9">
        <w:rPr>
          <w:lang w:eastAsia="en-US"/>
        </w:rPr>
        <w:t>B.</w:t>
      </w:r>
      <w:r w:rsidRPr="00AE774E">
        <w:rPr>
          <w:lang w:eastAsia="en-US"/>
        </w:rPr>
        <w:tab/>
        <w:t>Proposal for a global multilateral agreement on the international regular transport of passengers by coach and bus (</w:t>
      </w:r>
      <w:proofErr w:type="spellStart"/>
      <w:r w:rsidRPr="00AE774E">
        <w:rPr>
          <w:lang w:eastAsia="en-US"/>
        </w:rPr>
        <w:t>OmniBUS</w:t>
      </w:r>
      <w:proofErr w:type="spellEnd"/>
      <w:r w:rsidRPr="00AE774E">
        <w:rPr>
          <w:lang w:eastAsia="en-US"/>
        </w:rPr>
        <w:t>)</w:t>
      </w:r>
    </w:p>
    <w:p w14:paraId="22F4C4ED" w14:textId="77777777" w:rsidR="00AE774E" w:rsidRPr="00AE774E" w:rsidRDefault="00387BED" w:rsidP="00AE774E">
      <w:pPr>
        <w:pStyle w:val="SingleTxtG"/>
      </w:pPr>
      <w:r>
        <w:t>3</w:t>
      </w:r>
      <w:r w:rsidR="00CA67BD">
        <w:t>9</w:t>
      </w:r>
      <w:r w:rsidR="00196930">
        <w:t>.</w:t>
      </w:r>
      <w:r w:rsidR="00196930">
        <w:tab/>
      </w:r>
      <w:r w:rsidR="00AE774E" w:rsidRPr="00AE774E">
        <w:t xml:space="preserve">SC.1 was informed that at the </w:t>
      </w:r>
      <w:r w:rsidR="00BB645D">
        <w:t>eighty-first</w:t>
      </w:r>
      <w:r w:rsidR="00AE774E" w:rsidRPr="00AE774E">
        <w:t xml:space="preserve"> session of ITC, ITC had requested the finalization of several new legal instruments under development as soon as possible from 2020, including that of </w:t>
      </w:r>
      <w:proofErr w:type="spellStart"/>
      <w:r w:rsidR="00AE774E" w:rsidRPr="00AE774E">
        <w:t>OmniBUS</w:t>
      </w:r>
      <w:proofErr w:type="spellEnd"/>
      <w:r w:rsidR="00AE774E" w:rsidRPr="00AE774E">
        <w:t xml:space="preserve"> (ECE/TRANS/288/Add.2).</w:t>
      </w:r>
    </w:p>
    <w:p w14:paraId="2333782A" w14:textId="77777777" w:rsidR="00AE774E" w:rsidRPr="00AE774E" w:rsidRDefault="00196930" w:rsidP="00AE774E">
      <w:pPr>
        <w:pStyle w:val="SingleTxtG"/>
      </w:pPr>
      <w:r>
        <w:t>4</w:t>
      </w:r>
      <w:r w:rsidR="00CA67BD">
        <w:t>0</w:t>
      </w:r>
      <w:r>
        <w:t>.</w:t>
      </w:r>
      <w:r>
        <w:tab/>
      </w:r>
      <w:r w:rsidR="00AE774E" w:rsidRPr="00AE774E">
        <w:t>With the representatives from the Russian Federation, Switzerland and Turkey present, SC.1 resumed its discussion. The Russian Federation indicated that it was prepared to accept the proposed wording reflected in paragraph 3 of Article 25 of ECE/TRANS/SC.1/2015/3 but not the “alternate wording” option. The Russian Federation also withdrew its reservation to the text of paragraph 10 of Annex VI. In addition, the Russian Federation proposed additional text to the “Important notice” part of the application for authorization contained in Annex I. The secretariat was requested to circulate ECE/TRANS/SC.1/2015/3 with the tracked changes suggested by the Russian Federation to Switzerland and Turkey.</w:t>
      </w:r>
    </w:p>
    <w:p w14:paraId="0895A25A" w14:textId="77777777" w:rsidR="00AE774E" w:rsidRPr="00AE774E" w:rsidRDefault="00196930" w:rsidP="00AE774E">
      <w:pPr>
        <w:pStyle w:val="SingleTxtG"/>
      </w:pPr>
      <w:r>
        <w:t>4</w:t>
      </w:r>
      <w:r w:rsidR="00CA67BD">
        <w:t>1</w:t>
      </w:r>
      <w:r>
        <w:t>.</w:t>
      </w:r>
      <w:r>
        <w:tab/>
      </w:r>
      <w:r w:rsidR="00AE774E" w:rsidRPr="00AE774E">
        <w:t xml:space="preserve">The Chair requested that the Russian Federation, Switzerland and Turkey work together </w:t>
      </w:r>
      <w:r w:rsidR="00BB645D">
        <w:rPr>
          <w:sz w:val="24"/>
          <w:szCs w:val="24"/>
          <w:lang w:eastAsia="en-US"/>
        </w:rPr>
        <w:t>(</w:t>
      </w:r>
      <w:r w:rsidR="00BB645D" w:rsidRPr="00BB645D">
        <w:t xml:space="preserve">e.g. through “Friends of Chair” meetings or other informal methods) </w:t>
      </w:r>
      <w:r w:rsidR="00AE774E" w:rsidRPr="00AE774E">
        <w:t xml:space="preserve">to finalize the text of the draft agreement prior to the next SC.1 session, and to submit the finalized text in ECE/TRANS/SC.1/2015/3/Rev.1 for adoption at the next session. </w:t>
      </w:r>
    </w:p>
    <w:p w14:paraId="6F8207EC" w14:textId="77777777" w:rsidR="00AE774E" w:rsidRPr="007333CC" w:rsidRDefault="00AE774E" w:rsidP="00AE774E">
      <w:pPr>
        <w:pStyle w:val="H1G"/>
        <w:rPr>
          <w:rFonts w:asciiTheme="majorBidi" w:hAnsiTheme="majorBidi" w:cstheme="majorBidi"/>
          <w:szCs w:val="24"/>
        </w:rPr>
      </w:pPr>
      <w:r w:rsidRPr="007333CC">
        <w:rPr>
          <w:rFonts w:asciiTheme="majorBidi" w:hAnsiTheme="majorBidi" w:cstheme="majorBidi"/>
          <w:szCs w:val="24"/>
        </w:rPr>
        <w:tab/>
      </w:r>
      <w:r w:rsidR="006B5EC9">
        <w:rPr>
          <w:lang w:eastAsia="en-US"/>
        </w:rPr>
        <w:t>C.</w:t>
      </w:r>
      <w:r w:rsidRPr="00AE774E">
        <w:rPr>
          <w:lang w:eastAsia="en-US"/>
        </w:rPr>
        <w:tab/>
        <w:t>Quantitative restrictions imposed on</w:t>
      </w:r>
      <w:r w:rsidR="004A2D2A">
        <w:rPr>
          <w:lang w:eastAsia="en-US"/>
        </w:rPr>
        <w:t xml:space="preserve"> the</w:t>
      </w:r>
      <w:r w:rsidRPr="00AE774E">
        <w:rPr>
          <w:lang w:eastAsia="en-US"/>
        </w:rPr>
        <w:t xml:space="preserve"> international road transport of goods</w:t>
      </w:r>
    </w:p>
    <w:p w14:paraId="6A76CF89" w14:textId="77777777" w:rsidR="00AE774E" w:rsidRPr="00AE774E" w:rsidRDefault="00196930" w:rsidP="00AE774E">
      <w:pPr>
        <w:pStyle w:val="SingleTxtG"/>
      </w:pPr>
      <w:r>
        <w:t>4</w:t>
      </w:r>
      <w:r w:rsidR="00CA67BD">
        <w:t>2</w:t>
      </w:r>
      <w:r>
        <w:t>.</w:t>
      </w:r>
      <w:r>
        <w:tab/>
      </w:r>
      <w:r w:rsidR="00AE774E" w:rsidRPr="00AE774E">
        <w:t>At its 112th session, SC.1 discussed a European Commission (EC) study on the economic analysis of an agreement between the European Union and Turkey which had estimated that Turkey and the European Union had sustained large financial losses due to transport quotas and restrictions. Turkey had requested the European Commission to investigate the transit charges which Turkish hauliers pay in Bulgaria, Greece and Romania and to advise if these charges were incompatible with the E</w:t>
      </w:r>
      <w:r w:rsidR="00BB645D">
        <w:t xml:space="preserve">uropean </w:t>
      </w:r>
      <w:r w:rsidR="00AE774E" w:rsidRPr="00AE774E">
        <w:t>U</w:t>
      </w:r>
      <w:r w:rsidR="00BB645D">
        <w:t>nion</w:t>
      </w:r>
      <w:r w:rsidR="00AE774E" w:rsidRPr="00AE774E">
        <w:t>-Turkey Customs Union.</w:t>
      </w:r>
    </w:p>
    <w:p w14:paraId="6B049CB3" w14:textId="77777777" w:rsidR="00AE774E" w:rsidRPr="00BB645D" w:rsidRDefault="00196930" w:rsidP="00BB645D">
      <w:pPr>
        <w:pStyle w:val="SingleTxtG"/>
        <w:rPr>
          <w:sz w:val="24"/>
          <w:szCs w:val="24"/>
          <w:lang w:eastAsia="en-US"/>
        </w:rPr>
      </w:pPr>
      <w:r>
        <w:t>4</w:t>
      </w:r>
      <w:r w:rsidR="00CA67BD">
        <w:t>3</w:t>
      </w:r>
      <w:r>
        <w:t>.</w:t>
      </w:r>
      <w:r>
        <w:tab/>
      </w:r>
      <w:r w:rsidR="00AE774E" w:rsidRPr="00AE774E">
        <w:t xml:space="preserve">The representative of the European Commission advised that, having </w:t>
      </w:r>
      <w:proofErr w:type="gramStart"/>
      <w:r w:rsidR="00AE774E" w:rsidRPr="00AE774E">
        <w:t>looked into</w:t>
      </w:r>
      <w:proofErr w:type="gramEnd"/>
      <w:r w:rsidR="00AE774E" w:rsidRPr="00AE774E">
        <w:t xml:space="preserve"> this issue, it had not found any incompatibility with the Customs Union. The representative of Austria referred to a decision of the European Court of Justice C629/16 which might be of </w:t>
      </w:r>
      <w:r w:rsidR="00AE774E" w:rsidRPr="00AE774E">
        <w:lastRenderedPageBreak/>
        <w:t>interest</w:t>
      </w:r>
      <w:r w:rsidR="00BB645D">
        <w:t>,</w:t>
      </w:r>
      <w:r w:rsidR="00BB645D" w:rsidRPr="00BB645D">
        <w:rPr>
          <w:sz w:val="24"/>
          <w:szCs w:val="24"/>
          <w:lang w:eastAsia="en-US"/>
        </w:rPr>
        <w:t xml:space="preserve"> </w:t>
      </w:r>
      <w:r w:rsidR="00BB645D" w:rsidRPr="00BB645D">
        <w:t>and which declared the system of bilateral quotas to be in line with the European Union Turkey Customs Union</w:t>
      </w:r>
      <w:r w:rsidR="00AE774E" w:rsidRPr="00AE774E">
        <w:t>.</w:t>
      </w:r>
    </w:p>
    <w:p w14:paraId="2AFC6861" w14:textId="77777777" w:rsidR="00AE774E" w:rsidRPr="00AE774E" w:rsidRDefault="00196930" w:rsidP="00AE774E">
      <w:pPr>
        <w:pStyle w:val="SingleTxtG"/>
      </w:pPr>
      <w:r>
        <w:t>4</w:t>
      </w:r>
      <w:r w:rsidR="00CA67BD">
        <w:t>4</w:t>
      </w:r>
      <w:r>
        <w:t>.</w:t>
      </w:r>
      <w:r>
        <w:tab/>
      </w:r>
      <w:r w:rsidR="00AE774E" w:rsidRPr="00AE774E">
        <w:t>SC.1 agreed to keep this item on its agenda for the next session so that Turkey and the European Commission could provide an update on any further analysis on this matter.</w:t>
      </w:r>
    </w:p>
    <w:p w14:paraId="303D13B3" w14:textId="77777777" w:rsidR="00AE774E" w:rsidRPr="00AE774E" w:rsidRDefault="00AE774E" w:rsidP="00AE774E">
      <w:pPr>
        <w:pStyle w:val="H1G"/>
        <w:rPr>
          <w:lang w:eastAsia="en-US"/>
        </w:rPr>
      </w:pPr>
      <w:r w:rsidRPr="00AE774E">
        <w:rPr>
          <w:lang w:eastAsia="en-US"/>
        </w:rPr>
        <w:tab/>
      </w:r>
      <w:bookmarkStart w:id="7" w:name="_Hlk521317391"/>
      <w:r w:rsidR="006B5EC9">
        <w:rPr>
          <w:lang w:eastAsia="en-US"/>
        </w:rPr>
        <w:t>D.</w:t>
      </w:r>
      <w:r w:rsidRPr="00AE774E">
        <w:rPr>
          <w:lang w:eastAsia="en-US"/>
        </w:rPr>
        <w:tab/>
        <w:t>The relationship between the origin of goods and transport operations</w:t>
      </w:r>
    </w:p>
    <w:bookmarkEnd w:id="7"/>
    <w:p w14:paraId="3229984A" w14:textId="77777777" w:rsidR="00AE774E" w:rsidRPr="00AE774E" w:rsidRDefault="00196930" w:rsidP="00AE774E">
      <w:pPr>
        <w:pStyle w:val="SingleTxtG"/>
      </w:pPr>
      <w:r>
        <w:t>4</w:t>
      </w:r>
      <w:r w:rsidR="00CA67BD">
        <w:t>5</w:t>
      </w:r>
      <w:r>
        <w:t>.</w:t>
      </w:r>
      <w:r>
        <w:tab/>
      </w:r>
      <w:r w:rsidR="00AE774E" w:rsidRPr="00AE774E">
        <w:t xml:space="preserve">At the request of SC.1 for this session, Poland submitted ECE/TRANS/SC.1/2019/3 which contains an amendment proposal to revise the Consolidated Resolution on the Facilitation of International Road Transport (R.E.4) to include a definition of “bilateral transport” as a new subpoint 4.1.9. </w:t>
      </w:r>
    </w:p>
    <w:p w14:paraId="00C415B2" w14:textId="77777777" w:rsidR="00AE774E" w:rsidRPr="00AE774E" w:rsidRDefault="00196930" w:rsidP="00AE774E">
      <w:pPr>
        <w:pStyle w:val="SingleTxtG"/>
      </w:pPr>
      <w:r>
        <w:t>4</w:t>
      </w:r>
      <w:r w:rsidR="00CA67BD">
        <w:t>6</w:t>
      </w:r>
      <w:r>
        <w:t>.</w:t>
      </w:r>
      <w:r>
        <w:tab/>
      </w:r>
      <w:r w:rsidR="00AE774E" w:rsidRPr="00AE774E">
        <w:t xml:space="preserve">SC.1 discussed the matter extensively, and requested that </w:t>
      </w:r>
      <w:r w:rsidR="001A706E" w:rsidRPr="00AE774E">
        <w:t>Latvia</w:t>
      </w:r>
      <w:r w:rsidR="001A706E">
        <w:t>,</w:t>
      </w:r>
      <w:r w:rsidR="001A706E" w:rsidRPr="00AE774E">
        <w:t xml:space="preserve"> Poland,</w:t>
      </w:r>
      <w:r w:rsidR="001A706E">
        <w:t xml:space="preserve"> the</w:t>
      </w:r>
      <w:r w:rsidR="00AE774E" w:rsidRPr="00AE774E">
        <w:t xml:space="preserve"> Russian Federation, and Turkey discuss the alternative definitions listed below, and to agree on a definition to</w:t>
      </w:r>
      <w:r w:rsidR="00AE774E" w:rsidRPr="007333CC">
        <w:rPr>
          <w:sz w:val="24"/>
          <w:szCs w:val="24"/>
          <w:lang w:val="en-US"/>
        </w:rPr>
        <w:t xml:space="preserve"> </w:t>
      </w:r>
      <w:r w:rsidR="00AE774E" w:rsidRPr="007D23B7">
        <w:t>be proposed in ECE/TRANS/SC.1/2019/3/Rev.1 for the next</w:t>
      </w:r>
      <w:r w:rsidR="00AE774E" w:rsidRPr="007333CC">
        <w:rPr>
          <w:sz w:val="24"/>
          <w:szCs w:val="24"/>
          <w:lang w:eastAsia="en-US"/>
        </w:rPr>
        <w:t xml:space="preserve"> session. </w:t>
      </w:r>
      <w:r w:rsidR="00AE774E" w:rsidRPr="00AE774E">
        <w:t>Members of SC.1 were also invited to contact the representatives of Poland directly with further alternatives.</w:t>
      </w:r>
    </w:p>
    <w:p w14:paraId="7D80F3B9" w14:textId="77777777" w:rsidR="008F610F" w:rsidRDefault="00196930" w:rsidP="008F610F">
      <w:pPr>
        <w:pStyle w:val="SingleTxtG"/>
      </w:pPr>
      <w:r>
        <w:t>4</w:t>
      </w:r>
      <w:r w:rsidR="00CA67BD">
        <w:t>7</w:t>
      </w:r>
      <w:r>
        <w:t>.</w:t>
      </w:r>
      <w:r>
        <w:tab/>
      </w:r>
      <w:r w:rsidR="00AE774E" w:rsidRPr="007333CC">
        <w:t xml:space="preserve">Poland and Russian Federation proposal: </w:t>
      </w:r>
    </w:p>
    <w:p w14:paraId="57130AE6" w14:textId="77777777" w:rsidR="00AE774E" w:rsidRPr="007333CC" w:rsidRDefault="008F610F" w:rsidP="008F610F">
      <w:pPr>
        <w:pStyle w:val="SingleTxtG"/>
      </w:pPr>
      <w:r>
        <w:t>-</w:t>
      </w:r>
      <w:r>
        <w:tab/>
      </w:r>
      <w:r w:rsidR="00AE774E" w:rsidRPr="007333CC">
        <w:t>4.1.9 "Bilateral transport means a road transport operation undertaken by a laden or unladen vehicle registered in one country, the point of departure of which is from the territory of registration of the vehicle, and the destination of which is in the territory of the other country, or vice versa.”</w:t>
      </w:r>
    </w:p>
    <w:p w14:paraId="10960754" w14:textId="77777777" w:rsidR="008F610F" w:rsidRDefault="00196930" w:rsidP="008F610F">
      <w:pPr>
        <w:pStyle w:val="SingleTxtG"/>
      </w:pPr>
      <w:r>
        <w:t>4</w:t>
      </w:r>
      <w:r w:rsidR="00CA67BD">
        <w:t>8</w:t>
      </w:r>
      <w:r>
        <w:t>.</w:t>
      </w:r>
      <w:r>
        <w:tab/>
      </w:r>
      <w:r w:rsidR="00AE774E" w:rsidRPr="007333CC">
        <w:t xml:space="preserve">Turkey proposal: </w:t>
      </w:r>
    </w:p>
    <w:p w14:paraId="66A3D8F6" w14:textId="77777777" w:rsidR="00AE774E" w:rsidRPr="00AE774E" w:rsidRDefault="008F610F" w:rsidP="008F610F">
      <w:pPr>
        <w:pStyle w:val="SingleTxtG"/>
      </w:pPr>
      <w:r>
        <w:t>-</w:t>
      </w:r>
      <w:r>
        <w:tab/>
      </w:r>
      <w:r w:rsidR="00AE774E" w:rsidRPr="007333CC">
        <w:t>4.1.9 "Bilateral transport means a road transport operation undertaken by a vehicle registered in one country, the point of departure of which is from the territory of registration of the vehicle, and the destination of which is in the territory of the other country, or vice versa, which does not fall under the definition of third country traffic in paragraph 4.1.7.”</w:t>
      </w:r>
    </w:p>
    <w:p w14:paraId="36C73F18" w14:textId="77777777" w:rsidR="00AE774E" w:rsidRPr="00AE774E" w:rsidRDefault="00AE774E" w:rsidP="00AE774E">
      <w:pPr>
        <w:pStyle w:val="HChG"/>
      </w:pPr>
      <w:r w:rsidRPr="00AE774E">
        <w:tab/>
      </w:r>
      <w:r w:rsidR="006B5EC9">
        <w:t>IX</w:t>
      </w:r>
      <w:r w:rsidRPr="00AE774E">
        <w:t>.</w:t>
      </w:r>
      <w:r w:rsidRPr="00AE774E">
        <w:tab/>
        <w:t>Revision of SC.1 terms of reference and rules of procedure</w:t>
      </w:r>
    </w:p>
    <w:p w14:paraId="14CC3A83" w14:textId="77777777" w:rsidR="00AE774E" w:rsidRPr="00AE774E" w:rsidRDefault="00CA67BD" w:rsidP="00AE774E">
      <w:pPr>
        <w:pStyle w:val="SingleTxtG"/>
      </w:pPr>
      <w:r>
        <w:t>49</w:t>
      </w:r>
      <w:r w:rsidR="00196930">
        <w:t>.</w:t>
      </w:r>
      <w:r w:rsidR="00196930">
        <w:tab/>
      </w:r>
      <w:r w:rsidR="00AE774E" w:rsidRPr="00AE774E">
        <w:t xml:space="preserve">In 2016, Belgium and Germany had submitted a proposal for changes to SC.1 terms of reference and rules of procedures (Informal document (2016) Nos 3 and 4). At the last session, SC.1 decided to postpone its discussion until the adoption of new terms of reference and rules of procedure by the Global Forum on Road Traffic Safety (WP.1) which could be used as a template for SC.1 future terms of reference. </w:t>
      </w:r>
    </w:p>
    <w:p w14:paraId="79ED6F4E" w14:textId="77777777" w:rsidR="00AE774E" w:rsidRPr="00AE774E" w:rsidRDefault="00196930" w:rsidP="00AE774E">
      <w:pPr>
        <w:pStyle w:val="SingleTxtG"/>
      </w:pPr>
      <w:r>
        <w:t>5</w:t>
      </w:r>
      <w:r w:rsidR="00CA67BD">
        <w:t>0</w:t>
      </w:r>
      <w:r>
        <w:t>.</w:t>
      </w:r>
      <w:r>
        <w:tab/>
      </w:r>
      <w:r w:rsidR="00AE774E" w:rsidRPr="00AE774E">
        <w:t>SC.1 decided to resume its discussions without referring to WP.1’s terms of reference as WP.1 is yet to complete this task. Germany facilitated discussion on Informal document No. 4. SC.1 requested that Germany submits a formal document with its proposed changes at the next session, after verifying the suggested text from the relevant ECE working party guidelines with the secretariat.</w:t>
      </w:r>
    </w:p>
    <w:p w14:paraId="24D3FAA0" w14:textId="77777777" w:rsidR="00AE774E" w:rsidRPr="007333CC" w:rsidRDefault="00AE774E" w:rsidP="00AE774E">
      <w:pPr>
        <w:pStyle w:val="HChG"/>
        <w:rPr>
          <w:szCs w:val="24"/>
          <w:lang w:val="en-US"/>
        </w:rPr>
      </w:pPr>
      <w:r w:rsidRPr="007333CC">
        <w:rPr>
          <w:szCs w:val="24"/>
        </w:rPr>
        <w:tab/>
      </w:r>
      <w:r w:rsidR="006B5EC9">
        <w:t>X</w:t>
      </w:r>
      <w:r w:rsidRPr="00AE774E">
        <w:t>.</w:t>
      </w:r>
      <w:r w:rsidRPr="00AE774E">
        <w:tab/>
        <w:t xml:space="preserve">Climate Change Impacts and Adaptation for Transport Networks and Nodes </w:t>
      </w:r>
    </w:p>
    <w:p w14:paraId="73428631" w14:textId="77777777" w:rsidR="00AE774E" w:rsidRPr="00AE774E" w:rsidRDefault="00196930" w:rsidP="00AE774E">
      <w:pPr>
        <w:pStyle w:val="SingleTxtG"/>
      </w:pPr>
      <w:r>
        <w:t>5</w:t>
      </w:r>
      <w:r w:rsidR="00CA67BD">
        <w:t>1</w:t>
      </w:r>
      <w:r>
        <w:t>.</w:t>
      </w:r>
      <w:r>
        <w:tab/>
      </w:r>
      <w:r w:rsidR="00AE774E" w:rsidRPr="00AE774E">
        <w:t>At SC.1’s invitation, the Secretary of the UNECE Group of Experts on Climate Change Impacts and Adaptation for Transport Networks and Nodes was invited to present an overview of the report of the group which has been analysing the impacts of climate change on main transport assets in the ECE region (Informal document WP.5/GE.3 No.6 and ECE/TRANS/WP.5/2019/3).</w:t>
      </w:r>
    </w:p>
    <w:p w14:paraId="5A22FD3C" w14:textId="77777777" w:rsidR="00AE774E" w:rsidRPr="00AE774E" w:rsidRDefault="00196930" w:rsidP="00AE774E">
      <w:pPr>
        <w:pStyle w:val="SingleTxtG"/>
      </w:pPr>
      <w:r>
        <w:t>5</w:t>
      </w:r>
      <w:r w:rsidR="00CA67BD">
        <w:t>2</w:t>
      </w:r>
      <w:r>
        <w:t>.</w:t>
      </w:r>
      <w:r>
        <w:tab/>
      </w:r>
      <w:r w:rsidR="00AE774E" w:rsidRPr="00AE774E">
        <w:t xml:space="preserve">SC.1 appreciated the report and the </w:t>
      </w:r>
      <w:proofErr w:type="gramStart"/>
      <w:r w:rsidR="00743BA3" w:rsidRPr="00AE774E">
        <w:t>presentation</w:t>
      </w:r>
      <w:r w:rsidR="003C5A4E">
        <w:t>,</w:t>
      </w:r>
      <w:r w:rsidR="00743BA3" w:rsidRPr="00AE774E">
        <w:t xml:space="preserve"> and</w:t>
      </w:r>
      <w:proofErr w:type="gramEnd"/>
      <w:r w:rsidR="00AE774E" w:rsidRPr="00AE774E">
        <w:t xml:space="preserve"> invited the Secretary of the Group of Experts to provide an update at the next session. </w:t>
      </w:r>
    </w:p>
    <w:p w14:paraId="0B59D552" w14:textId="77777777" w:rsidR="00AE774E" w:rsidRPr="00AE774E" w:rsidRDefault="00196930" w:rsidP="00AE774E">
      <w:pPr>
        <w:pStyle w:val="SingleTxtG"/>
      </w:pPr>
      <w:r>
        <w:t>5</w:t>
      </w:r>
      <w:r w:rsidR="00CA67BD">
        <w:t>3</w:t>
      </w:r>
      <w:r>
        <w:t>.</w:t>
      </w:r>
      <w:r>
        <w:tab/>
      </w:r>
      <w:r w:rsidR="00AE774E" w:rsidRPr="00AE774E">
        <w:t>SC.1 discussed the request of the Secretary of the Group of Experts to provide shapefiles (i</w:t>
      </w:r>
      <w:r>
        <w:t>.</w:t>
      </w:r>
      <w:r w:rsidR="00AE774E" w:rsidRPr="00AE774E">
        <w:t>e</w:t>
      </w:r>
      <w:r>
        <w:t>.</w:t>
      </w:r>
      <w:r w:rsidR="00AE774E" w:rsidRPr="00AE774E">
        <w:t xml:space="preserve"> projection such as EPSG 3857, and at least one field containing the E-road </w:t>
      </w:r>
      <w:r w:rsidR="00AE774E" w:rsidRPr="00AE774E">
        <w:lastRenderedPageBreak/>
        <w:t>number/s) of the E-roads in their countries for an up to date map of the E-roads. Members of SC.1 were encouraged to provide this information to the secretariat.</w:t>
      </w:r>
    </w:p>
    <w:p w14:paraId="10595B32" w14:textId="77777777" w:rsidR="00AE774E" w:rsidRPr="00AE774E" w:rsidRDefault="00196930" w:rsidP="00AE774E">
      <w:pPr>
        <w:pStyle w:val="SingleTxtG"/>
      </w:pPr>
      <w:r>
        <w:t>5</w:t>
      </w:r>
      <w:r w:rsidR="00CA67BD">
        <w:t>4</w:t>
      </w:r>
      <w:r>
        <w:t>.</w:t>
      </w:r>
      <w:r>
        <w:tab/>
      </w:r>
      <w:r w:rsidR="00AE774E" w:rsidRPr="00AE774E">
        <w:t xml:space="preserve">The representative of Germany suggested that the secretariat could also obtain the shapefiles relating to the E-roads from the TEN-T database. The secretariat will provide an update at the next session. </w:t>
      </w:r>
    </w:p>
    <w:p w14:paraId="4F0C4DAD" w14:textId="77777777" w:rsidR="00AE774E" w:rsidRPr="00AE774E" w:rsidRDefault="00AE774E" w:rsidP="00AE774E">
      <w:pPr>
        <w:pStyle w:val="HChG"/>
      </w:pPr>
      <w:r w:rsidRPr="00AE774E">
        <w:tab/>
      </w:r>
      <w:r w:rsidR="006B5EC9">
        <w:t>XI</w:t>
      </w:r>
      <w:r w:rsidRPr="00AE774E">
        <w:t>.</w:t>
      </w:r>
      <w:r w:rsidRPr="00AE774E">
        <w:tab/>
        <w:t xml:space="preserve">Benchmarking for Transport Infrastructure </w:t>
      </w:r>
    </w:p>
    <w:p w14:paraId="260CCEC0" w14:textId="77777777" w:rsidR="00AE774E" w:rsidRPr="006B5EC9" w:rsidRDefault="00196930" w:rsidP="00743BA3">
      <w:pPr>
        <w:pStyle w:val="SingleTxtG"/>
        <w:rPr>
          <w:rStyle w:val="SingleTxtGChar"/>
        </w:rPr>
      </w:pPr>
      <w:r>
        <w:t>5</w:t>
      </w:r>
      <w:r w:rsidR="00CA67BD">
        <w:t>5</w:t>
      </w:r>
      <w:r>
        <w:t>.</w:t>
      </w:r>
      <w:r>
        <w:tab/>
      </w:r>
      <w:r w:rsidR="00AE774E" w:rsidRPr="00AE774E">
        <w:t xml:space="preserve">At </w:t>
      </w:r>
      <w:r w:rsidR="008C129C">
        <w:t xml:space="preserve">the invitation of </w:t>
      </w:r>
      <w:r w:rsidR="00AE774E" w:rsidRPr="00AE774E">
        <w:t>SC.1, the Secretary of the Group of Experts on Benchmarking Transport Infrastructure Construction Costs (WP.5/GE.4) presented the work of GE.4 which is on the identification of models, methodologies, tools and good practices for evaluating, calculating and analysing transport infrastructure costs across all modes (road, rail, inland water ways and intermodal terminals). The Secretary of the Group of Experts requested the</w:t>
      </w:r>
      <w:r w:rsidR="00AE774E" w:rsidRPr="007333CC">
        <w:rPr>
          <w:sz w:val="24"/>
          <w:szCs w:val="24"/>
        </w:rPr>
        <w:t xml:space="preserve"> </w:t>
      </w:r>
      <w:r w:rsidR="00AE774E" w:rsidRPr="003C5A4E">
        <w:t>members of SC.1 to complete a questionnaire which seeks to collect data to prepare a benchmarking of transport infrastructure construction costs across the entire ECE</w:t>
      </w:r>
      <w:r w:rsidR="00AE774E" w:rsidRPr="006B5EC9">
        <w:rPr>
          <w:rStyle w:val="SingleTxtGChar"/>
        </w:rPr>
        <w:t xml:space="preserve"> region, and to send it to the secretariat by 16 December 2019. Finally, the Secretary informed SC.1 of the UNDA project on developing Sustainable Inland Transport Connectivity Indicators.</w:t>
      </w:r>
    </w:p>
    <w:p w14:paraId="54645A9D" w14:textId="77777777" w:rsidR="00AE774E" w:rsidRPr="00AE774E" w:rsidRDefault="00196930" w:rsidP="00743BA3">
      <w:pPr>
        <w:pStyle w:val="SingleTxtG"/>
      </w:pPr>
      <w:r>
        <w:t>5</w:t>
      </w:r>
      <w:r w:rsidR="00CA67BD">
        <w:t>6</w:t>
      </w:r>
      <w:r>
        <w:t>.</w:t>
      </w:r>
      <w:r>
        <w:tab/>
      </w:r>
      <w:r w:rsidR="00AE774E" w:rsidRPr="00AE774E">
        <w:t xml:space="preserve">SC.1 appreciated the </w:t>
      </w:r>
      <w:proofErr w:type="gramStart"/>
      <w:r w:rsidR="00743BA3" w:rsidRPr="00AE774E">
        <w:t>presentation</w:t>
      </w:r>
      <w:r w:rsidR="003C5A4E">
        <w:t>,</w:t>
      </w:r>
      <w:r w:rsidR="00743BA3" w:rsidRPr="00AE774E">
        <w:t xml:space="preserve"> and</w:t>
      </w:r>
      <w:proofErr w:type="gramEnd"/>
      <w:r w:rsidR="00AE774E" w:rsidRPr="00AE774E">
        <w:t xml:space="preserve"> invited the Secretary of the Group of Experts to provide an update on this topic at the next session.</w:t>
      </w:r>
    </w:p>
    <w:p w14:paraId="28F52216" w14:textId="77777777" w:rsidR="00AE774E" w:rsidRPr="00AE774E" w:rsidRDefault="00196930" w:rsidP="00743BA3">
      <w:pPr>
        <w:pStyle w:val="SingleTxtG"/>
      </w:pPr>
      <w:r>
        <w:t>5</w:t>
      </w:r>
      <w:r w:rsidR="00CA67BD">
        <w:t>7</w:t>
      </w:r>
      <w:r>
        <w:t>.</w:t>
      </w:r>
      <w:r>
        <w:tab/>
      </w:r>
      <w:r w:rsidR="00AE774E" w:rsidRPr="00AE774E">
        <w:t xml:space="preserve">SC.1 also appreciated Informal document No. 2 tabled by the </w:t>
      </w:r>
      <w:r w:rsidR="003C5A4E">
        <w:t xml:space="preserve">United States of America </w:t>
      </w:r>
      <w:r w:rsidR="00AE774E" w:rsidRPr="00AE774E">
        <w:t xml:space="preserve">which provides information on the National Highway Construction Cost Index published by the Office of Transportation Policy </w:t>
      </w:r>
      <w:r w:rsidR="006B5EC9" w:rsidRPr="00AE774E">
        <w:t>Studies and</w:t>
      </w:r>
      <w:r w:rsidR="00AE774E" w:rsidRPr="00AE774E">
        <w:t xml:space="preserve"> noted that this information has been shared with the Secretary of the Group of Experts.</w:t>
      </w:r>
    </w:p>
    <w:p w14:paraId="5F2972CB" w14:textId="77777777" w:rsidR="00AE774E" w:rsidRPr="00AE774E" w:rsidRDefault="00AE774E" w:rsidP="00AE774E">
      <w:pPr>
        <w:pStyle w:val="HChG"/>
      </w:pPr>
      <w:r w:rsidRPr="00AE774E">
        <w:tab/>
      </w:r>
      <w:r w:rsidR="006B5EC9">
        <w:t>XII</w:t>
      </w:r>
      <w:r w:rsidRPr="00AE774E">
        <w:t>.</w:t>
      </w:r>
      <w:r w:rsidRPr="00AE774E">
        <w:tab/>
        <w:t>Other business</w:t>
      </w:r>
    </w:p>
    <w:p w14:paraId="5425B68D" w14:textId="77777777" w:rsidR="00AE774E" w:rsidRPr="00AE774E" w:rsidRDefault="00196930" w:rsidP="00AE774E">
      <w:pPr>
        <w:pStyle w:val="SingleTxtG"/>
      </w:pPr>
      <w:r>
        <w:t>5</w:t>
      </w:r>
      <w:r w:rsidR="00CA67BD">
        <w:t>8</w:t>
      </w:r>
      <w:r>
        <w:t>.</w:t>
      </w:r>
      <w:r>
        <w:tab/>
      </w:r>
      <w:r w:rsidR="00AE774E" w:rsidRPr="00AE774E">
        <w:t>The Secretary of the Working Party on Transport Trends and Economics (WP.5) was invited to provide information on ECE’s work on Euro-Asian Transport Links (EATL). The members of SC.1 were encouraged to write to the secretariat with ideas on how to enhance the operationalization of the EATL.</w:t>
      </w:r>
    </w:p>
    <w:p w14:paraId="45D93323" w14:textId="77777777" w:rsidR="003C402C" w:rsidRDefault="00CA67BD" w:rsidP="003C402C">
      <w:pPr>
        <w:pStyle w:val="SingleTxtG"/>
      </w:pPr>
      <w:r>
        <w:t>59</w:t>
      </w:r>
      <w:r w:rsidR="003C402C">
        <w:t>.</w:t>
      </w:r>
      <w:r w:rsidR="003C402C">
        <w:tab/>
      </w:r>
      <w:r w:rsidR="003C402C" w:rsidRPr="003C402C">
        <w:t xml:space="preserve">The European Commission informed SC.1 that the </w:t>
      </w:r>
      <w:r w:rsidR="003C402C">
        <w:t xml:space="preserve">International </w:t>
      </w:r>
      <w:r w:rsidR="00A67415">
        <w:t xml:space="preserve">Organization for </w:t>
      </w:r>
      <w:r w:rsidR="003C402C">
        <w:t>Standardization (</w:t>
      </w:r>
      <w:r w:rsidR="003C402C" w:rsidRPr="003C402C">
        <w:t>ISO</w:t>
      </w:r>
      <w:r w:rsidR="003C402C">
        <w:t>)</w:t>
      </w:r>
      <w:r w:rsidR="003C402C" w:rsidRPr="003C402C">
        <w:t xml:space="preserve"> Technical Committee 204 had approved </w:t>
      </w:r>
      <w:r w:rsidR="008C129C">
        <w:t xml:space="preserve">on </w:t>
      </w:r>
      <w:r w:rsidR="003C402C" w:rsidRPr="003C402C">
        <w:t>18 October 2019 a work item to turn the CEN standards corresponding to the DSRC communication protocol being used in the smart tachograph into ISO standards.</w:t>
      </w:r>
    </w:p>
    <w:p w14:paraId="388B9F7B" w14:textId="77777777" w:rsidR="003C402C" w:rsidRDefault="003C402C" w:rsidP="003C402C">
      <w:pPr>
        <w:pStyle w:val="SingleTxtG"/>
      </w:pPr>
      <w:r>
        <w:t>6</w:t>
      </w:r>
      <w:r w:rsidR="00CA67BD">
        <w:t>0</w:t>
      </w:r>
      <w:r>
        <w:t>.</w:t>
      </w:r>
      <w:r>
        <w:tab/>
      </w:r>
      <w:r w:rsidRPr="00AE774E">
        <w:t>SC.1 did not discuss other issues.</w:t>
      </w:r>
    </w:p>
    <w:p w14:paraId="5F71FC63" w14:textId="77777777" w:rsidR="00AE774E" w:rsidRPr="007333CC" w:rsidRDefault="00AE774E" w:rsidP="00AE774E">
      <w:pPr>
        <w:pStyle w:val="HChG"/>
        <w:rPr>
          <w:rStyle w:val="SingleTxtGChar"/>
          <w:sz w:val="24"/>
          <w:szCs w:val="24"/>
        </w:rPr>
      </w:pPr>
      <w:r w:rsidRPr="007333CC">
        <w:rPr>
          <w:szCs w:val="24"/>
        </w:rPr>
        <w:tab/>
      </w:r>
      <w:r w:rsidR="006B5EC9">
        <w:t>XIII</w:t>
      </w:r>
      <w:r w:rsidRPr="00AE774E">
        <w:t>.</w:t>
      </w:r>
      <w:r w:rsidRPr="00AE774E">
        <w:tab/>
        <w:t>Date of next session</w:t>
      </w:r>
    </w:p>
    <w:p w14:paraId="32EC3F7A" w14:textId="77777777" w:rsidR="00AE774E" w:rsidRPr="006B5EC9" w:rsidRDefault="00196930" w:rsidP="006B5EC9">
      <w:pPr>
        <w:pStyle w:val="SingleTxtG"/>
      </w:pPr>
      <w:r>
        <w:t>6</w:t>
      </w:r>
      <w:r w:rsidR="00CA67BD">
        <w:t>1</w:t>
      </w:r>
      <w:r>
        <w:t>.</w:t>
      </w:r>
      <w:r>
        <w:tab/>
      </w:r>
      <w:r w:rsidR="00AE774E" w:rsidRPr="006B5EC9">
        <w:t>The Working Party was informed that the next session has been scheduled for 14-16 October 2020. The secretariat advised that the deadline for the submission of formal documents for the next session was Friday, 17 July 2020.</w:t>
      </w:r>
    </w:p>
    <w:p w14:paraId="2C4BF92C" w14:textId="77777777" w:rsidR="00AE774E" w:rsidRPr="00AE774E" w:rsidRDefault="00AE774E" w:rsidP="00AE774E">
      <w:pPr>
        <w:pStyle w:val="HChG"/>
      </w:pPr>
      <w:r w:rsidRPr="00AE774E">
        <w:tab/>
      </w:r>
      <w:r w:rsidR="006B5EC9">
        <w:t>XIV</w:t>
      </w:r>
      <w:r w:rsidRPr="00AE774E">
        <w:t>.</w:t>
      </w:r>
      <w:r w:rsidRPr="00AE774E">
        <w:tab/>
        <w:t>Adoption of the report</w:t>
      </w:r>
    </w:p>
    <w:p w14:paraId="79A2DC41" w14:textId="77777777" w:rsidR="00196930" w:rsidRDefault="00196930" w:rsidP="006B5EC9">
      <w:pPr>
        <w:pStyle w:val="SingleTxtG"/>
      </w:pPr>
      <w:r>
        <w:t>6</w:t>
      </w:r>
      <w:r w:rsidR="00CA67BD">
        <w:t>2</w:t>
      </w:r>
      <w:r>
        <w:t>.</w:t>
      </w:r>
      <w:r>
        <w:tab/>
      </w:r>
      <w:r w:rsidR="00AE774E" w:rsidRPr="00AE774E">
        <w:t>The Working Party adopted the report of this session</w:t>
      </w:r>
      <w:r w:rsidR="00AE774E">
        <w:t>.</w:t>
      </w:r>
    </w:p>
    <w:p w14:paraId="77E8B08E" w14:textId="77777777" w:rsidR="00196930" w:rsidRDefault="00196930" w:rsidP="00196930">
      <w:r>
        <w:br w:type="page"/>
      </w:r>
    </w:p>
    <w:p w14:paraId="34CA3D09" w14:textId="77777777" w:rsidR="00EE6AC2" w:rsidRPr="007333CC" w:rsidRDefault="00EE6AC2" w:rsidP="00EE6AC2">
      <w:pPr>
        <w:pStyle w:val="HChG"/>
        <w:rPr>
          <w:lang w:eastAsia="en-US"/>
        </w:rPr>
      </w:pPr>
      <w:r>
        <w:rPr>
          <w:lang w:eastAsia="en-US"/>
        </w:rPr>
        <w:lastRenderedPageBreak/>
        <w:tab/>
      </w:r>
      <w:r w:rsidRPr="007333CC">
        <w:rPr>
          <w:lang w:eastAsia="en-US"/>
        </w:rPr>
        <w:t xml:space="preserve">Annex </w:t>
      </w:r>
      <w:r>
        <w:rPr>
          <w:lang w:eastAsia="en-US"/>
        </w:rPr>
        <w:t>I</w:t>
      </w:r>
    </w:p>
    <w:p w14:paraId="4D944914" w14:textId="77777777" w:rsidR="00147D54" w:rsidRDefault="00EE6AC2" w:rsidP="00EE6AC2">
      <w:pPr>
        <w:pStyle w:val="SingleTxtG"/>
        <w:ind w:left="567" w:firstLine="567"/>
        <w:jc w:val="left"/>
        <w:rPr>
          <w:b/>
          <w:lang w:eastAsia="en-US"/>
        </w:rPr>
      </w:pPr>
      <w:r w:rsidRPr="007333CC">
        <w:rPr>
          <w:lang w:eastAsia="en-US"/>
        </w:rPr>
        <w:t>Table 1</w:t>
      </w:r>
      <w:r>
        <w:rPr>
          <w:lang w:eastAsia="en-US"/>
        </w:rPr>
        <w:br/>
      </w:r>
      <w:r>
        <w:rPr>
          <w:lang w:eastAsia="en-US"/>
        </w:rPr>
        <w:tab/>
      </w:r>
      <w:r w:rsidRPr="007333CC">
        <w:rPr>
          <w:b/>
          <w:lang w:eastAsia="en-US"/>
        </w:rPr>
        <w:t xml:space="preserve">List of Priorities until 2030 </w:t>
      </w:r>
    </w:p>
    <w:tbl>
      <w:tblPr>
        <w:tblW w:w="7370" w:type="dxa"/>
        <w:tblInd w:w="1134" w:type="dxa"/>
        <w:tblLayout w:type="fixed"/>
        <w:tblCellMar>
          <w:left w:w="0" w:type="dxa"/>
          <w:right w:w="0" w:type="dxa"/>
        </w:tblCellMar>
        <w:tblLook w:val="04A0" w:firstRow="1" w:lastRow="0" w:firstColumn="1" w:lastColumn="0" w:noHBand="0" w:noVBand="1"/>
      </w:tblPr>
      <w:tblGrid>
        <w:gridCol w:w="1389"/>
        <w:gridCol w:w="1769"/>
        <w:gridCol w:w="2756"/>
        <w:gridCol w:w="1456"/>
      </w:tblGrid>
      <w:tr w:rsidR="00147D54" w:rsidRPr="00147D54" w:rsidDel="00C24980" w14:paraId="561C1FBF" w14:textId="77777777" w:rsidTr="00147D54">
        <w:trPr>
          <w:tblHeader/>
        </w:trPr>
        <w:tc>
          <w:tcPr>
            <w:tcW w:w="1389" w:type="dxa"/>
            <w:tcBorders>
              <w:top w:val="single" w:sz="4" w:space="0" w:color="auto"/>
              <w:bottom w:val="single" w:sz="12" w:space="0" w:color="auto"/>
            </w:tcBorders>
            <w:shd w:val="clear" w:color="auto" w:fill="auto"/>
            <w:vAlign w:val="bottom"/>
          </w:tcPr>
          <w:p w14:paraId="4CC450B1" w14:textId="77777777" w:rsidR="00EE6AC2" w:rsidRPr="00147D54" w:rsidRDefault="00EE6AC2" w:rsidP="00147D54">
            <w:pPr>
              <w:spacing w:before="80" w:after="80" w:line="200" w:lineRule="exact"/>
              <w:ind w:right="113"/>
              <w:rPr>
                <w:rFonts w:eastAsia="Calibri"/>
                <w:i/>
                <w:sz w:val="16"/>
                <w:lang w:eastAsia="en-US"/>
              </w:rPr>
            </w:pPr>
            <w:r>
              <w:rPr>
                <w:lang w:eastAsia="en-US"/>
              </w:rPr>
              <w:br/>
            </w:r>
            <w:r w:rsidRPr="00147D54">
              <w:rPr>
                <w:rFonts w:eastAsia="Calibri"/>
                <w:i/>
                <w:sz w:val="16"/>
                <w:lang w:eastAsia="en-US"/>
              </w:rPr>
              <w:t>Theme/</w:t>
            </w:r>
          </w:p>
          <w:p w14:paraId="22587AA2" w14:textId="77777777" w:rsidR="00EE6AC2" w:rsidRPr="00147D54" w:rsidDel="00C24980" w:rsidRDefault="00EE6AC2" w:rsidP="00147D54">
            <w:pPr>
              <w:spacing w:before="80" w:after="80" w:line="200" w:lineRule="exact"/>
              <w:ind w:right="113"/>
              <w:rPr>
                <w:rFonts w:eastAsia="Calibri"/>
                <w:i/>
                <w:sz w:val="16"/>
                <w:lang w:eastAsia="en-US"/>
              </w:rPr>
            </w:pPr>
            <w:r w:rsidRPr="00147D54">
              <w:rPr>
                <w:rFonts w:eastAsia="Calibri"/>
                <w:i/>
                <w:sz w:val="16"/>
                <w:lang w:eastAsia="en-US"/>
              </w:rPr>
              <w:t>Related SDG</w:t>
            </w:r>
          </w:p>
        </w:tc>
        <w:tc>
          <w:tcPr>
            <w:tcW w:w="1769" w:type="dxa"/>
            <w:tcBorders>
              <w:top w:val="single" w:sz="4" w:space="0" w:color="auto"/>
              <w:bottom w:val="single" w:sz="12" w:space="0" w:color="auto"/>
            </w:tcBorders>
            <w:shd w:val="clear" w:color="auto" w:fill="auto"/>
            <w:vAlign w:val="bottom"/>
          </w:tcPr>
          <w:p w14:paraId="376554A5" w14:textId="77777777" w:rsidR="00EE6AC2" w:rsidRPr="00147D54" w:rsidDel="00C24980" w:rsidRDefault="00EE6AC2" w:rsidP="00147D54">
            <w:pPr>
              <w:spacing w:before="80" w:after="80" w:line="200" w:lineRule="exact"/>
              <w:ind w:right="113"/>
              <w:rPr>
                <w:rFonts w:eastAsia="Calibri"/>
                <w:i/>
                <w:sz w:val="16"/>
                <w:lang w:eastAsia="en-US"/>
              </w:rPr>
            </w:pPr>
            <w:r w:rsidRPr="00147D54">
              <w:rPr>
                <w:rFonts w:eastAsia="Calibri"/>
                <w:i/>
                <w:sz w:val="16"/>
                <w:lang w:eastAsia="en-US"/>
              </w:rPr>
              <w:t>Long-term Action</w:t>
            </w:r>
          </w:p>
        </w:tc>
        <w:tc>
          <w:tcPr>
            <w:tcW w:w="2756" w:type="dxa"/>
            <w:tcBorders>
              <w:top w:val="single" w:sz="4" w:space="0" w:color="auto"/>
              <w:bottom w:val="single" w:sz="12" w:space="0" w:color="auto"/>
            </w:tcBorders>
            <w:shd w:val="clear" w:color="auto" w:fill="auto"/>
            <w:vAlign w:val="bottom"/>
          </w:tcPr>
          <w:p w14:paraId="456D15D5" w14:textId="77777777" w:rsidR="00EE6AC2" w:rsidRPr="00147D54" w:rsidDel="00C24980" w:rsidRDefault="00EE6AC2" w:rsidP="00147D54">
            <w:pPr>
              <w:spacing w:before="80" w:after="80" w:line="200" w:lineRule="exact"/>
              <w:ind w:right="113"/>
              <w:rPr>
                <w:rFonts w:eastAsia="Calibri"/>
                <w:i/>
                <w:sz w:val="16"/>
                <w:lang w:eastAsia="en-US"/>
              </w:rPr>
            </w:pPr>
            <w:r w:rsidRPr="00147D54">
              <w:rPr>
                <w:rFonts w:eastAsia="Calibri"/>
                <w:i/>
                <w:sz w:val="16"/>
                <w:lang w:eastAsia="en-US"/>
              </w:rPr>
              <w:t>Priority Actions until 2030</w:t>
            </w:r>
          </w:p>
        </w:tc>
        <w:tc>
          <w:tcPr>
            <w:tcW w:w="1456" w:type="dxa"/>
            <w:tcBorders>
              <w:top w:val="single" w:sz="4" w:space="0" w:color="auto"/>
              <w:bottom w:val="single" w:sz="12" w:space="0" w:color="auto"/>
            </w:tcBorders>
            <w:shd w:val="clear" w:color="auto" w:fill="auto"/>
            <w:vAlign w:val="bottom"/>
          </w:tcPr>
          <w:p w14:paraId="04EB68B2" w14:textId="77777777" w:rsidR="00EE6AC2" w:rsidRPr="00147D54" w:rsidRDefault="00EE6AC2" w:rsidP="00147D54">
            <w:pPr>
              <w:spacing w:before="80" w:after="80" w:line="200" w:lineRule="exact"/>
              <w:ind w:right="113"/>
              <w:rPr>
                <w:rFonts w:eastAsia="Calibri"/>
                <w:i/>
                <w:sz w:val="16"/>
                <w:lang w:eastAsia="en-US"/>
              </w:rPr>
            </w:pPr>
            <w:r w:rsidRPr="00147D54">
              <w:rPr>
                <w:rFonts w:eastAsia="Calibri"/>
                <w:i/>
                <w:sz w:val="16"/>
                <w:lang w:eastAsia="en-US"/>
              </w:rPr>
              <w:t xml:space="preserve">Indicative budget (RB/XB); Ways to manage; Partnerships </w:t>
            </w:r>
          </w:p>
        </w:tc>
      </w:tr>
      <w:tr w:rsidR="00147D54" w:rsidRPr="00147D54" w:rsidDel="00C24980" w14:paraId="02A248D1" w14:textId="77777777" w:rsidTr="00147D54">
        <w:trPr>
          <w:trHeight w:hRule="exact" w:val="113"/>
          <w:tblHeader/>
        </w:trPr>
        <w:tc>
          <w:tcPr>
            <w:tcW w:w="1389" w:type="dxa"/>
            <w:tcBorders>
              <w:top w:val="single" w:sz="12" w:space="0" w:color="auto"/>
            </w:tcBorders>
            <w:shd w:val="clear" w:color="auto" w:fill="auto"/>
          </w:tcPr>
          <w:p w14:paraId="0FFACD3D" w14:textId="77777777" w:rsidR="00147D54" w:rsidRPr="00147D54" w:rsidRDefault="00147D54" w:rsidP="00147D54">
            <w:pPr>
              <w:spacing w:before="40" w:after="120"/>
              <w:ind w:right="113"/>
              <w:rPr>
                <w:rFonts w:eastAsia="Calibri"/>
                <w:lang w:eastAsia="en-US"/>
              </w:rPr>
            </w:pPr>
          </w:p>
        </w:tc>
        <w:tc>
          <w:tcPr>
            <w:tcW w:w="1769" w:type="dxa"/>
            <w:tcBorders>
              <w:top w:val="single" w:sz="12" w:space="0" w:color="auto"/>
            </w:tcBorders>
            <w:shd w:val="clear" w:color="auto" w:fill="auto"/>
          </w:tcPr>
          <w:p w14:paraId="23A05163" w14:textId="77777777" w:rsidR="00147D54" w:rsidRPr="00147D54" w:rsidRDefault="00147D54" w:rsidP="00147D54">
            <w:pPr>
              <w:spacing w:before="40" w:after="120"/>
              <w:ind w:right="113"/>
              <w:rPr>
                <w:rFonts w:eastAsia="Calibri"/>
                <w:lang w:eastAsia="en-US"/>
              </w:rPr>
            </w:pPr>
          </w:p>
        </w:tc>
        <w:tc>
          <w:tcPr>
            <w:tcW w:w="2756" w:type="dxa"/>
            <w:tcBorders>
              <w:top w:val="single" w:sz="12" w:space="0" w:color="auto"/>
            </w:tcBorders>
            <w:shd w:val="clear" w:color="auto" w:fill="auto"/>
          </w:tcPr>
          <w:p w14:paraId="585F0D98" w14:textId="77777777" w:rsidR="00147D54" w:rsidRPr="00147D54" w:rsidRDefault="00147D54" w:rsidP="00147D54">
            <w:pPr>
              <w:spacing w:before="40" w:after="120"/>
              <w:ind w:right="113"/>
              <w:rPr>
                <w:rFonts w:eastAsia="Calibri"/>
                <w:lang w:eastAsia="en-US"/>
              </w:rPr>
            </w:pPr>
          </w:p>
        </w:tc>
        <w:tc>
          <w:tcPr>
            <w:tcW w:w="1456" w:type="dxa"/>
            <w:tcBorders>
              <w:top w:val="single" w:sz="12" w:space="0" w:color="auto"/>
            </w:tcBorders>
            <w:shd w:val="clear" w:color="auto" w:fill="auto"/>
          </w:tcPr>
          <w:p w14:paraId="519956C3" w14:textId="77777777" w:rsidR="00147D54" w:rsidRPr="00147D54" w:rsidRDefault="00147D54" w:rsidP="00147D54">
            <w:pPr>
              <w:spacing w:before="40" w:after="120"/>
              <w:ind w:right="113"/>
              <w:rPr>
                <w:rFonts w:eastAsia="Calibri"/>
                <w:lang w:eastAsia="en-US"/>
              </w:rPr>
            </w:pPr>
          </w:p>
        </w:tc>
      </w:tr>
      <w:tr w:rsidR="00EE6AC2" w:rsidRPr="00147D54" w:rsidDel="00C24980" w14:paraId="7F7DF0B5" w14:textId="77777777" w:rsidTr="00147D54">
        <w:tc>
          <w:tcPr>
            <w:tcW w:w="5914" w:type="dxa"/>
            <w:gridSpan w:val="3"/>
            <w:shd w:val="clear" w:color="auto" w:fill="auto"/>
          </w:tcPr>
          <w:p w14:paraId="26D02277" w14:textId="77777777" w:rsidR="00EE6AC2" w:rsidRPr="00147D54" w:rsidDel="00C24980" w:rsidRDefault="00EE6AC2" w:rsidP="00147D54">
            <w:pPr>
              <w:spacing w:before="40" w:after="120"/>
              <w:ind w:right="113"/>
              <w:rPr>
                <w:rFonts w:eastAsia="Calibri"/>
                <w:b/>
                <w:lang w:eastAsia="en-US"/>
              </w:rPr>
            </w:pPr>
          </w:p>
        </w:tc>
        <w:tc>
          <w:tcPr>
            <w:tcW w:w="1456" w:type="dxa"/>
            <w:shd w:val="clear" w:color="auto" w:fill="auto"/>
          </w:tcPr>
          <w:p w14:paraId="19C6ECFA" w14:textId="77777777" w:rsidR="00EE6AC2" w:rsidRPr="00147D54" w:rsidDel="00C24980" w:rsidRDefault="00EE6AC2" w:rsidP="00147D54">
            <w:pPr>
              <w:spacing w:before="40" w:after="120"/>
              <w:ind w:right="113"/>
              <w:rPr>
                <w:rFonts w:eastAsia="Calibri"/>
                <w:b/>
                <w:lang w:eastAsia="en-US"/>
              </w:rPr>
            </w:pPr>
          </w:p>
        </w:tc>
      </w:tr>
      <w:tr w:rsidR="00EE6AC2" w:rsidRPr="00147D54" w:rsidDel="00C24980" w14:paraId="05446C9B" w14:textId="77777777" w:rsidTr="00147D54">
        <w:tc>
          <w:tcPr>
            <w:tcW w:w="1389" w:type="dxa"/>
            <w:vMerge w:val="restart"/>
            <w:shd w:val="clear" w:color="auto" w:fill="auto"/>
          </w:tcPr>
          <w:p w14:paraId="1D88514F" w14:textId="77777777" w:rsidR="00EE6AC2" w:rsidRPr="00147D54" w:rsidRDefault="00EE6AC2" w:rsidP="00147D54">
            <w:pPr>
              <w:spacing w:before="40" w:after="120"/>
              <w:ind w:right="113"/>
              <w:rPr>
                <w:rFonts w:eastAsia="Calibri"/>
                <w:lang w:eastAsia="en-US"/>
              </w:rPr>
            </w:pPr>
            <w:r w:rsidRPr="00147D54">
              <w:rPr>
                <w:rFonts w:eastAsia="Calibri"/>
                <w:lang w:eastAsia="en-US"/>
              </w:rPr>
              <w:t>The United Nations Platform for inland transport conventions</w:t>
            </w:r>
          </w:p>
          <w:p w14:paraId="11A3F96D" w14:textId="77777777" w:rsidR="00EE6AC2" w:rsidRPr="00147D54" w:rsidRDefault="00EE6AC2" w:rsidP="00147D54">
            <w:pPr>
              <w:spacing w:before="40" w:after="120"/>
              <w:ind w:right="113"/>
              <w:rPr>
                <w:rFonts w:eastAsia="Calibri"/>
                <w:lang w:eastAsia="en-US"/>
              </w:rPr>
            </w:pPr>
            <w:r w:rsidRPr="00147D54">
              <w:rPr>
                <w:rFonts w:eastAsia="Calibri"/>
                <w:lang w:eastAsia="en-US"/>
              </w:rPr>
              <w:t>RELEVANT SDGs: SDG 3, SDG 6, SDG 7, SDG 8, SDG 9, SDG 11, SDG 12, SDG 13</w:t>
            </w:r>
          </w:p>
        </w:tc>
        <w:tc>
          <w:tcPr>
            <w:tcW w:w="1769" w:type="dxa"/>
            <w:shd w:val="clear" w:color="auto" w:fill="auto"/>
          </w:tcPr>
          <w:p w14:paraId="5AA48723" w14:textId="77777777" w:rsidR="00EE6AC2" w:rsidRPr="00147D54" w:rsidRDefault="00EE6AC2" w:rsidP="00147D54">
            <w:pPr>
              <w:spacing w:before="40" w:after="120"/>
              <w:ind w:right="113"/>
              <w:rPr>
                <w:rFonts w:eastAsia="Calibri"/>
                <w:lang w:eastAsia="en-US"/>
              </w:rPr>
            </w:pPr>
            <w:r w:rsidRPr="00147D54">
              <w:rPr>
                <w:rFonts w:eastAsia="Calibri"/>
                <w:lang w:eastAsia="en-US"/>
              </w:rPr>
              <w:t xml:space="preserve">Servicing of legal instruments </w:t>
            </w:r>
          </w:p>
        </w:tc>
        <w:tc>
          <w:tcPr>
            <w:tcW w:w="2756" w:type="dxa"/>
            <w:shd w:val="clear" w:color="auto" w:fill="auto"/>
          </w:tcPr>
          <w:p w14:paraId="74E140EC" w14:textId="77777777" w:rsidR="00EE6AC2" w:rsidRDefault="00EE6AC2" w:rsidP="00147D54">
            <w:pPr>
              <w:spacing w:before="40" w:after="120"/>
              <w:ind w:right="113"/>
              <w:rPr>
                <w:lang w:eastAsia="de-DE"/>
              </w:rPr>
            </w:pPr>
            <w:r w:rsidRPr="00147D54">
              <w:rPr>
                <w:lang w:eastAsia="de-DE"/>
              </w:rPr>
              <w:t xml:space="preserve">The servicing and administering of legal instruments, especially in the fields of vehicle </w:t>
            </w:r>
            <w:r w:rsidRPr="00147D54">
              <w:rPr>
                <w:lang w:eastAsia="en-US"/>
              </w:rPr>
              <w:t xml:space="preserve">regulations </w:t>
            </w:r>
            <w:r w:rsidRPr="00147D54">
              <w:rPr>
                <w:lang w:eastAsia="de-DE"/>
              </w:rPr>
              <w:t>harmonization, transport of dangerous goods, border crossing facilitation and road safety, represent the most important task of the ITC. This includes</w:t>
            </w:r>
            <w:proofErr w:type="gramStart"/>
            <w:r w:rsidRPr="00147D54">
              <w:rPr>
                <w:lang w:eastAsia="de-DE"/>
              </w:rPr>
              <w:t>, in particular, the</w:t>
            </w:r>
            <w:proofErr w:type="gramEnd"/>
            <w:r w:rsidRPr="00147D54">
              <w:rPr>
                <w:lang w:eastAsia="de-DE"/>
              </w:rPr>
              <w:t xml:space="preserve"> regular and timely amendments as well as the consolidation of amendments to legal instruments and discussion on their implementation.</w:t>
            </w:r>
          </w:p>
          <w:p w14:paraId="00849D91" w14:textId="77777777" w:rsidR="00147D54" w:rsidRPr="00147D54" w:rsidRDefault="00147D54" w:rsidP="00147D54">
            <w:pPr>
              <w:spacing w:before="40" w:after="120"/>
              <w:ind w:right="113"/>
              <w:rPr>
                <w:rFonts w:eastAsia="Calibri"/>
                <w:lang w:eastAsia="en-US"/>
              </w:rPr>
            </w:pPr>
            <w:r w:rsidRPr="0019476C">
              <w:rPr>
                <w:b/>
                <w:bCs/>
                <w:lang w:eastAsia="de-DE"/>
              </w:rPr>
              <w:t>Comments:</w:t>
            </w:r>
            <w:r w:rsidRPr="00037D3B">
              <w:rPr>
                <w:lang w:val="en-US"/>
              </w:rPr>
              <w:t xml:space="preserve"> SC</w:t>
            </w:r>
            <w:r>
              <w:rPr>
                <w:lang w:val="en-US"/>
              </w:rPr>
              <w:t>.</w:t>
            </w:r>
            <w:r w:rsidRPr="00037D3B">
              <w:rPr>
                <w:lang w:val="en-US"/>
              </w:rPr>
              <w:t xml:space="preserve">1 agreed that this is </w:t>
            </w:r>
            <w:r>
              <w:rPr>
                <w:lang w:val="en-US"/>
              </w:rPr>
              <w:t xml:space="preserve">part of its </w:t>
            </w:r>
            <w:r w:rsidRPr="00037D3B">
              <w:rPr>
                <w:lang w:val="en-US"/>
              </w:rPr>
              <w:t>ongoing work.</w:t>
            </w:r>
          </w:p>
        </w:tc>
        <w:tc>
          <w:tcPr>
            <w:tcW w:w="1456" w:type="dxa"/>
            <w:shd w:val="clear" w:color="auto" w:fill="auto"/>
          </w:tcPr>
          <w:p w14:paraId="7A9D72A7" w14:textId="77777777" w:rsidR="00EE6AC2" w:rsidRPr="00147D54" w:rsidRDefault="00EE6AC2" w:rsidP="00147D54">
            <w:pPr>
              <w:spacing w:before="40" w:after="120"/>
              <w:ind w:right="113"/>
              <w:rPr>
                <w:b/>
                <w:bCs/>
                <w:lang w:eastAsia="de-DE"/>
              </w:rPr>
            </w:pPr>
            <w:r w:rsidRPr="00147D54">
              <w:rPr>
                <w:b/>
                <w:bCs/>
                <w:lang w:eastAsia="de-DE"/>
              </w:rPr>
              <w:t>RB and XB in some cases</w:t>
            </w:r>
          </w:p>
        </w:tc>
      </w:tr>
      <w:tr w:rsidR="00EE6AC2" w:rsidRPr="00147D54" w:rsidDel="00C24980" w14:paraId="6022C568" w14:textId="77777777" w:rsidTr="00147D54">
        <w:tc>
          <w:tcPr>
            <w:tcW w:w="1389" w:type="dxa"/>
            <w:vMerge/>
            <w:shd w:val="clear" w:color="auto" w:fill="auto"/>
          </w:tcPr>
          <w:p w14:paraId="2D071F98" w14:textId="77777777" w:rsidR="00EE6AC2" w:rsidRPr="00147D54" w:rsidDel="00C24980" w:rsidRDefault="00EE6AC2" w:rsidP="00147D54">
            <w:pPr>
              <w:spacing w:before="40" w:after="120"/>
              <w:ind w:right="113"/>
              <w:rPr>
                <w:rFonts w:eastAsia="Calibri"/>
                <w:lang w:eastAsia="en-US"/>
              </w:rPr>
            </w:pPr>
          </w:p>
        </w:tc>
        <w:tc>
          <w:tcPr>
            <w:tcW w:w="1769" w:type="dxa"/>
            <w:shd w:val="clear" w:color="auto" w:fill="auto"/>
          </w:tcPr>
          <w:p w14:paraId="0553E749"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Promotion of accession by non-</w:t>
            </w:r>
            <w:r w:rsidRPr="00147D54">
              <w:rPr>
                <w:bCs/>
                <w:lang w:eastAsia="en-US"/>
              </w:rPr>
              <w:t>ECE member States</w:t>
            </w:r>
            <w:r w:rsidRPr="00147D54">
              <w:rPr>
                <w:rFonts w:eastAsia="Calibri"/>
                <w:lang w:eastAsia="en-US"/>
              </w:rPr>
              <w:t xml:space="preserve"> to the United Nations legal instruments</w:t>
            </w:r>
          </w:p>
        </w:tc>
        <w:tc>
          <w:tcPr>
            <w:tcW w:w="2756" w:type="dxa"/>
            <w:shd w:val="clear" w:color="auto" w:fill="auto"/>
          </w:tcPr>
          <w:p w14:paraId="7EDC7F8E" w14:textId="77777777" w:rsidR="00EE6AC2" w:rsidRDefault="00EE6AC2" w:rsidP="00147D54">
            <w:pPr>
              <w:spacing w:before="40" w:after="120"/>
              <w:ind w:right="113"/>
              <w:rPr>
                <w:rFonts w:eastAsia="Calibri"/>
                <w:lang w:eastAsia="en-US"/>
              </w:rPr>
            </w:pPr>
            <w:r w:rsidRPr="00147D54">
              <w:rPr>
                <w:rFonts w:eastAsia="Calibri"/>
                <w:lang w:eastAsia="en-US"/>
              </w:rPr>
              <w:t>- Amendments to the TOR of ITC by 2020</w:t>
            </w:r>
            <w:r w:rsidR="00F51190">
              <w:rPr>
                <w:rFonts w:eastAsia="Calibri"/>
                <w:lang w:eastAsia="en-US"/>
              </w:rPr>
              <w:t xml:space="preserve"> </w:t>
            </w:r>
          </w:p>
          <w:p w14:paraId="6C1678F3" w14:textId="77777777" w:rsidR="00F51190" w:rsidRPr="00147D54" w:rsidRDefault="00F51190" w:rsidP="00147D54">
            <w:pPr>
              <w:spacing w:before="40" w:after="120"/>
              <w:ind w:right="113"/>
              <w:rPr>
                <w:rFonts w:eastAsia="Calibri"/>
                <w:lang w:eastAsia="en-US"/>
              </w:rPr>
            </w:pPr>
            <w:r w:rsidRPr="0019476C">
              <w:rPr>
                <w:rFonts w:eastAsia="Calibri"/>
                <w:b/>
                <w:bCs/>
                <w:lang w:eastAsia="en-US"/>
              </w:rPr>
              <w:t>Comments</w:t>
            </w:r>
            <w:r w:rsidRPr="00CF19F4">
              <w:rPr>
                <w:rFonts w:eastAsia="Calibri"/>
                <w:b/>
                <w:bCs/>
                <w:lang w:eastAsia="en-US"/>
              </w:rPr>
              <w:t xml:space="preserve">: </w:t>
            </w:r>
            <w:r>
              <w:rPr>
                <w:rFonts w:eastAsia="Calibri"/>
                <w:lang w:eastAsia="en-US"/>
              </w:rPr>
              <w:t>not applicable to SC.1</w:t>
            </w:r>
            <w:r w:rsidR="00F45453">
              <w:rPr>
                <w:rFonts w:eastAsia="Calibri"/>
                <w:lang w:eastAsia="en-US"/>
              </w:rPr>
              <w:t>.</w:t>
            </w:r>
          </w:p>
          <w:p w14:paraId="352AE09D" w14:textId="77777777" w:rsidR="00EE6AC2" w:rsidRDefault="00EE6AC2" w:rsidP="00147D54">
            <w:pPr>
              <w:spacing w:before="40" w:after="120"/>
              <w:ind w:right="113"/>
              <w:rPr>
                <w:rFonts w:eastAsia="Calibri"/>
                <w:lang w:eastAsia="en-US"/>
              </w:rPr>
            </w:pPr>
            <w:r w:rsidRPr="00147D54">
              <w:rPr>
                <w:rFonts w:eastAsia="Calibri"/>
                <w:lang w:eastAsia="en-US"/>
              </w:rPr>
              <w:t>- Amendments to the legal instruments with geographical and procedural barriers by 2025</w:t>
            </w:r>
          </w:p>
          <w:p w14:paraId="48F7B4E3" w14:textId="77777777" w:rsidR="0019476C" w:rsidRPr="00147D54" w:rsidRDefault="0019476C" w:rsidP="00147D54">
            <w:pPr>
              <w:spacing w:before="40" w:after="120"/>
              <w:ind w:right="113"/>
              <w:rPr>
                <w:rFonts w:eastAsia="Calibri"/>
                <w:lang w:eastAsia="en-US"/>
              </w:rPr>
            </w:pPr>
            <w:r w:rsidRPr="0019476C">
              <w:rPr>
                <w:rFonts w:eastAsia="Calibri"/>
                <w:b/>
                <w:bCs/>
                <w:lang w:eastAsia="en-US"/>
              </w:rPr>
              <w:t>Comments:</w:t>
            </w:r>
            <w:r>
              <w:rPr>
                <w:rFonts w:eastAsia="Calibri"/>
                <w:lang w:eastAsia="en-US"/>
              </w:rPr>
              <w:t xml:space="preserve"> </w:t>
            </w:r>
            <w:r w:rsidRPr="00B8333C">
              <w:rPr>
                <w:lang w:val="en-US"/>
              </w:rPr>
              <w:t xml:space="preserve">SC.1 </w:t>
            </w:r>
            <w:r>
              <w:rPr>
                <w:lang w:val="en-US"/>
              </w:rPr>
              <w:t>is considering and discussing this in the context of the AETR Agreement. SC.1 members will also consult capitals on the relevance of this in the context of the AGR Agreement and revert at its 115</w:t>
            </w:r>
            <w:r w:rsidRPr="004A4008">
              <w:rPr>
                <w:vertAlign w:val="superscript"/>
                <w:lang w:val="en-US"/>
              </w:rPr>
              <w:t>th</w:t>
            </w:r>
            <w:r>
              <w:rPr>
                <w:lang w:val="en-US"/>
              </w:rPr>
              <w:t xml:space="preserve"> session.</w:t>
            </w:r>
          </w:p>
          <w:p w14:paraId="61E337BD" w14:textId="77777777" w:rsidR="00EE6AC2" w:rsidRDefault="00EE6AC2" w:rsidP="00147D54">
            <w:pPr>
              <w:spacing w:before="40" w:after="120"/>
              <w:ind w:right="113"/>
              <w:rPr>
                <w:rFonts w:eastAsia="Calibri"/>
                <w:lang w:eastAsia="en-US"/>
              </w:rPr>
            </w:pPr>
            <w:r w:rsidRPr="00147D54">
              <w:rPr>
                <w:rFonts w:eastAsia="Calibri"/>
                <w:lang w:eastAsia="en-US"/>
              </w:rPr>
              <w:t>- Review of relationship of the existing legal instruments and recommendations by 2022</w:t>
            </w:r>
          </w:p>
          <w:p w14:paraId="64DE2E3E" w14:textId="77777777" w:rsidR="00BB4C97" w:rsidRPr="00147D54" w:rsidRDefault="00BB4C97" w:rsidP="00147D54">
            <w:pPr>
              <w:spacing w:before="40" w:after="120"/>
              <w:ind w:right="113"/>
              <w:rPr>
                <w:rFonts w:eastAsia="Calibri"/>
                <w:lang w:eastAsia="en-US"/>
              </w:rPr>
            </w:pPr>
            <w:r w:rsidRPr="00BB4C97">
              <w:rPr>
                <w:rFonts w:eastAsia="Calibri"/>
                <w:b/>
                <w:bCs/>
                <w:lang w:eastAsia="en-US"/>
              </w:rPr>
              <w:t>Comments:</w:t>
            </w:r>
            <w:r w:rsidRPr="00037D3B">
              <w:rPr>
                <w:lang w:val="en-US"/>
              </w:rPr>
              <w:t xml:space="preserve"> SC</w:t>
            </w:r>
            <w:r>
              <w:rPr>
                <w:lang w:val="en-US"/>
              </w:rPr>
              <w:t>.</w:t>
            </w:r>
            <w:r w:rsidRPr="00037D3B">
              <w:rPr>
                <w:lang w:val="en-US"/>
              </w:rPr>
              <w:t xml:space="preserve">1 agreed that this is </w:t>
            </w:r>
            <w:r>
              <w:rPr>
                <w:lang w:val="en-US"/>
              </w:rPr>
              <w:t xml:space="preserve">part of its </w:t>
            </w:r>
            <w:r w:rsidRPr="00037D3B">
              <w:rPr>
                <w:lang w:val="en-US"/>
              </w:rPr>
              <w:t>ongoing work.</w:t>
            </w:r>
          </w:p>
          <w:p w14:paraId="3AA0DF88" w14:textId="77777777" w:rsidR="00EE6AC2" w:rsidRDefault="00EE6AC2" w:rsidP="00147D54">
            <w:pPr>
              <w:spacing w:before="40" w:after="120"/>
              <w:ind w:right="113"/>
              <w:rPr>
                <w:rFonts w:eastAsia="Calibri"/>
                <w:lang w:eastAsia="en-US"/>
              </w:rPr>
            </w:pPr>
            <w:r w:rsidRPr="00147D54">
              <w:rPr>
                <w:rFonts w:eastAsia="Calibri"/>
                <w:lang w:eastAsia="en-US"/>
              </w:rPr>
              <w:t xml:space="preserve">- identification of additional necessary legal instruments </w:t>
            </w:r>
          </w:p>
          <w:p w14:paraId="48AC4A89" w14:textId="77777777" w:rsidR="0019476C" w:rsidRPr="00147D54" w:rsidDel="00C24980" w:rsidRDefault="0019476C" w:rsidP="00147D54">
            <w:pPr>
              <w:spacing w:before="40" w:after="120"/>
              <w:ind w:right="113"/>
              <w:rPr>
                <w:rFonts w:eastAsia="Calibri"/>
                <w:lang w:eastAsia="en-US"/>
              </w:rPr>
            </w:pPr>
            <w:r w:rsidRPr="0019476C">
              <w:rPr>
                <w:rFonts w:eastAsia="Calibri"/>
                <w:b/>
                <w:bCs/>
                <w:lang w:eastAsia="en-US"/>
              </w:rPr>
              <w:t>Comments:</w:t>
            </w:r>
            <w:r>
              <w:rPr>
                <w:rFonts w:eastAsia="Calibri"/>
                <w:lang w:eastAsia="en-US"/>
              </w:rPr>
              <w:t xml:space="preserve"> </w:t>
            </w:r>
            <w:r w:rsidRPr="00037D3B">
              <w:rPr>
                <w:lang w:val="en-US"/>
              </w:rPr>
              <w:t>SC</w:t>
            </w:r>
            <w:r>
              <w:rPr>
                <w:lang w:val="en-US"/>
              </w:rPr>
              <w:t>.</w:t>
            </w:r>
            <w:r w:rsidRPr="00037D3B">
              <w:rPr>
                <w:lang w:val="en-US"/>
              </w:rPr>
              <w:t xml:space="preserve">1 agreed that this is </w:t>
            </w:r>
            <w:r>
              <w:rPr>
                <w:lang w:val="en-US"/>
              </w:rPr>
              <w:t xml:space="preserve">part of its </w:t>
            </w:r>
            <w:r w:rsidRPr="00037D3B">
              <w:rPr>
                <w:lang w:val="en-US"/>
              </w:rPr>
              <w:t>ongoing work.</w:t>
            </w:r>
          </w:p>
        </w:tc>
        <w:tc>
          <w:tcPr>
            <w:tcW w:w="1456" w:type="dxa"/>
            <w:shd w:val="clear" w:color="auto" w:fill="auto"/>
          </w:tcPr>
          <w:p w14:paraId="14B4335A" w14:textId="77777777" w:rsidR="00EE6AC2" w:rsidRPr="00147D54" w:rsidRDefault="00EE6AC2" w:rsidP="00147D54">
            <w:pPr>
              <w:spacing w:before="40" w:after="120"/>
              <w:ind w:right="113"/>
              <w:rPr>
                <w:rFonts w:eastAsia="Calibri"/>
                <w:b/>
                <w:bCs/>
                <w:lang w:eastAsia="en-US"/>
              </w:rPr>
            </w:pPr>
            <w:r w:rsidRPr="00147D54">
              <w:rPr>
                <w:rFonts w:eastAsia="Calibri"/>
                <w:b/>
                <w:bCs/>
                <w:lang w:eastAsia="en-US"/>
              </w:rPr>
              <w:t>RB</w:t>
            </w:r>
          </w:p>
        </w:tc>
      </w:tr>
      <w:tr w:rsidR="00EE6AC2" w:rsidRPr="00147D54" w:rsidDel="00C24980" w14:paraId="574D48E3" w14:textId="77777777" w:rsidTr="00147D54">
        <w:tc>
          <w:tcPr>
            <w:tcW w:w="1389" w:type="dxa"/>
            <w:vMerge/>
            <w:shd w:val="clear" w:color="auto" w:fill="auto"/>
          </w:tcPr>
          <w:p w14:paraId="30FC0C16" w14:textId="77777777" w:rsidR="00EE6AC2" w:rsidRPr="00147D54" w:rsidDel="00C24980" w:rsidRDefault="00EE6AC2" w:rsidP="00147D54">
            <w:pPr>
              <w:spacing w:before="40" w:after="120"/>
              <w:ind w:right="113"/>
              <w:rPr>
                <w:rFonts w:eastAsia="Calibri"/>
                <w:lang w:eastAsia="en-US"/>
              </w:rPr>
            </w:pPr>
          </w:p>
        </w:tc>
        <w:tc>
          <w:tcPr>
            <w:tcW w:w="1769" w:type="dxa"/>
            <w:shd w:val="clear" w:color="auto" w:fill="auto"/>
          </w:tcPr>
          <w:p w14:paraId="506871A5"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New legal instruments under the Sustainable Development Agenda</w:t>
            </w:r>
          </w:p>
        </w:tc>
        <w:tc>
          <w:tcPr>
            <w:tcW w:w="2756" w:type="dxa"/>
            <w:shd w:val="clear" w:color="auto" w:fill="auto"/>
          </w:tcPr>
          <w:p w14:paraId="51DCB5FC" w14:textId="77777777" w:rsidR="00EE6AC2" w:rsidRDefault="00EE6AC2" w:rsidP="00147D54">
            <w:pPr>
              <w:spacing w:before="40" w:after="120"/>
              <w:ind w:right="113"/>
              <w:rPr>
                <w:rFonts w:eastAsia="Calibri"/>
                <w:lang w:eastAsia="en-US"/>
              </w:rPr>
            </w:pPr>
            <w:r w:rsidRPr="00147D54">
              <w:rPr>
                <w:rFonts w:eastAsia="Calibri"/>
                <w:lang w:eastAsia="en-US"/>
              </w:rPr>
              <w:t xml:space="preserve">- Finalizing three new legal instruments that are under development: URL, </w:t>
            </w:r>
            <w:proofErr w:type="spellStart"/>
            <w:r w:rsidRPr="00147D54">
              <w:rPr>
                <w:rFonts w:eastAsia="Calibri"/>
                <w:lang w:eastAsia="en-US"/>
              </w:rPr>
              <w:t>OmniBUS</w:t>
            </w:r>
            <w:proofErr w:type="spellEnd"/>
            <w:r w:rsidRPr="00147D54">
              <w:rPr>
                <w:rFonts w:eastAsia="Calibri"/>
                <w:lang w:eastAsia="en-US"/>
              </w:rPr>
              <w:t xml:space="preserve"> and Rail Passenger Convention - Exploring possible new legal instruments from 2020</w:t>
            </w:r>
          </w:p>
          <w:p w14:paraId="1B3E65BB" w14:textId="77777777" w:rsidR="0019476C" w:rsidRPr="0019476C" w:rsidDel="00C24980" w:rsidRDefault="0019476C" w:rsidP="00147D54">
            <w:pPr>
              <w:spacing w:before="40" w:after="120"/>
              <w:ind w:right="113"/>
              <w:rPr>
                <w:rFonts w:eastAsia="Calibri"/>
                <w:b/>
                <w:bCs/>
                <w:lang w:eastAsia="en-US"/>
              </w:rPr>
            </w:pPr>
            <w:r w:rsidRPr="0019476C">
              <w:rPr>
                <w:rFonts w:eastAsia="Calibri"/>
                <w:b/>
                <w:bCs/>
                <w:lang w:eastAsia="en-US"/>
              </w:rPr>
              <w:t>Comments:</w:t>
            </w:r>
            <w:r>
              <w:rPr>
                <w:lang w:val="en-US"/>
              </w:rPr>
              <w:t xml:space="preserve"> SC.1 will endeavor to finalize the draft </w:t>
            </w:r>
            <w:proofErr w:type="spellStart"/>
            <w:r w:rsidRPr="005036AA">
              <w:rPr>
                <w:lang w:val="en-US"/>
              </w:rPr>
              <w:t>OmniBUS</w:t>
            </w:r>
            <w:proofErr w:type="spellEnd"/>
            <w:r>
              <w:rPr>
                <w:lang w:val="en-US"/>
              </w:rPr>
              <w:t xml:space="preserve"> </w:t>
            </w:r>
            <w:r w:rsidRPr="005036AA">
              <w:rPr>
                <w:lang w:val="en-US"/>
              </w:rPr>
              <w:t>agreement</w:t>
            </w:r>
            <w:r>
              <w:rPr>
                <w:lang w:val="en-US"/>
              </w:rPr>
              <w:t xml:space="preserve"> at its 115</w:t>
            </w:r>
            <w:r w:rsidRPr="007C7723">
              <w:rPr>
                <w:vertAlign w:val="superscript"/>
                <w:lang w:val="en-US"/>
              </w:rPr>
              <w:t>th</w:t>
            </w:r>
            <w:r>
              <w:rPr>
                <w:lang w:val="en-US"/>
              </w:rPr>
              <w:t xml:space="preserve"> session, or as soon as possible thereafter.</w:t>
            </w:r>
          </w:p>
        </w:tc>
        <w:tc>
          <w:tcPr>
            <w:tcW w:w="1456" w:type="dxa"/>
            <w:shd w:val="clear" w:color="auto" w:fill="auto"/>
          </w:tcPr>
          <w:p w14:paraId="43D180F6" w14:textId="77777777" w:rsidR="00EE6AC2" w:rsidRPr="00147D54" w:rsidRDefault="00EE6AC2" w:rsidP="00147D54">
            <w:pPr>
              <w:spacing w:before="40" w:after="120"/>
              <w:ind w:right="113"/>
              <w:rPr>
                <w:rFonts w:eastAsia="Calibri"/>
                <w:b/>
                <w:bCs/>
                <w:lang w:eastAsia="en-US"/>
              </w:rPr>
            </w:pPr>
            <w:r w:rsidRPr="00147D54">
              <w:rPr>
                <w:rFonts w:eastAsia="Calibri"/>
                <w:b/>
                <w:bCs/>
                <w:lang w:eastAsia="en-US"/>
              </w:rPr>
              <w:t>RB, maybe also XB as necessary</w:t>
            </w:r>
          </w:p>
        </w:tc>
      </w:tr>
      <w:tr w:rsidR="00EE6AC2" w:rsidRPr="00147D54" w:rsidDel="00C24980" w14:paraId="44844C06" w14:textId="77777777" w:rsidTr="00147D54">
        <w:tc>
          <w:tcPr>
            <w:tcW w:w="1389" w:type="dxa"/>
            <w:vMerge/>
            <w:shd w:val="clear" w:color="auto" w:fill="auto"/>
          </w:tcPr>
          <w:p w14:paraId="4AF21F68" w14:textId="77777777" w:rsidR="00EE6AC2" w:rsidRPr="00147D54" w:rsidDel="00C24980" w:rsidRDefault="00EE6AC2" w:rsidP="00147D54">
            <w:pPr>
              <w:spacing w:before="40" w:after="120"/>
              <w:ind w:right="113"/>
              <w:rPr>
                <w:rFonts w:eastAsia="Calibri"/>
                <w:lang w:eastAsia="en-US"/>
              </w:rPr>
            </w:pPr>
          </w:p>
        </w:tc>
        <w:tc>
          <w:tcPr>
            <w:tcW w:w="1769" w:type="dxa"/>
            <w:shd w:val="clear" w:color="auto" w:fill="auto"/>
          </w:tcPr>
          <w:p w14:paraId="45ABA4AF" w14:textId="77777777" w:rsidR="00EE6AC2" w:rsidRPr="00147D54" w:rsidDel="00C24980" w:rsidRDefault="00EE6AC2" w:rsidP="00147D54">
            <w:pPr>
              <w:spacing w:before="40" w:after="120"/>
              <w:ind w:right="113"/>
              <w:rPr>
                <w:rFonts w:eastAsia="Calibri"/>
                <w:lang w:eastAsia="en-US"/>
              </w:rPr>
            </w:pPr>
            <w:bookmarkStart w:id="8" w:name="_Hlk508551743"/>
            <w:r w:rsidRPr="00147D54">
              <w:rPr>
                <w:rFonts w:eastAsia="Calibri"/>
                <w:lang w:eastAsia="en-US"/>
              </w:rPr>
              <w:t>New or adjusted/updated existing capacity building programme, training manuals, guidelines, standards and competency criteria as well as training courses</w:t>
            </w:r>
            <w:bookmarkEnd w:id="8"/>
          </w:p>
        </w:tc>
        <w:tc>
          <w:tcPr>
            <w:tcW w:w="2756" w:type="dxa"/>
            <w:shd w:val="clear" w:color="auto" w:fill="auto"/>
          </w:tcPr>
          <w:p w14:paraId="64D9A77C" w14:textId="77777777" w:rsidR="00EE6AC2" w:rsidRPr="00147D54" w:rsidRDefault="00EE6AC2" w:rsidP="00147D54">
            <w:pPr>
              <w:spacing w:before="40" w:after="120"/>
              <w:ind w:right="113"/>
              <w:rPr>
                <w:rFonts w:eastAsia="Calibri"/>
                <w:lang w:eastAsia="en-US"/>
              </w:rPr>
            </w:pPr>
            <w:r w:rsidRPr="00147D54">
              <w:rPr>
                <w:rFonts w:eastAsia="Calibri"/>
                <w:lang w:eastAsia="en-US"/>
              </w:rPr>
              <w:t>- Comprehensive Plan on capacity building by 2020</w:t>
            </w:r>
          </w:p>
          <w:p w14:paraId="0CFB3F0E" w14:textId="77777777" w:rsidR="00EE6AC2" w:rsidRPr="00147D54" w:rsidRDefault="00EE6AC2" w:rsidP="00147D54">
            <w:pPr>
              <w:spacing w:before="40" w:after="120"/>
              <w:ind w:right="113"/>
              <w:rPr>
                <w:rFonts w:eastAsia="Calibri"/>
                <w:lang w:eastAsia="en-US"/>
              </w:rPr>
            </w:pPr>
            <w:r w:rsidRPr="00147D54">
              <w:rPr>
                <w:rFonts w:eastAsia="Calibri"/>
                <w:lang w:eastAsia="en-US"/>
              </w:rPr>
              <w:t>- adjustment/updating of existing training materials from 2020</w:t>
            </w:r>
          </w:p>
          <w:p w14:paraId="1DAEAAFE" w14:textId="77777777" w:rsidR="00EE6AC2" w:rsidRPr="00147D54" w:rsidRDefault="00EE6AC2" w:rsidP="00147D54">
            <w:pPr>
              <w:spacing w:before="40" w:after="120"/>
              <w:ind w:right="113"/>
              <w:rPr>
                <w:rFonts w:eastAsia="Calibri"/>
                <w:lang w:eastAsia="en-US"/>
              </w:rPr>
            </w:pPr>
            <w:r w:rsidRPr="00147D54">
              <w:rPr>
                <w:rFonts w:eastAsia="Calibri"/>
                <w:lang w:eastAsia="en-US"/>
              </w:rPr>
              <w:t>- new training materials, standards and competency criteria from 2022</w:t>
            </w:r>
          </w:p>
          <w:p w14:paraId="50E2A0DF" w14:textId="77777777" w:rsidR="00EE6AC2" w:rsidRDefault="00EE6AC2" w:rsidP="00147D54">
            <w:pPr>
              <w:spacing w:before="40" w:after="120"/>
              <w:ind w:right="113"/>
              <w:rPr>
                <w:rFonts w:eastAsia="Calibri"/>
                <w:lang w:eastAsia="en-US"/>
              </w:rPr>
            </w:pPr>
            <w:r w:rsidRPr="00147D54">
              <w:rPr>
                <w:rFonts w:eastAsia="Calibri"/>
                <w:lang w:eastAsia="en-US"/>
              </w:rPr>
              <w:t>- training courses from 2019</w:t>
            </w:r>
          </w:p>
          <w:p w14:paraId="2142799C" w14:textId="77777777" w:rsidR="0019476C" w:rsidRPr="0019476C" w:rsidDel="00C24980" w:rsidRDefault="0019476C" w:rsidP="00147D54">
            <w:pPr>
              <w:spacing w:before="40" w:after="120"/>
              <w:ind w:right="113"/>
              <w:rPr>
                <w:rFonts w:eastAsia="Calibri"/>
                <w:b/>
                <w:bCs/>
                <w:lang w:eastAsia="en-US"/>
              </w:rPr>
            </w:pPr>
            <w:r w:rsidRPr="0019476C">
              <w:rPr>
                <w:rFonts w:eastAsia="Calibri"/>
                <w:b/>
                <w:bCs/>
                <w:lang w:eastAsia="en-US"/>
              </w:rPr>
              <w:t>Comments:</w:t>
            </w:r>
            <w:r w:rsidR="0059194F" w:rsidRPr="00870964">
              <w:rPr>
                <w:lang w:val="en-US"/>
              </w:rPr>
              <w:t xml:space="preserve"> SC.1 took note </w:t>
            </w:r>
            <w:r w:rsidR="0059194F">
              <w:rPr>
                <w:lang w:val="en-US"/>
              </w:rPr>
              <w:t xml:space="preserve">of </w:t>
            </w:r>
            <w:r w:rsidR="001119C0">
              <w:rPr>
                <w:lang w:val="en-US"/>
              </w:rPr>
              <w:t>the above</w:t>
            </w:r>
            <w:r w:rsidR="0059194F">
              <w:rPr>
                <w:lang w:val="en-US"/>
              </w:rPr>
              <w:t xml:space="preserve"> </w:t>
            </w:r>
            <w:r w:rsidR="0059194F" w:rsidRPr="00870964">
              <w:rPr>
                <w:lang w:val="en-US"/>
              </w:rPr>
              <w:t>and will support as appropriate</w:t>
            </w:r>
            <w:r w:rsidR="00A855F9">
              <w:rPr>
                <w:lang w:val="en-US"/>
              </w:rPr>
              <w:t>.</w:t>
            </w:r>
          </w:p>
        </w:tc>
        <w:tc>
          <w:tcPr>
            <w:tcW w:w="1456" w:type="dxa"/>
            <w:shd w:val="clear" w:color="auto" w:fill="auto"/>
          </w:tcPr>
          <w:p w14:paraId="0E400D0C" w14:textId="77777777" w:rsidR="00EE6AC2" w:rsidRPr="00147D54" w:rsidRDefault="00EE6AC2" w:rsidP="00147D54">
            <w:pPr>
              <w:spacing w:before="40" w:after="120"/>
              <w:ind w:right="113"/>
              <w:rPr>
                <w:rFonts w:eastAsia="Calibri"/>
                <w:b/>
                <w:bCs/>
                <w:lang w:eastAsia="en-US"/>
              </w:rPr>
            </w:pPr>
            <w:r w:rsidRPr="00147D54">
              <w:rPr>
                <w:rFonts w:eastAsia="Calibri"/>
                <w:b/>
                <w:bCs/>
                <w:lang w:eastAsia="en-US"/>
              </w:rPr>
              <w:t>RB to support incorporation of training standards and competencies in legal instruments if necessary</w:t>
            </w:r>
          </w:p>
          <w:p w14:paraId="4A4141C0" w14:textId="77777777" w:rsidR="00EE6AC2" w:rsidRPr="00147D54" w:rsidRDefault="00EE6AC2" w:rsidP="00147D54">
            <w:pPr>
              <w:spacing w:before="40" w:after="120"/>
              <w:ind w:right="113"/>
              <w:rPr>
                <w:rFonts w:eastAsia="Calibri"/>
                <w:lang w:eastAsia="en-US"/>
              </w:rPr>
            </w:pPr>
            <w:r w:rsidRPr="00147D54">
              <w:rPr>
                <w:rFonts w:eastAsia="Calibri"/>
                <w:b/>
                <w:bCs/>
                <w:lang w:eastAsia="en-US"/>
              </w:rPr>
              <w:t>XB for training materials and courses through partnerships with training institutions</w:t>
            </w:r>
          </w:p>
        </w:tc>
      </w:tr>
      <w:tr w:rsidR="00EE6AC2" w:rsidRPr="00147D54" w:rsidDel="00C24980" w14:paraId="271D42D0" w14:textId="77777777" w:rsidTr="00147D54">
        <w:tc>
          <w:tcPr>
            <w:tcW w:w="1389" w:type="dxa"/>
            <w:vMerge/>
            <w:shd w:val="clear" w:color="auto" w:fill="auto"/>
          </w:tcPr>
          <w:p w14:paraId="226563E3" w14:textId="77777777" w:rsidR="00EE6AC2" w:rsidRPr="00147D54" w:rsidDel="00C24980" w:rsidRDefault="00EE6AC2" w:rsidP="00147D54">
            <w:pPr>
              <w:spacing w:before="40" w:after="120"/>
              <w:ind w:right="113"/>
              <w:rPr>
                <w:rFonts w:eastAsia="Calibri"/>
                <w:lang w:eastAsia="en-US"/>
              </w:rPr>
            </w:pPr>
          </w:p>
        </w:tc>
        <w:tc>
          <w:tcPr>
            <w:tcW w:w="1769" w:type="dxa"/>
            <w:shd w:val="clear" w:color="auto" w:fill="auto"/>
          </w:tcPr>
          <w:p w14:paraId="26B5CFE9"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Development of indicators</w:t>
            </w:r>
          </w:p>
        </w:tc>
        <w:tc>
          <w:tcPr>
            <w:tcW w:w="2756" w:type="dxa"/>
            <w:shd w:val="clear" w:color="auto" w:fill="auto"/>
          </w:tcPr>
          <w:p w14:paraId="27F5EC52" w14:textId="77777777" w:rsidR="00EE6AC2" w:rsidRDefault="00EE6AC2" w:rsidP="00147D54">
            <w:pPr>
              <w:spacing w:before="40" w:after="120"/>
              <w:ind w:right="113"/>
              <w:rPr>
                <w:rFonts w:eastAsia="Calibri"/>
                <w:lang w:eastAsia="en-US"/>
              </w:rPr>
            </w:pPr>
            <w:r w:rsidRPr="00147D54">
              <w:rPr>
                <w:rFonts w:eastAsia="Calibri"/>
                <w:lang w:eastAsia="en-US"/>
              </w:rPr>
              <w:t>From 2019</w:t>
            </w:r>
          </w:p>
          <w:p w14:paraId="2077D4FE" w14:textId="77777777" w:rsidR="001643E5" w:rsidRPr="00147D54" w:rsidDel="00C24980" w:rsidRDefault="001643E5" w:rsidP="00147D54">
            <w:pPr>
              <w:spacing w:before="40" w:after="120"/>
              <w:ind w:right="113"/>
              <w:rPr>
                <w:rFonts w:eastAsia="Calibri"/>
                <w:lang w:eastAsia="en-US"/>
              </w:rPr>
            </w:pPr>
            <w:r w:rsidRPr="001643E5">
              <w:rPr>
                <w:rFonts w:eastAsia="Calibri"/>
                <w:b/>
                <w:bCs/>
                <w:lang w:eastAsia="en-US"/>
              </w:rPr>
              <w:t>Comments:</w:t>
            </w:r>
            <w:r w:rsidRPr="00870964">
              <w:rPr>
                <w:lang w:val="en-US"/>
              </w:rPr>
              <w:t xml:space="preserve"> SC.1 took note </w:t>
            </w:r>
            <w:r>
              <w:rPr>
                <w:lang w:val="en-US"/>
              </w:rPr>
              <w:t xml:space="preserve">of this </w:t>
            </w:r>
            <w:r w:rsidRPr="00870964">
              <w:rPr>
                <w:lang w:val="en-US"/>
              </w:rPr>
              <w:t>and will support as appropriate</w:t>
            </w:r>
            <w:r w:rsidR="00A855F9">
              <w:rPr>
                <w:lang w:val="en-US"/>
              </w:rPr>
              <w:t>.</w:t>
            </w:r>
          </w:p>
        </w:tc>
        <w:tc>
          <w:tcPr>
            <w:tcW w:w="1456" w:type="dxa"/>
            <w:shd w:val="clear" w:color="auto" w:fill="auto"/>
          </w:tcPr>
          <w:p w14:paraId="3032C787" w14:textId="77777777" w:rsidR="00EE6AC2" w:rsidRPr="00147D54" w:rsidRDefault="00EE6AC2" w:rsidP="00147D54">
            <w:pPr>
              <w:spacing w:before="40" w:after="120"/>
              <w:ind w:right="113"/>
              <w:rPr>
                <w:rFonts w:eastAsia="Calibri"/>
                <w:lang w:eastAsia="en-US"/>
              </w:rPr>
            </w:pPr>
            <w:r w:rsidRPr="00147D54">
              <w:rPr>
                <w:rFonts w:eastAsia="Calibri"/>
                <w:b/>
                <w:bCs/>
                <w:lang w:eastAsia="en-US"/>
              </w:rPr>
              <w:t>Non ECE-RB (e.g. UNDA) or XB</w:t>
            </w:r>
          </w:p>
        </w:tc>
      </w:tr>
      <w:tr w:rsidR="00EE6AC2" w:rsidRPr="00147D54" w:rsidDel="00C24980" w14:paraId="2C451C58" w14:textId="77777777" w:rsidTr="00147D54">
        <w:tc>
          <w:tcPr>
            <w:tcW w:w="5914" w:type="dxa"/>
            <w:gridSpan w:val="3"/>
            <w:shd w:val="clear" w:color="auto" w:fill="auto"/>
          </w:tcPr>
          <w:p w14:paraId="2898E4F4" w14:textId="77777777" w:rsidR="00EE6AC2" w:rsidRPr="00147D54" w:rsidDel="00C24980" w:rsidRDefault="00EE6AC2" w:rsidP="00147D54">
            <w:pPr>
              <w:spacing w:before="40" w:after="120"/>
              <w:ind w:right="113"/>
              <w:rPr>
                <w:rFonts w:eastAsia="Calibri"/>
                <w:lang w:eastAsia="en-US"/>
              </w:rPr>
            </w:pPr>
          </w:p>
        </w:tc>
        <w:tc>
          <w:tcPr>
            <w:tcW w:w="1456" w:type="dxa"/>
            <w:shd w:val="clear" w:color="auto" w:fill="auto"/>
          </w:tcPr>
          <w:p w14:paraId="0C9431BF" w14:textId="77777777" w:rsidR="00EE6AC2" w:rsidRPr="00147D54" w:rsidDel="00C24980" w:rsidRDefault="00EE6AC2" w:rsidP="00147D54">
            <w:pPr>
              <w:spacing w:before="40" w:after="120"/>
              <w:ind w:right="113"/>
              <w:rPr>
                <w:rFonts w:eastAsia="Calibri"/>
                <w:lang w:eastAsia="en-US"/>
              </w:rPr>
            </w:pPr>
          </w:p>
        </w:tc>
      </w:tr>
      <w:tr w:rsidR="00EE6AC2" w:rsidRPr="00147D54" w:rsidDel="00C24980" w14:paraId="0E39EC1A" w14:textId="77777777" w:rsidTr="00147D54">
        <w:tc>
          <w:tcPr>
            <w:tcW w:w="1389" w:type="dxa"/>
            <w:vMerge w:val="restart"/>
            <w:shd w:val="clear" w:color="auto" w:fill="auto"/>
          </w:tcPr>
          <w:p w14:paraId="725D1908" w14:textId="77777777" w:rsidR="00EE6AC2" w:rsidRPr="00147D54" w:rsidRDefault="00EE6AC2" w:rsidP="00147D54">
            <w:pPr>
              <w:spacing w:before="40" w:after="120"/>
              <w:ind w:right="113"/>
              <w:rPr>
                <w:rFonts w:eastAsia="Calibri"/>
                <w:lang w:eastAsia="en-US"/>
              </w:rPr>
            </w:pPr>
            <w:r w:rsidRPr="00147D54">
              <w:rPr>
                <w:rFonts w:eastAsia="Calibri"/>
                <w:lang w:eastAsia="en-US"/>
              </w:rPr>
              <w:t>The UN Platform for supporting new technologies and innovations in inland transport</w:t>
            </w:r>
          </w:p>
          <w:p w14:paraId="78964987" w14:textId="77777777" w:rsidR="00EE6AC2" w:rsidRPr="00147D54" w:rsidRDefault="00EE6AC2" w:rsidP="00147D54">
            <w:pPr>
              <w:spacing w:before="40" w:after="120"/>
              <w:ind w:right="113"/>
              <w:rPr>
                <w:rFonts w:eastAsia="Calibri"/>
                <w:lang w:eastAsia="en-US"/>
              </w:rPr>
            </w:pPr>
          </w:p>
          <w:p w14:paraId="388FC98A"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RELEVANT SDGs: SDG</w:t>
            </w:r>
            <w:r w:rsidRPr="00147D54">
              <w:rPr>
                <w:lang w:eastAsia="en-US"/>
              </w:rPr>
              <w:t xml:space="preserve"> </w:t>
            </w:r>
            <w:r w:rsidRPr="00147D54">
              <w:rPr>
                <w:rFonts w:eastAsia="Calibri"/>
                <w:lang w:eastAsia="en-US"/>
              </w:rPr>
              <w:t>3, SDG 6, SDG 7, SDG 8, SDG 9, SDG 11, SDG 12, SDG 13</w:t>
            </w:r>
          </w:p>
        </w:tc>
        <w:tc>
          <w:tcPr>
            <w:tcW w:w="1769" w:type="dxa"/>
            <w:shd w:val="clear" w:color="auto" w:fill="auto"/>
          </w:tcPr>
          <w:p w14:paraId="7F337298"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Regional and global platforms for digitalization, automated driving and intelligent transport systems</w:t>
            </w:r>
          </w:p>
        </w:tc>
        <w:tc>
          <w:tcPr>
            <w:tcW w:w="2756" w:type="dxa"/>
            <w:shd w:val="clear" w:color="auto" w:fill="auto"/>
          </w:tcPr>
          <w:p w14:paraId="73C02BA6" w14:textId="77777777" w:rsidR="00EE6AC2" w:rsidRDefault="00EE6AC2" w:rsidP="00147D54">
            <w:pPr>
              <w:spacing w:before="40" w:after="120"/>
              <w:ind w:right="113"/>
              <w:rPr>
                <w:rFonts w:eastAsia="Calibri"/>
                <w:lang w:eastAsia="en-US"/>
              </w:rPr>
            </w:pPr>
            <w:r w:rsidRPr="00147D54">
              <w:rPr>
                <w:rFonts w:eastAsia="Calibri"/>
                <w:lang w:eastAsia="en-US"/>
              </w:rPr>
              <w:t xml:space="preserve">- Further expand global participation in, and cooperation between, WP.1 and WP.29 </w:t>
            </w:r>
          </w:p>
          <w:p w14:paraId="2E577804" w14:textId="77777777" w:rsidR="001119C0" w:rsidRPr="00147D54" w:rsidRDefault="001119C0" w:rsidP="001119C0">
            <w:pPr>
              <w:spacing w:before="40" w:after="120"/>
              <w:ind w:right="113"/>
              <w:rPr>
                <w:rFonts w:eastAsia="Calibri"/>
                <w:lang w:eastAsia="en-US"/>
              </w:rPr>
            </w:pPr>
            <w:r w:rsidRPr="001119C0">
              <w:rPr>
                <w:rFonts w:eastAsia="Calibri"/>
                <w:b/>
                <w:bCs/>
                <w:lang w:eastAsia="en-US"/>
              </w:rPr>
              <w:t>Comments:</w:t>
            </w:r>
            <w:r>
              <w:rPr>
                <w:rFonts w:eastAsia="Calibri"/>
                <w:lang w:eastAsia="en-US"/>
              </w:rPr>
              <w:t xml:space="preserve"> Not applicable to SC.1.</w:t>
            </w:r>
          </w:p>
          <w:p w14:paraId="6CA3FCE7" w14:textId="77777777" w:rsidR="00EE6AC2" w:rsidRDefault="00EE6AC2" w:rsidP="00147D54">
            <w:pPr>
              <w:spacing w:before="40" w:after="120"/>
              <w:ind w:right="113"/>
              <w:rPr>
                <w:rFonts w:eastAsia="Calibri"/>
                <w:lang w:eastAsia="en-US"/>
              </w:rPr>
            </w:pPr>
            <w:r w:rsidRPr="00147D54">
              <w:rPr>
                <w:rFonts w:eastAsia="Calibri"/>
                <w:lang w:eastAsia="en-US"/>
              </w:rPr>
              <w:t>- Update DETA and host it at ECE from 2022 onwards</w:t>
            </w:r>
          </w:p>
          <w:p w14:paraId="6A2A26BF" w14:textId="77777777" w:rsidR="001643E5" w:rsidRPr="00147D54" w:rsidRDefault="001643E5" w:rsidP="00147D54">
            <w:pPr>
              <w:spacing w:before="40" w:after="120"/>
              <w:ind w:right="113"/>
              <w:rPr>
                <w:rFonts w:eastAsia="Calibri"/>
                <w:lang w:eastAsia="en-US"/>
              </w:rPr>
            </w:pPr>
            <w:r w:rsidRPr="001643E5">
              <w:rPr>
                <w:rFonts w:eastAsia="Calibri"/>
                <w:b/>
                <w:bCs/>
                <w:lang w:eastAsia="en-US"/>
              </w:rPr>
              <w:t>Comments:</w:t>
            </w:r>
            <w:r>
              <w:rPr>
                <w:rFonts w:eastAsia="Calibri"/>
                <w:lang w:eastAsia="en-US"/>
              </w:rPr>
              <w:t xml:space="preserve"> Not applicable to SC.1</w:t>
            </w:r>
            <w:r w:rsidR="00A855F9">
              <w:rPr>
                <w:rFonts w:eastAsia="Calibri"/>
                <w:lang w:eastAsia="en-US"/>
              </w:rPr>
              <w:t>.</w:t>
            </w:r>
          </w:p>
          <w:p w14:paraId="6E1D5EE7" w14:textId="77777777" w:rsidR="00EE6AC2" w:rsidRDefault="00EE6AC2" w:rsidP="00147D54">
            <w:pPr>
              <w:spacing w:before="40" w:after="120"/>
              <w:ind w:right="113"/>
              <w:rPr>
                <w:rFonts w:eastAsia="Calibri"/>
                <w:lang w:eastAsia="en-US"/>
              </w:rPr>
            </w:pPr>
            <w:r w:rsidRPr="00147D54">
              <w:rPr>
                <w:rFonts w:eastAsia="Calibri"/>
                <w:lang w:eastAsia="en-US"/>
              </w:rPr>
              <w:t>- Promote the accession and operationalization of the e-CMR within the ECE region and beyond from 2019</w:t>
            </w:r>
          </w:p>
          <w:p w14:paraId="77CEA4DF" w14:textId="77777777" w:rsidR="001643E5" w:rsidRPr="001643E5" w:rsidRDefault="001643E5" w:rsidP="00147D54">
            <w:pPr>
              <w:spacing w:before="40" w:after="120"/>
              <w:ind w:right="113"/>
              <w:rPr>
                <w:rFonts w:eastAsia="Calibri"/>
                <w:b/>
                <w:bCs/>
                <w:lang w:eastAsia="en-US"/>
              </w:rPr>
            </w:pPr>
            <w:r w:rsidRPr="001643E5">
              <w:rPr>
                <w:rFonts w:eastAsia="Calibri"/>
                <w:b/>
                <w:bCs/>
                <w:lang w:eastAsia="en-US"/>
              </w:rPr>
              <w:t>Comments:</w:t>
            </w:r>
            <w:r w:rsidRPr="00037D3B">
              <w:rPr>
                <w:lang w:val="en-US"/>
              </w:rPr>
              <w:t xml:space="preserve"> SC</w:t>
            </w:r>
            <w:r>
              <w:rPr>
                <w:lang w:val="en-US"/>
              </w:rPr>
              <w:t>.</w:t>
            </w:r>
            <w:r w:rsidRPr="00037D3B">
              <w:rPr>
                <w:lang w:val="en-US"/>
              </w:rPr>
              <w:t xml:space="preserve">1 agreed that this is </w:t>
            </w:r>
            <w:r>
              <w:rPr>
                <w:lang w:val="en-US"/>
              </w:rPr>
              <w:t xml:space="preserve">part of its </w:t>
            </w:r>
            <w:r w:rsidRPr="00037D3B">
              <w:rPr>
                <w:lang w:val="en-US"/>
              </w:rPr>
              <w:t>ongoing work.</w:t>
            </w:r>
          </w:p>
          <w:p w14:paraId="4D980103" w14:textId="77777777" w:rsidR="00EE6AC2" w:rsidRDefault="00EE6AC2" w:rsidP="00147D54">
            <w:pPr>
              <w:spacing w:before="40" w:after="120"/>
              <w:ind w:right="113"/>
              <w:rPr>
                <w:rFonts w:eastAsia="Calibri"/>
                <w:lang w:eastAsia="en-US"/>
              </w:rPr>
            </w:pPr>
            <w:r w:rsidRPr="00147D54">
              <w:rPr>
                <w:rFonts w:eastAsia="Calibri"/>
                <w:lang w:eastAsia="en-US"/>
              </w:rPr>
              <w:t xml:space="preserve">- Gradually develop e-TIR leading to the possible full </w:t>
            </w:r>
            <w:r w:rsidRPr="00147D54">
              <w:rPr>
                <w:rFonts w:eastAsia="Calibri"/>
                <w:lang w:eastAsia="en-US"/>
              </w:rPr>
              <w:lastRenderedPageBreak/>
              <w:t>implementation of the e-TIR system by 2023, subject to the entry into force of new Annex 11 to the TIR Convention</w:t>
            </w:r>
          </w:p>
          <w:p w14:paraId="5B6BAF9F" w14:textId="77777777" w:rsidR="00160617" w:rsidRPr="00147D54" w:rsidRDefault="00160617" w:rsidP="00147D54">
            <w:pPr>
              <w:spacing w:before="40" w:after="120"/>
              <w:ind w:right="113"/>
              <w:rPr>
                <w:rFonts w:eastAsia="Calibri"/>
                <w:lang w:eastAsia="en-US"/>
              </w:rPr>
            </w:pPr>
            <w:r w:rsidRPr="00160617">
              <w:rPr>
                <w:rFonts w:eastAsia="Calibri"/>
                <w:b/>
                <w:bCs/>
                <w:lang w:eastAsia="en-US"/>
              </w:rPr>
              <w:t>Comments</w:t>
            </w:r>
            <w:r w:rsidRPr="00160617">
              <w:rPr>
                <w:rFonts w:eastAsia="Calibri"/>
                <w:lang w:eastAsia="en-US"/>
              </w:rPr>
              <w:t>:</w:t>
            </w:r>
            <w:r>
              <w:rPr>
                <w:rFonts w:eastAsia="Calibri"/>
                <w:lang w:eastAsia="en-US"/>
              </w:rPr>
              <w:t xml:space="preserve"> Not applicable for SC.1</w:t>
            </w:r>
            <w:r w:rsidR="00A855F9">
              <w:rPr>
                <w:rFonts w:eastAsia="Calibri"/>
                <w:lang w:eastAsia="en-US"/>
              </w:rPr>
              <w:t>.</w:t>
            </w:r>
          </w:p>
          <w:p w14:paraId="4D3D574E" w14:textId="77777777" w:rsidR="00EE6AC2" w:rsidRPr="00147D54" w:rsidRDefault="00EE6AC2" w:rsidP="00147D54">
            <w:pPr>
              <w:spacing w:before="40" w:after="120"/>
              <w:ind w:right="113"/>
              <w:rPr>
                <w:rFonts w:eastAsia="Calibri"/>
                <w:lang w:eastAsia="en-US"/>
              </w:rPr>
            </w:pPr>
            <w:r w:rsidRPr="00147D54">
              <w:rPr>
                <w:rFonts w:eastAsia="Calibri"/>
                <w:lang w:eastAsia="en-US"/>
              </w:rPr>
              <w:t>- Identify, foster and facilitate the introduction of new technologies in the rail, road, road-based mobility, inland waterway, logistics, intermodal transport until 2030</w:t>
            </w:r>
          </w:p>
          <w:p w14:paraId="454B1E6E" w14:textId="77777777" w:rsidR="00EE6AC2" w:rsidRPr="00147D54" w:rsidDel="00C24980" w:rsidRDefault="00160617" w:rsidP="00147D54">
            <w:pPr>
              <w:spacing w:before="40" w:after="120"/>
              <w:ind w:right="113"/>
              <w:rPr>
                <w:rFonts w:eastAsia="Calibri"/>
                <w:lang w:eastAsia="en-US"/>
              </w:rPr>
            </w:pPr>
            <w:r w:rsidRPr="00160617">
              <w:rPr>
                <w:rFonts w:eastAsia="Calibri"/>
                <w:b/>
                <w:bCs/>
                <w:lang w:eastAsia="en-US"/>
              </w:rPr>
              <w:t>Comments:</w:t>
            </w:r>
            <w:r>
              <w:rPr>
                <w:rFonts w:eastAsia="Calibri"/>
                <w:lang w:eastAsia="en-US"/>
              </w:rPr>
              <w:t xml:space="preserve"> </w:t>
            </w:r>
            <w:r>
              <w:rPr>
                <w:lang w:val="en-US"/>
              </w:rPr>
              <w:t>SC.1 agreed that it has an ongoing role in identifying and facilitating new technologies in road transport. At each session of SC.1, members are encouraged to volunteer to share or present on the digitalization of road systems or infrastructure.</w:t>
            </w:r>
          </w:p>
        </w:tc>
        <w:tc>
          <w:tcPr>
            <w:tcW w:w="1456" w:type="dxa"/>
            <w:shd w:val="clear" w:color="auto" w:fill="auto"/>
          </w:tcPr>
          <w:p w14:paraId="6DDB4CA8" w14:textId="77777777" w:rsidR="00EE6AC2" w:rsidRPr="00147D54" w:rsidRDefault="00EE6AC2" w:rsidP="00147D54">
            <w:pPr>
              <w:spacing w:before="40" w:after="120"/>
              <w:ind w:right="113"/>
              <w:rPr>
                <w:rFonts w:eastAsia="Calibri"/>
                <w:b/>
                <w:bCs/>
                <w:lang w:eastAsia="en-US"/>
              </w:rPr>
            </w:pPr>
            <w:r w:rsidRPr="00147D54">
              <w:rPr>
                <w:rFonts w:eastAsia="Calibri"/>
                <w:b/>
                <w:bCs/>
                <w:lang w:eastAsia="en-US"/>
              </w:rPr>
              <w:lastRenderedPageBreak/>
              <w:t xml:space="preserve">RB for regular staff, meeting facilities and services and DETA </w:t>
            </w:r>
          </w:p>
          <w:p w14:paraId="1118BC0D" w14:textId="77777777" w:rsidR="00EE6AC2" w:rsidRPr="00147D54" w:rsidRDefault="00EE6AC2" w:rsidP="00147D54">
            <w:pPr>
              <w:spacing w:before="40" w:after="120"/>
              <w:ind w:right="113"/>
              <w:rPr>
                <w:rFonts w:eastAsia="Calibri"/>
                <w:b/>
                <w:bCs/>
                <w:lang w:eastAsia="en-US"/>
              </w:rPr>
            </w:pPr>
          </w:p>
          <w:p w14:paraId="7CF2EB4D" w14:textId="77777777" w:rsidR="00EE6AC2" w:rsidRPr="00147D54" w:rsidRDefault="00EE6AC2" w:rsidP="00147D54">
            <w:pPr>
              <w:spacing w:before="40" w:after="120"/>
              <w:ind w:right="113"/>
              <w:rPr>
                <w:rFonts w:eastAsia="Calibri"/>
                <w:lang w:eastAsia="en-US"/>
              </w:rPr>
            </w:pPr>
            <w:r w:rsidRPr="00147D54">
              <w:rPr>
                <w:rFonts w:eastAsia="Calibri"/>
                <w:b/>
                <w:bCs/>
                <w:lang w:eastAsia="en-US"/>
              </w:rPr>
              <w:t>XB for the rest</w:t>
            </w:r>
          </w:p>
        </w:tc>
      </w:tr>
      <w:tr w:rsidR="00EE6AC2" w:rsidRPr="00147D54" w:rsidDel="00C24980" w14:paraId="6E462979" w14:textId="77777777" w:rsidTr="00147D54">
        <w:tc>
          <w:tcPr>
            <w:tcW w:w="1389" w:type="dxa"/>
            <w:vMerge/>
            <w:shd w:val="clear" w:color="auto" w:fill="auto"/>
          </w:tcPr>
          <w:p w14:paraId="5F235020" w14:textId="77777777" w:rsidR="00EE6AC2" w:rsidRPr="00147D54" w:rsidDel="00C24980" w:rsidRDefault="00EE6AC2" w:rsidP="00147D54">
            <w:pPr>
              <w:spacing w:before="40" w:after="120"/>
              <w:ind w:right="113"/>
              <w:rPr>
                <w:rFonts w:eastAsia="Calibri"/>
                <w:lang w:eastAsia="en-US"/>
              </w:rPr>
            </w:pPr>
          </w:p>
        </w:tc>
        <w:tc>
          <w:tcPr>
            <w:tcW w:w="1769" w:type="dxa"/>
            <w:shd w:val="clear" w:color="auto" w:fill="auto"/>
          </w:tcPr>
          <w:p w14:paraId="68C5BBAE"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Regulatory environment to promote automated vehicles, as well as low-carbon and low-emissions vehicles</w:t>
            </w:r>
          </w:p>
        </w:tc>
        <w:tc>
          <w:tcPr>
            <w:tcW w:w="2756" w:type="dxa"/>
            <w:shd w:val="clear" w:color="auto" w:fill="auto"/>
          </w:tcPr>
          <w:p w14:paraId="04BDFD2C" w14:textId="77777777" w:rsidR="00EE6AC2" w:rsidRDefault="00EE6AC2" w:rsidP="00147D54">
            <w:pPr>
              <w:spacing w:before="40" w:after="120"/>
              <w:ind w:right="113"/>
              <w:rPr>
                <w:rFonts w:eastAsia="Calibri"/>
                <w:lang w:eastAsia="en-US"/>
              </w:rPr>
            </w:pPr>
            <w:r w:rsidRPr="00147D54">
              <w:rPr>
                <w:rFonts w:eastAsia="Calibri"/>
                <w:lang w:eastAsia="en-US"/>
              </w:rPr>
              <w:t>- Enhance support to automated vehicles from 2019, including continuation of amendments to the existing legal instruments and standards, and possible development of new agreement(s), both if necessary</w:t>
            </w:r>
          </w:p>
          <w:p w14:paraId="07A6373C" w14:textId="77777777" w:rsidR="00160617" w:rsidRPr="00147D54" w:rsidDel="00C24980" w:rsidRDefault="00160617" w:rsidP="00147D54">
            <w:pPr>
              <w:spacing w:before="40" w:after="120"/>
              <w:ind w:right="113"/>
              <w:rPr>
                <w:rFonts w:eastAsia="Calibri"/>
                <w:lang w:eastAsia="en-US"/>
              </w:rPr>
            </w:pPr>
            <w:r w:rsidRPr="00160617">
              <w:rPr>
                <w:rFonts w:eastAsia="Calibri"/>
                <w:b/>
                <w:bCs/>
                <w:lang w:eastAsia="en-US"/>
              </w:rPr>
              <w:t>Comments:</w:t>
            </w:r>
            <w:r w:rsidRPr="00037D3B">
              <w:rPr>
                <w:lang w:val="en-US"/>
              </w:rPr>
              <w:t xml:space="preserve"> SC</w:t>
            </w:r>
            <w:r>
              <w:rPr>
                <w:lang w:val="en-US"/>
              </w:rPr>
              <w:t>.</w:t>
            </w:r>
            <w:r w:rsidRPr="00037D3B">
              <w:rPr>
                <w:lang w:val="en-US"/>
              </w:rPr>
              <w:t xml:space="preserve">1 agreed that this is </w:t>
            </w:r>
            <w:r>
              <w:rPr>
                <w:lang w:val="en-US"/>
              </w:rPr>
              <w:t xml:space="preserve">part of its </w:t>
            </w:r>
            <w:r w:rsidRPr="00037D3B">
              <w:rPr>
                <w:lang w:val="en-US"/>
              </w:rPr>
              <w:t>ongoing work</w:t>
            </w:r>
            <w:r w:rsidR="00A855F9">
              <w:rPr>
                <w:lang w:val="en-US"/>
              </w:rPr>
              <w:t>.</w:t>
            </w:r>
          </w:p>
        </w:tc>
        <w:tc>
          <w:tcPr>
            <w:tcW w:w="1456" w:type="dxa"/>
            <w:shd w:val="clear" w:color="auto" w:fill="auto"/>
          </w:tcPr>
          <w:p w14:paraId="0EA1BFC2" w14:textId="77777777" w:rsidR="00EE6AC2" w:rsidRPr="00147D54" w:rsidRDefault="00EE6AC2" w:rsidP="00147D54">
            <w:pPr>
              <w:spacing w:before="40" w:after="120"/>
              <w:ind w:right="113"/>
              <w:rPr>
                <w:rFonts w:eastAsia="Calibri"/>
                <w:lang w:eastAsia="en-US"/>
              </w:rPr>
            </w:pPr>
            <w:r w:rsidRPr="00147D54">
              <w:rPr>
                <w:rFonts w:eastAsia="Calibri"/>
                <w:b/>
                <w:bCs/>
                <w:lang w:eastAsia="en-US"/>
              </w:rPr>
              <w:t>RB</w:t>
            </w:r>
          </w:p>
        </w:tc>
      </w:tr>
      <w:tr w:rsidR="00EE6AC2" w:rsidRPr="00147D54" w:rsidDel="00C24980" w14:paraId="15BFB9A9" w14:textId="77777777" w:rsidTr="00147D54">
        <w:tc>
          <w:tcPr>
            <w:tcW w:w="5914" w:type="dxa"/>
            <w:gridSpan w:val="3"/>
            <w:shd w:val="clear" w:color="auto" w:fill="auto"/>
          </w:tcPr>
          <w:p w14:paraId="14B20969" w14:textId="77777777" w:rsidR="00EE6AC2" w:rsidRPr="00147D54" w:rsidDel="00C24980" w:rsidRDefault="00EE6AC2" w:rsidP="00147D54">
            <w:pPr>
              <w:spacing w:before="40" w:after="120"/>
              <w:ind w:right="113"/>
              <w:rPr>
                <w:rFonts w:eastAsia="Calibri"/>
                <w:lang w:eastAsia="en-US"/>
              </w:rPr>
            </w:pPr>
          </w:p>
        </w:tc>
        <w:tc>
          <w:tcPr>
            <w:tcW w:w="1456" w:type="dxa"/>
            <w:shd w:val="clear" w:color="auto" w:fill="auto"/>
          </w:tcPr>
          <w:p w14:paraId="0D1FBDC4" w14:textId="77777777" w:rsidR="00EE6AC2" w:rsidRPr="00147D54" w:rsidDel="00C24980" w:rsidRDefault="00EE6AC2" w:rsidP="00147D54">
            <w:pPr>
              <w:spacing w:before="40" w:after="120"/>
              <w:ind w:right="113"/>
              <w:rPr>
                <w:rFonts w:eastAsia="Calibri"/>
                <w:lang w:eastAsia="en-US"/>
              </w:rPr>
            </w:pPr>
          </w:p>
        </w:tc>
      </w:tr>
      <w:tr w:rsidR="00EE6AC2" w:rsidRPr="00147D54" w:rsidDel="00C24980" w14:paraId="20BF5005" w14:textId="77777777" w:rsidTr="00147D54">
        <w:tc>
          <w:tcPr>
            <w:tcW w:w="1389" w:type="dxa"/>
            <w:vMerge w:val="restart"/>
            <w:shd w:val="clear" w:color="auto" w:fill="auto"/>
          </w:tcPr>
          <w:p w14:paraId="7742375F" w14:textId="77777777" w:rsidR="00EE6AC2" w:rsidRPr="00147D54" w:rsidRDefault="00EE6AC2" w:rsidP="00147D54">
            <w:pPr>
              <w:spacing w:before="40" w:after="120"/>
              <w:ind w:right="113"/>
              <w:rPr>
                <w:rFonts w:eastAsia="Calibri"/>
                <w:lang w:eastAsia="en-US"/>
              </w:rPr>
            </w:pPr>
            <w:r w:rsidRPr="00147D54">
              <w:rPr>
                <w:rFonts w:eastAsia="Calibri"/>
                <w:lang w:eastAsia="en-US"/>
              </w:rPr>
              <w:t>The U</w:t>
            </w:r>
            <w:r w:rsidR="00ED128A">
              <w:rPr>
                <w:rFonts w:eastAsia="Calibri"/>
                <w:lang w:eastAsia="en-US"/>
              </w:rPr>
              <w:t xml:space="preserve">nited </w:t>
            </w:r>
            <w:r w:rsidRPr="00147D54">
              <w:rPr>
                <w:rFonts w:eastAsia="Calibri"/>
                <w:lang w:eastAsia="en-US"/>
              </w:rPr>
              <w:t>N</w:t>
            </w:r>
            <w:r w:rsidR="00ED128A">
              <w:rPr>
                <w:rFonts w:eastAsia="Calibri"/>
                <w:lang w:eastAsia="en-US"/>
              </w:rPr>
              <w:t>ations</w:t>
            </w:r>
            <w:r w:rsidRPr="00147D54">
              <w:rPr>
                <w:rFonts w:eastAsia="Calibri"/>
                <w:lang w:eastAsia="en-US"/>
              </w:rPr>
              <w:t xml:space="preserve"> Platform for regional, interregional and global inland transport policy dialogues</w:t>
            </w:r>
          </w:p>
          <w:p w14:paraId="42533371" w14:textId="77777777" w:rsidR="00EE6AC2" w:rsidRPr="00147D54" w:rsidRDefault="00EE6AC2" w:rsidP="00147D54">
            <w:pPr>
              <w:spacing w:before="40" w:after="120"/>
              <w:ind w:right="113"/>
              <w:rPr>
                <w:rFonts w:eastAsia="Calibri"/>
                <w:lang w:eastAsia="en-US"/>
              </w:rPr>
            </w:pPr>
          </w:p>
          <w:p w14:paraId="0CE960AD"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RELEVANT SDGs: SDG 3, SDG 6, SDG 7, SDG 8, SDG 9, SDG 11, SDG 12, SDG 13</w:t>
            </w:r>
          </w:p>
        </w:tc>
        <w:tc>
          <w:tcPr>
            <w:tcW w:w="1769" w:type="dxa"/>
            <w:shd w:val="clear" w:color="auto" w:fill="auto"/>
          </w:tcPr>
          <w:p w14:paraId="702E9287"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 Organize regional, interregional and global thematic segments on sustainable inland transport during the ITC sessions</w:t>
            </w:r>
          </w:p>
        </w:tc>
        <w:tc>
          <w:tcPr>
            <w:tcW w:w="2756" w:type="dxa"/>
            <w:shd w:val="clear" w:color="auto" w:fill="auto"/>
          </w:tcPr>
          <w:p w14:paraId="45B84266" w14:textId="77777777" w:rsidR="00EE6AC2" w:rsidRDefault="00EE6AC2" w:rsidP="00147D54">
            <w:pPr>
              <w:spacing w:before="40" w:after="120"/>
              <w:ind w:right="113"/>
              <w:rPr>
                <w:rFonts w:eastAsia="Calibri"/>
                <w:lang w:eastAsia="en-US"/>
              </w:rPr>
            </w:pPr>
            <w:r w:rsidRPr="00147D54">
              <w:rPr>
                <w:rFonts w:eastAsia="Calibri"/>
                <w:lang w:eastAsia="en-US"/>
              </w:rPr>
              <w:t>High-level segments of ITC on various topics of sustainable inland transport from 2019</w:t>
            </w:r>
          </w:p>
          <w:p w14:paraId="48D8188C" w14:textId="77777777" w:rsidR="00160617" w:rsidRPr="00147D54" w:rsidDel="00C24980" w:rsidRDefault="00D4534A" w:rsidP="00147D54">
            <w:pPr>
              <w:spacing w:before="40" w:after="120"/>
              <w:ind w:right="113"/>
              <w:rPr>
                <w:rFonts w:eastAsia="Calibri"/>
                <w:lang w:eastAsia="en-US"/>
              </w:rPr>
            </w:pPr>
            <w:r w:rsidRPr="00D4534A">
              <w:rPr>
                <w:rFonts w:eastAsia="Calibri"/>
                <w:b/>
                <w:bCs/>
                <w:lang w:eastAsia="en-US"/>
              </w:rPr>
              <w:t>Comments:</w:t>
            </w:r>
            <w:r>
              <w:rPr>
                <w:rFonts w:eastAsia="Calibri"/>
                <w:lang w:eastAsia="en-US"/>
              </w:rPr>
              <w:t xml:space="preserve"> Not applicable for SC.1</w:t>
            </w:r>
            <w:r w:rsidR="00A855F9">
              <w:rPr>
                <w:rFonts w:eastAsia="Calibri"/>
                <w:lang w:eastAsia="en-US"/>
              </w:rPr>
              <w:t>.</w:t>
            </w:r>
          </w:p>
        </w:tc>
        <w:tc>
          <w:tcPr>
            <w:tcW w:w="1456" w:type="dxa"/>
            <w:shd w:val="clear" w:color="auto" w:fill="auto"/>
          </w:tcPr>
          <w:p w14:paraId="2532965E" w14:textId="77777777" w:rsidR="00EE6AC2" w:rsidRPr="00147D54" w:rsidRDefault="00EE6AC2" w:rsidP="00147D54">
            <w:pPr>
              <w:spacing w:before="40" w:after="120"/>
              <w:ind w:right="113"/>
              <w:rPr>
                <w:rFonts w:eastAsia="Calibri"/>
                <w:lang w:eastAsia="en-US"/>
              </w:rPr>
            </w:pPr>
            <w:r w:rsidRPr="00147D54">
              <w:rPr>
                <w:rFonts w:eastAsia="Calibri"/>
                <w:b/>
                <w:bCs/>
                <w:lang w:eastAsia="en-US"/>
              </w:rPr>
              <w:t>RB, as part of the Committee session</w:t>
            </w:r>
          </w:p>
        </w:tc>
      </w:tr>
      <w:tr w:rsidR="00EE6AC2" w:rsidRPr="00147D54" w:rsidDel="00C24980" w14:paraId="579CD4A9" w14:textId="77777777" w:rsidTr="00147D54">
        <w:tc>
          <w:tcPr>
            <w:tcW w:w="1389" w:type="dxa"/>
            <w:vMerge/>
            <w:shd w:val="clear" w:color="auto" w:fill="auto"/>
          </w:tcPr>
          <w:p w14:paraId="666D884F" w14:textId="77777777" w:rsidR="00EE6AC2" w:rsidRPr="00147D54" w:rsidRDefault="00EE6AC2" w:rsidP="00147D54">
            <w:pPr>
              <w:spacing w:before="40" w:after="120"/>
              <w:ind w:right="113"/>
              <w:rPr>
                <w:rFonts w:eastAsia="Calibri"/>
                <w:lang w:eastAsia="en-US"/>
              </w:rPr>
            </w:pPr>
          </w:p>
        </w:tc>
        <w:tc>
          <w:tcPr>
            <w:tcW w:w="1769" w:type="dxa"/>
            <w:shd w:val="clear" w:color="auto" w:fill="auto"/>
          </w:tcPr>
          <w:p w14:paraId="13133D42" w14:textId="77777777" w:rsidR="00EE6AC2" w:rsidRPr="00147D54" w:rsidRDefault="00EE6AC2" w:rsidP="00147D54">
            <w:pPr>
              <w:spacing w:before="40" w:after="120"/>
              <w:ind w:right="113"/>
              <w:rPr>
                <w:rFonts w:eastAsia="Calibri"/>
                <w:lang w:eastAsia="en-US"/>
              </w:rPr>
            </w:pPr>
            <w:r w:rsidRPr="00147D54">
              <w:rPr>
                <w:rFonts w:eastAsia="Calibri"/>
                <w:lang w:eastAsia="en-US"/>
              </w:rPr>
              <w:t>Include ITC agenda items on challenges facing inland transport in different regions</w:t>
            </w:r>
          </w:p>
        </w:tc>
        <w:tc>
          <w:tcPr>
            <w:tcW w:w="2756" w:type="dxa"/>
            <w:shd w:val="clear" w:color="auto" w:fill="auto"/>
          </w:tcPr>
          <w:p w14:paraId="6421B86F" w14:textId="77777777" w:rsidR="00EE6AC2" w:rsidRDefault="00EE6AC2" w:rsidP="00147D54">
            <w:pPr>
              <w:spacing w:before="40" w:after="120"/>
              <w:ind w:right="113"/>
              <w:rPr>
                <w:rFonts w:eastAsia="Calibri"/>
                <w:lang w:eastAsia="en-US"/>
              </w:rPr>
            </w:pPr>
            <w:r w:rsidRPr="00147D54">
              <w:rPr>
                <w:rFonts w:eastAsia="Calibri"/>
                <w:lang w:eastAsia="en-US"/>
              </w:rPr>
              <w:t>ITC Agenda items on challenges in different regions from 2020</w:t>
            </w:r>
          </w:p>
          <w:p w14:paraId="7CAD61A6" w14:textId="77777777" w:rsidR="00D4534A" w:rsidRPr="007472CD" w:rsidRDefault="00D4534A" w:rsidP="00D4534A">
            <w:pPr>
              <w:pStyle w:val="CommentText"/>
              <w:rPr>
                <w:lang w:val="en-US"/>
              </w:rPr>
            </w:pPr>
            <w:r w:rsidRPr="00D4534A">
              <w:rPr>
                <w:rFonts w:eastAsia="Calibri"/>
                <w:b/>
                <w:bCs/>
                <w:lang w:eastAsia="en-US"/>
              </w:rPr>
              <w:t>Comments:</w:t>
            </w:r>
            <w:r>
              <w:rPr>
                <w:rFonts w:eastAsia="Calibri"/>
                <w:lang w:eastAsia="en-US"/>
              </w:rPr>
              <w:t xml:space="preserve"> </w:t>
            </w:r>
            <w:r w:rsidRPr="00037D3B">
              <w:rPr>
                <w:lang w:val="en-US"/>
              </w:rPr>
              <w:t>SC</w:t>
            </w:r>
            <w:r>
              <w:rPr>
                <w:lang w:val="en-US"/>
              </w:rPr>
              <w:t>.</w:t>
            </w:r>
            <w:r w:rsidRPr="00037D3B">
              <w:rPr>
                <w:lang w:val="en-US"/>
              </w:rPr>
              <w:t xml:space="preserve">1 agreed that this is </w:t>
            </w:r>
            <w:r>
              <w:rPr>
                <w:lang w:val="en-US"/>
              </w:rPr>
              <w:t xml:space="preserve">part of its </w:t>
            </w:r>
            <w:r w:rsidRPr="00037D3B">
              <w:rPr>
                <w:lang w:val="en-US"/>
              </w:rPr>
              <w:t xml:space="preserve">ongoing work. </w:t>
            </w:r>
            <w:r>
              <w:rPr>
                <w:lang w:val="en-US"/>
              </w:rPr>
              <w:t xml:space="preserve"> </w:t>
            </w:r>
          </w:p>
          <w:p w14:paraId="228809A7" w14:textId="77777777" w:rsidR="00D4534A" w:rsidRPr="00147D54" w:rsidDel="00C24980" w:rsidRDefault="00D4534A" w:rsidP="00147D54">
            <w:pPr>
              <w:spacing w:before="40" w:after="120"/>
              <w:ind w:right="113"/>
              <w:rPr>
                <w:rFonts w:eastAsia="Calibri"/>
                <w:lang w:eastAsia="en-US"/>
              </w:rPr>
            </w:pPr>
          </w:p>
        </w:tc>
        <w:tc>
          <w:tcPr>
            <w:tcW w:w="1456" w:type="dxa"/>
            <w:shd w:val="clear" w:color="auto" w:fill="auto"/>
          </w:tcPr>
          <w:p w14:paraId="57E71852" w14:textId="77777777" w:rsidR="00EE6AC2" w:rsidRPr="00147D54" w:rsidRDefault="00EE6AC2" w:rsidP="00147D54">
            <w:pPr>
              <w:spacing w:before="40" w:after="120"/>
              <w:ind w:right="113"/>
              <w:rPr>
                <w:rFonts w:eastAsia="Calibri"/>
                <w:lang w:eastAsia="en-US"/>
              </w:rPr>
            </w:pPr>
          </w:p>
        </w:tc>
      </w:tr>
      <w:tr w:rsidR="00EE6AC2" w:rsidRPr="00147D54" w:rsidDel="00C24980" w14:paraId="76CD2AE2" w14:textId="77777777" w:rsidTr="00147D54">
        <w:tc>
          <w:tcPr>
            <w:tcW w:w="5914" w:type="dxa"/>
            <w:gridSpan w:val="3"/>
            <w:shd w:val="clear" w:color="auto" w:fill="auto"/>
          </w:tcPr>
          <w:p w14:paraId="36972D30" w14:textId="77777777" w:rsidR="00EE6AC2" w:rsidRPr="00147D54" w:rsidDel="00C24980" w:rsidRDefault="00EE6AC2" w:rsidP="00147D54">
            <w:pPr>
              <w:spacing w:before="40" w:after="120"/>
              <w:ind w:right="113"/>
              <w:rPr>
                <w:rFonts w:eastAsia="Calibri"/>
                <w:lang w:eastAsia="en-US"/>
              </w:rPr>
            </w:pPr>
          </w:p>
        </w:tc>
        <w:tc>
          <w:tcPr>
            <w:tcW w:w="1456" w:type="dxa"/>
            <w:shd w:val="clear" w:color="auto" w:fill="auto"/>
          </w:tcPr>
          <w:p w14:paraId="60AD6373" w14:textId="77777777" w:rsidR="00EE6AC2" w:rsidRPr="00147D54" w:rsidDel="00C24980" w:rsidRDefault="00EE6AC2" w:rsidP="00147D54">
            <w:pPr>
              <w:spacing w:before="40" w:after="120"/>
              <w:ind w:right="113"/>
              <w:rPr>
                <w:rFonts w:eastAsia="Calibri"/>
                <w:lang w:eastAsia="en-US"/>
              </w:rPr>
            </w:pPr>
          </w:p>
        </w:tc>
      </w:tr>
      <w:tr w:rsidR="00EE6AC2" w:rsidRPr="00147D54" w:rsidDel="00C24980" w14:paraId="3749CAB9" w14:textId="77777777" w:rsidTr="00147D54">
        <w:tc>
          <w:tcPr>
            <w:tcW w:w="1389" w:type="dxa"/>
            <w:vMerge w:val="restart"/>
            <w:shd w:val="clear" w:color="auto" w:fill="auto"/>
          </w:tcPr>
          <w:p w14:paraId="37F326D3" w14:textId="77777777" w:rsidR="00EE6AC2" w:rsidRPr="00147D54" w:rsidRDefault="00EE6AC2" w:rsidP="00147D54">
            <w:pPr>
              <w:spacing w:before="40" w:after="120"/>
              <w:ind w:right="113"/>
              <w:rPr>
                <w:rFonts w:eastAsia="Calibri"/>
                <w:lang w:eastAsia="en-US"/>
              </w:rPr>
            </w:pPr>
            <w:r w:rsidRPr="00147D54">
              <w:rPr>
                <w:rFonts w:eastAsia="Calibri"/>
                <w:lang w:eastAsia="en-US"/>
              </w:rPr>
              <w:lastRenderedPageBreak/>
              <w:t>The United Nations</w:t>
            </w:r>
            <w:r w:rsidRPr="00147D54" w:rsidDel="003E767F">
              <w:rPr>
                <w:rFonts w:eastAsia="Calibri"/>
                <w:lang w:eastAsia="en-US"/>
              </w:rPr>
              <w:t xml:space="preserve"> </w:t>
            </w:r>
            <w:r w:rsidRPr="00147D54">
              <w:rPr>
                <w:rFonts w:eastAsia="Calibri"/>
                <w:lang w:eastAsia="en-US"/>
              </w:rPr>
              <w:t>Platform for promoting sustainable regional and interregional inland transport connectivity and mobility</w:t>
            </w:r>
          </w:p>
          <w:p w14:paraId="062536E9" w14:textId="77777777" w:rsidR="00EE6AC2" w:rsidRPr="00147D54" w:rsidRDefault="00EE6AC2" w:rsidP="00147D54">
            <w:pPr>
              <w:spacing w:before="40" w:after="120"/>
              <w:ind w:right="113"/>
              <w:rPr>
                <w:rFonts w:eastAsia="Calibri"/>
                <w:lang w:eastAsia="en-US"/>
              </w:rPr>
            </w:pPr>
          </w:p>
          <w:p w14:paraId="5CB83C58"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RELEVANT SDGs: SDG 3, SDG 6, SDG 7, SDG 8, SDG 9, SDG 11, SDG 12, SDG 13</w:t>
            </w:r>
          </w:p>
        </w:tc>
        <w:tc>
          <w:tcPr>
            <w:tcW w:w="1769" w:type="dxa"/>
            <w:shd w:val="clear" w:color="auto" w:fill="auto"/>
          </w:tcPr>
          <w:p w14:paraId="22EFE28C"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Regional integrated intermodal infrastructural connectivity and mobility</w:t>
            </w:r>
          </w:p>
        </w:tc>
        <w:tc>
          <w:tcPr>
            <w:tcW w:w="2756" w:type="dxa"/>
            <w:shd w:val="clear" w:color="auto" w:fill="auto"/>
          </w:tcPr>
          <w:p w14:paraId="67D2E1E2" w14:textId="77777777" w:rsidR="00EE6AC2" w:rsidRDefault="00EE6AC2" w:rsidP="00147D54">
            <w:pPr>
              <w:spacing w:before="40" w:after="120"/>
              <w:ind w:right="113"/>
              <w:rPr>
                <w:rFonts w:eastAsia="Calibri"/>
                <w:lang w:eastAsia="en-US"/>
              </w:rPr>
            </w:pPr>
            <w:r w:rsidRPr="00147D54">
              <w:rPr>
                <w:rFonts w:eastAsia="Calibri"/>
                <w:lang w:eastAsia="en-US"/>
              </w:rPr>
              <w:t>- Support to integrated intermodal connectivity and mobility from 2020, including TEM, TER, intermodal and logistics</w:t>
            </w:r>
          </w:p>
          <w:p w14:paraId="203090D1" w14:textId="77777777" w:rsidR="00D4534A" w:rsidRPr="00147D54" w:rsidRDefault="00D4534A" w:rsidP="00147D54">
            <w:pPr>
              <w:spacing w:before="40" w:after="120"/>
              <w:ind w:right="113"/>
              <w:rPr>
                <w:rFonts w:eastAsia="Calibri"/>
                <w:lang w:eastAsia="en-US"/>
              </w:rPr>
            </w:pPr>
            <w:r w:rsidRPr="00D4534A">
              <w:rPr>
                <w:rFonts w:eastAsia="Calibri"/>
                <w:b/>
                <w:bCs/>
                <w:lang w:eastAsia="en-US"/>
              </w:rPr>
              <w:t>Comments</w:t>
            </w:r>
            <w:r>
              <w:rPr>
                <w:rFonts w:eastAsia="Calibri"/>
                <w:lang w:eastAsia="en-US"/>
              </w:rPr>
              <w:t xml:space="preserve">: </w:t>
            </w:r>
            <w:r w:rsidRPr="00EA3C19">
              <w:rPr>
                <w:lang w:val="en-US"/>
              </w:rPr>
              <w:t>SC.1 agree</w:t>
            </w:r>
            <w:r>
              <w:rPr>
                <w:lang w:val="en-US"/>
              </w:rPr>
              <w:t>d</w:t>
            </w:r>
            <w:r w:rsidRPr="00EA3C19">
              <w:rPr>
                <w:lang w:val="en-US"/>
              </w:rPr>
              <w:t xml:space="preserve"> that</w:t>
            </w:r>
            <w:r>
              <w:rPr>
                <w:lang w:val="en-US"/>
              </w:rPr>
              <w:t xml:space="preserve"> supporting TEM is part of its ongoing work</w:t>
            </w:r>
            <w:r w:rsidR="00A855F9">
              <w:rPr>
                <w:lang w:val="en-US"/>
              </w:rPr>
              <w:t>.</w:t>
            </w:r>
          </w:p>
          <w:p w14:paraId="0230631E" w14:textId="77777777" w:rsidR="00EE6AC2" w:rsidRDefault="00EE6AC2" w:rsidP="00147D54">
            <w:pPr>
              <w:spacing w:before="40" w:after="120"/>
              <w:ind w:right="113"/>
              <w:rPr>
                <w:rFonts w:eastAsia="Calibri"/>
                <w:lang w:eastAsia="en-US"/>
              </w:rPr>
            </w:pPr>
            <w:r w:rsidRPr="00147D54">
              <w:rPr>
                <w:rFonts w:eastAsia="Calibri"/>
                <w:lang w:eastAsia="en-US"/>
              </w:rPr>
              <w:t>Transport Statistics: Continuation and improvement of the data gathering, validation and dissemination processes to produce accurate statistics that allow evidence-based transport decisions. From 2019 to 2030</w:t>
            </w:r>
          </w:p>
          <w:p w14:paraId="15572A6D" w14:textId="77777777" w:rsidR="00D4534A" w:rsidRPr="00D4534A" w:rsidDel="00C24980" w:rsidRDefault="00D4534A" w:rsidP="00147D54">
            <w:pPr>
              <w:spacing w:before="40" w:after="120"/>
              <w:ind w:right="113"/>
              <w:rPr>
                <w:rFonts w:eastAsia="Calibri"/>
                <w:b/>
                <w:bCs/>
                <w:lang w:eastAsia="en-US"/>
              </w:rPr>
            </w:pPr>
            <w:r w:rsidRPr="00D4534A">
              <w:rPr>
                <w:rFonts w:eastAsia="Calibri"/>
                <w:b/>
                <w:bCs/>
                <w:lang w:eastAsia="en-US"/>
              </w:rPr>
              <w:t>Comments:</w:t>
            </w:r>
            <w:r>
              <w:rPr>
                <w:rFonts w:eastAsia="Calibri"/>
                <w:b/>
                <w:bCs/>
                <w:lang w:eastAsia="en-US"/>
              </w:rPr>
              <w:t xml:space="preserve"> </w:t>
            </w:r>
            <w:r w:rsidRPr="00EA3C19">
              <w:rPr>
                <w:lang w:val="en-US"/>
              </w:rPr>
              <w:t>SC.1 t</w:t>
            </w:r>
            <w:r>
              <w:rPr>
                <w:lang w:val="en-US"/>
              </w:rPr>
              <w:t>ook</w:t>
            </w:r>
            <w:r w:rsidRPr="00EA3C19">
              <w:rPr>
                <w:lang w:val="en-US"/>
              </w:rPr>
              <w:t xml:space="preserve"> note</w:t>
            </w:r>
            <w:r>
              <w:rPr>
                <w:lang w:val="en-US"/>
              </w:rPr>
              <w:t xml:space="preserve"> of this</w:t>
            </w:r>
            <w:r w:rsidRPr="00EA3C19">
              <w:rPr>
                <w:lang w:val="en-US"/>
              </w:rPr>
              <w:t xml:space="preserve"> and will </w:t>
            </w:r>
            <w:r>
              <w:rPr>
                <w:lang w:val="en-US"/>
              </w:rPr>
              <w:t>collaborate with the Group of Experts on Benchmarking Transport Infrastructure Construction Costs (WP.5/GE.4) as appropriate.</w:t>
            </w:r>
          </w:p>
        </w:tc>
        <w:tc>
          <w:tcPr>
            <w:tcW w:w="1456" w:type="dxa"/>
            <w:shd w:val="clear" w:color="auto" w:fill="auto"/>
          </w:tcPr>
          <w:p w14:paraId="4C0357BD" w14:textId="77777777" w:rsidR="00EE6AC2" w:rsidRPr="00147D54" w:rsidRDefault="00EE6AC2" w:rsidP="00147D54">
            <w:pPr>
              <w:spacing w:before="40" w:after="120"/>
              <w:ind w:right="113"/>
              <w:rPr>
                <w:rFonts w:eastAsia="Calibri"/>
                <w:lang w:eastAsia="en-US"/>
              </w:rPr>
            </w:pPr>
            <w:r w:rsidRPr="00147D54">
              <w:rPr>
                <w:rFonts w:eastAsia="Calibri"/>
                <w:b/>
                <w:bCs/>
                <w:lang w:eastAsia="en-US"/>
              </w:rPr>
              <w:t>RB and XB</w:t>
            </w:r>
          </w:p>
        </w:tc>
      </w:tr>
      <w:tr w:rsidR="00EE6AC2" w:rsidRPr="00147D54" w:rsidDel="00C24980" w14:paraId="561BCA63" w14:textId="77777777" w:rsidTr="00147D54">
        <w:tc>
          <w:tcPr>
            <w:tcW w:w="1389" w:type="dxa"/>
            <w:vMerge/>
            <w:shd w:val="clear" w:color="auto" w:fill="auto"/>
          </w:tcPr>
          <w:p w14:paraId="24F2E59D" w14:textId="77777777" w:rsidR="00EE6AC2" w:rsidRPr="00147D54" w:rsidDel="00C24980" w:rsidRDefault="00EE6AC2" w:rsidP="00147D54">
            <w:pPr>
              <w:spacing w:before="40" w:after="120"/>
              <w:ind w:right="113"/>
              <w:rPr>
                <w:rFonts w:eastAsia="Calibri"/>
                <w:lang w:eastAsia="en-US"/>
              </w:rPr>
            </w:pPr>
          </w:p>
        </w:tc>
        <w:tc>
          <w:tcPr>
            <w:tcW w:w="1769" w:type="dxa"/>
            <w:shd w:val="clear" w:color="auto" w:fill="auto"/>
          </w:tcPr>
          <w:p w14:paraId="155F79AD"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Interregional connectivity including through various corridors</w:t>
            </w:r>
          </w:p>
        </w:tc>
        <w:tc>
          <w:tcPr>
            <w:tcW w:w="2756" w:type="dxa"/>
            <w:shd w:val="clear" w:color="auto" w:fill="auto"/>
          </w:tcPr>
          <w:p w14:paraId="0ACB99D3" w14:textId="77777777" w:rsidR="00EE6AC2" w:rsidRDefault="00EE6AC2" w:rsidP="00147D54">
            <w:pPr>
              <w:spacing w:before="40" w:after="120"/>
              <w:ind w:right="113"/>
              <w:rPr>
                <w:rFonts w:eastAsia="Calibri"/>
                <w:lang w:eastAsia="en-US"/>
              </w:rPr>
            </w:pPr>
            <w:r w:rsidRPr="00147D54">
              <w:rPr>
                <w:rFonts w:eastAsia="Calibri"/>
                <w:lang w:eastAsia="en-US"/>
              </w:rPr>
              <w:t xml:space="preserve">- Support to interregional inland transport connectivity and corridors from 2019, </w:t>
            </w:r>
          </w:p>
          <w:p w14:paraId="3FD8DB11" w14:textId="77777777" w:rsidR="00D4534A" w:rsidRPr="00147D54" w:rsidDel="00C24980" w:rsidRDefault="00D4534A" w:rsidP="00147D54">
            <w:pPr>
              <w:spacing w:before="40" w:after="120"/>
              <w:ind w:right="113"/>
              <w:rPr>
                <w:rFonts w:eastAsia="Calibri"/>
                <w:lang w:eastAsia="en-US"/>
              </w:rPr>
            </w:pPr>
            <w:r w:rsidRPr="00D4534A">
              <w:rPr>
                <w:rFonts w:eastAsia="Calibri"/>
                <w:b/>
                <w:bCs/>
                <w:lang w:eastAsia="en-US"/>
              </w:rPr>
              <w:t>Comments:</w:t>
            </w:r>
            <w:r w:rsidRPr="00037D3B">
              <w:rPr>
                <w:lang w:val="en-US"/>
              </w:rPr>
              <w:t xml:space="preserve"> SC</w:t>
            </w:r>
            <w:r>
              <w:rPr>
                <w:lang w:val="en-US"/>
              </w:rPr>
              <w:t>.</w:t>
            </w:r>
            <w:r w:rsidRPr="00037D3B">
              <w:rPr>
                <w:lang w:val="en-US"/>
              </w:rPr>
              <w:t xml:space="preserve">1 agreed that this is </w:t>
            </w:r>
            <w:r>
              <w:rPr>
                <w:lang w:val="en-US"/>
              </w:rPr>
              <w:t xml:space="preserve">part of its </w:t>
            </w:r>
            <w:r w:rsidRPr="00037D3B">
              <w:rPr>
                <w:lang w:val="en-US"/>
              </w:rPr>
              <w:t>ongoing work</w:t>
            </w:r>
            <w:r w:rsidR="00A855F9">
              <w:rPr>
                <w:lang w:val="en-US"/>
              </w:rPr>
              <w:t>.</w:t>
            </w:r>
          </w:p>
        </w:tc>
        <w:tc>
          <w:tcPr>
            <w:tcW w:w="1456" w:type="dxa"/>
            <w:shd w:val="clear" w:color="auto" w:fill="auto"/>
          </w:tcPr>
          <w:p w14:paraId="7D58E37A" w14:textId="77777777" w:rsidR="00EE6AC2" w:rsidRPr="00147D54" w:rsidRDefault="00EE6AC2" w:rsidP="00147D54">
            <w:pPr>
              <w:spacing w:before="40" w:after="120"/>
              <w:ind w:right="113"/>
              <w:rPr>
                <w:rFonts w:eastAsia="Calibri"/>
                <w:lang w:eastAsia="en-US"/>
              </w:rPr>
            </w:pPr>
            <w:r w:rsidRPr="00147D54">
              <w:rPr>
                <w:rFonts w:eastAsia="Calibri"/>
                <w:b/>
                <w:bCs/>
                <w:lang w:eastAsia="en-US"/>
              </w:rPr>
              <w:t>RB and XB</w:t>
            </w:r>
          </w:p>
        </w:tc>
      </w:tr>
      <w:tr w:rsidR="00147D54" w:rsidRPr="00147D54" w:rsidDel="00C24980" w14:paraId="7133C21D" w14:textId="77777777" w:rsidTr="00147D54">
        <w:tc>
          <w:tcPr>
            <w:tcW w:w="1389" w:type="dxa"/>
            <w:vMerge/>
            <w:tcBorders>
              <w:bottom w:val="single" w:sz="12" w:space="0" w:color="auto"/>
            </w:tcBorders>
            <w:shd w:val="clear" w:color="auto" w:fill="auto"/>
          </w:tcPr>
          <w:p w14:paraId="0330169A" w14:textId="77777777" w:rsidR="00EE6AC2" w:rsidRPr="00147D54" w:rsidDel="00C24980" w:rsidRDefault="00EE6AC2" w:rsidP="00147D54">
            <w:pPr>
              <w:spacing w:before="40" w:after="120"/>
              <w:ind w:right="113"/>
              <w:rPr>
                <w:rFonts w:eastAsia="Calibri"/>
                <w:lang w:eastAsia="en-US"/>
              </w:rPr>
            </w:pPr>
          </w:p>
        </w:tc>
        <w:tc>
          <w:tcPr>
            <w:tcW w:w="1769" w:type="dxa"/>
            <w:tcBorders>
              <w:bottom w:val="single" w:sz="12" w:space="0" w:color="auto"/>
            </w:tcBorders>
            <w:shd w:val="clear" w:color="auto" w:fill="auto"/>
          </w:tcPr>
          <w:p w14:paraId="66DFD53B" w14:textId="77777777" w:rsidR="00EE6AC2" w:rsidRPr="00147D54" w:rsidRDefault="00EE6AC2" w:rsidP="00147D54">
            <w:pPr>
              <w:spacing w:before="40" w:after="120"/>
              <w:ind w:right="113"/>
              <w:rPr>
                <w:rFonts w:eastAsia="Calibri"/>
                <w:lang w:eastAsia="en-US"/>
              </w:rPr>
            </w:pPr>
            <w:r w:rsidRPr="00147D54">
              <w:rPr>
                <w:rFonts w:eastAsia="Calibri"/>
                <w:lang w:eastAsia="en-US"/>
              </w:rPr>
              <w:t xml:space="preserve">Promoting sustainable transport and urban mobility; </w:t>
            </w:r>
          </w:p>
          <w:p w14:paraId="3404169F" w14:textId="77777777" w:rsidR="00EE6AC2" w:rsidRPr="00147D54" w:rsidRDefault="00EE6AC2" w:rsidP="00147D54">
            <w:pPr>
              <w:spacing w:before="40" w:after="120"/>
              <w:ind w:right="113"/>
              <w:rPr>
                <w:rFonts w:eastAsia="Calibri"/>
                <w:lang w:eastAsia="en-US"/>
              </w:rPr>
            </w:pPr>
          </w:p>
          <w:p w14:paraId="1BE4A89B" w14:textId="77777777" w:rsidR="00EE6AC2" w:rsidRPr="00147D54" w:rsidRDefault="00EE6AC2" w:rsidP="00147D54">
            <w:pPr>
              <w:spacing w:before="40" w:after="120"/>
              <w:ind w:right="113"/>
              <w:rPr>
                <w:rFonts w:eastAsia="Calibri"/>
                <w:lang w:eastAsia="en-US"/>
              </w:rPr>
            </w:pPr>
          </w:p>
          <w:p w14:paraId="2E2509CB" w14:textId="77777777" w:rsidR="00EE6AC2" w:rsidRPr="00147D54" w:rsidDel="00C24980" w:rsidRDefault="00EE6AC2" w:rsidP="00147D54">
            <w:pPr>
              <w:spacing w:before="40" w:after="120"/>
              <w:ind w:right="113"/>
              <w:rPr>
                <w:rFonts w:eastAsia="Calibri"/>
                <w:lang w:eastAsia="en-US"/>
              </w:rPr>
            </w:pPr>
            <w:r w:rsidRPr="00147D54">
              <w:rPr>
                <w:rFonts w:eastAsia="Calibri"/>
                <w:lang w:eastAsia="en-US"/>
              </w:rPr>
              <w:t>Climate resilient transport infrastructure</w:t>
            </w:r>
          </w:p>
        </w:tc>
        <w:tc>
          <w:tcPr>
            <w:tcW w:w="2756" w:type="dxa"/>
            <w:tcBorders>
              <w:bottom w:val="single" w:sz="12" w:space="0" w:color="auto"/>
            </w:tcBorders>
            <w:shd w:val="clear" w:color="auto" w:fill="auto"/>
          </w:tcPr>
          <w:p w14:paraId="5DF56F29" w14:textId="77777777" w:rsidR="00EE6AC2" w:rsidRPr="00147D54" w:rsidRDefault="00EE6AC2" w:rsidP="00147D54">
            <w:pPr>
              <w:spacing w:before="40" w:after="120"/>
              <w:ind w:right="113"/>
              <w:rPr>
                <w:rFonts w:eastAsia="Calibri"/>
                <w:lang w:eastAsia="en-US"/>
              </w:rPr>
            </w:pPr>
            <w:r w:rsidRPr="00147D54">
              <w:rPr>
                <w:rFonts w:eastAsia="Calibri"/>
                <w:lang w:eastAsia="en-US"/>
              </w:rPr>
              <w:t xml:space="preserve">- New tools and activities from 2019, e.g. - THE PEP; further development of local pollutant module of </w:t>
            </w:r>
            <w:proofErr w:type="spellStart"/>
            <w:r w:rsidRPr="00147D54">
              <w:rPr>
                <w:rFonts w:eastAsia="Calibri"/>
                <w:lang w:eastAsia="en-US"/>
              </w:rPr>
              <w:t>ForFITS</w:t>
            </w:r>
            <w:proofErr w:type="spellEnd"/>
            <w:r w:rsidRPr="00147D54">
              <w:rPr>
                <w:rFonts w:eastAsia="Calibri"/>
                <w:lang w:eastAsia="en-US"/>
              </w:rPr>
              <w:t>; reviews on green transport and mobility</w:t>
            </w:r>
          </w:p>
          <w:p w14:paraId="2BB65D80" w14:textId="77777777" w:rsidR="00D4534A" w:rsidRPr="00147D54" w:rsidRDefault="00D4534A" w:rsidP="00147D54">
            <w:pPr>
              <w:spacing w:before="40" w:after="120"/>
              <w:ind w:right="113"/>
              <w:rPr>
                <w:rFonts w:eastAsia="Calibri"/>
                <w:lang w:eastAsia="en-US"/>
              </w:rPr>
            </w:pPr>
            <w:r w:rsidRPr="00D4534A">
              <w:rPr>
                <w:rFonts w:eastAsia="Calibri"/>
                <w:b/>
                <w:bCs/>
                <w:lang w:eastAsia="en-US"/>
              </w:rPr>
              <w:t>Comments:</w:t>
            </w:r>
            <w:r w:rsidRPr="00037D3B">
              <w:rPr>
                <w:lang w:val="en-US"/>
              </w:rPr>
              <w:t xml:space="preserve"> </w:t>
            </w:r>
            <w:r w:rsidR="00BB5EDD" w:rsidRPr="00870964">
              <w:rPr>
                <w:lang w:val="en-US"/>
              </w:rPr>
              <w:t xml:space="preserve">SC.1 took note </w:t>
            </w:r>
            <w:r w:rsidR="00BB5EDD">
              <w:rPr>
                <w:lang w:val="en-US"/>
              </w:rPr>
              <w:t xml:space="preserve">of this </w:t>
            </w:r>
            <w:r w:rsidR="00BB5EDD" w:rsidRPr="00870964">
              <w:rPr>
                <w:lang w:val="en-US"/>
              </w:rPr>
              <w:t>and will support as appropriate</w:t>
            </w:r>
          </w:p>
          <w:p w14:paraId="0E2DB6AB" w14:textId="77777777" w:rsidR="00EE6AC2" w:rsidRDefault="00EE6AC2" w:rsidP="00147D54">
            <w:pPr>
              <w:spacing w:before="40" w:after="120"/>
              <w:ind w:right="113"/>
              <w:rPr>
                <w:rFonts w:eastAsia="Calibri"/>
                <w:lang w:eastAsia="en-US"/>
              </w:rPr>
            </w:pPr>
            <w:r w:rsidRPr="00147D54">
              <w:rPr>
                <w:rFonts w:eastAsia="Calibri"/>
                <w:lang w:eastAsia="en-US"/>
              </w:rPr>
              <w:t>Investigate the influence of climate change on transport infrastructure</w:t>
            </w:r>
            <w:r w:rsidR="00A855F9">
              <w:rPr>
                <w:rFonts w:eastAsia="Calibri"/>
                <w:lang w:eastAsia="en-US"/>
              </w:rPr>
              <w:t>.</w:t>
            </w:r>
          </w:p>
          <w:p w14:paraId="0AC57652" w14:textId="77777777" w:rsidR="00D4534A" w:rsidRPr="00147D54" w:rsidDel="00C24980" w:rsidRDefault="00D4534A" w:rsidP="00147D54">
            <w:pPr>
              <w:spacing w:before="40" w:after="120"/>
              <w:ind w:right="113"/>
              <w:rPr>
                <w:rFonts w:eastAsia="Calibri"/>
                <w:lang w:eastAsia="en-US"/>
              </w:rPr>
            </w:pPr>
            <w:r w:rsidRPr="00D4534A">
              <w:rPr>
                <w:rFonts w:eastAsia="Calibri"/>
                <w:b/>
                <w:bCs/>
                <w:lang w:eastAsia="en-US"/>
              </w:rPr>
              <w:t>Comments:</w:t>
            </w:r>
            <w:r w:rsidRPr="00EA3C19">
              <w:rPr>
                <w:lang w:val="en-US"/>
              </w:rPr>
              <w:t xml:space="preserve"> SC.1 t</w:t>
            </w:r>
            <w:r>
              <w:rPr>
                <w:lang w:val="en-US"/>
              </w:rPr>
              <w:t>ook</w:t>
            </w:r>
            <w:r w:rsidRPr="00EA3C19">
              <w:rPr>
                <w:lang w:val="en-US"/>
              </w:rPr>
              <w:t xml:space="preserve"> note</w:t>
            </w:r>
            <w:r>
              <w:rPr>
                <w:lang w:val="en-US"/>
              </w:rPr>
              <w:t xml:space="preserve"> of this</w:t>
            </w:r>
            <w:r w:rsidRPr="00EA3C19">
              <w:rPr>
                <w:lang w:val="en-US"/>
              </w:rPr>
              <w:t xml:space="preserve"> and will </w:t>
            </w:r>
            <w:r>
              <w:rPr>
                <w:lang w:val="en-US"/>
              </w:rPr>
              <w:t>collaborate with the Group of Experts on Climate Change Impacts and Adaptation for Transport Networks and Nodes as appropriate.</w:t>
            </w:r>
          </w:p>
        </w:tc>
        <w:tc>
          <w:tcPr>
            <w:tcW w:w="1456" w:type="dxa"/>
            <w:tcBorders>
              <w:bottom w:val="single" w:sz="12" w:space="0" w:color="auto"/>
            </w:tcBorders>
            <w:shd w:val="clear" w:color="auto" w:fill="auto"/>
          </w:tcPr>
          <w:p w14:paraId="5458E41B" w14:textId="77777777" w:rsidR="00EE6AC2" w:rsidRPr="00147D54" w:rsidRDefault="00EE6AC2" w:rsidP="00147D54">
            <w:pPr>
              <w:spacing w:before="40" w:after="120"/>
              <w:ind w:right="113"/>
              <w:rPr>
                <w:rFonts w:eastAsia="Calibri"/>
                <w:lang w:eastAsia="en-US"/>
              </w:rPr>
            </w:pPr>
            <w:r w:rsidRPr="00147D54">
              <w:rPr>
                <w:rFonts w:eastAsia="Calibri"/>
                <w:b/>
                <w:bCs/>
                <w:lang w:eastAsia="en-US"/>
              </w:rPr>
              <w:t>XB</w:t>
            </w:r>
          </w:p>
        </w:tc>
      </w:tr>
    </w:tbl>
    <w:p w14:paraId="69AAB85C" w14:textId="77777777" w:rsidR="00EE6AC2" w:rsidRPr="002D538A" w:rsidRDefault="00EE6AC2" w:rsidP="002D538A">
      <w:pPr>
        <w:spacing w:after="120"/>
        <w:ind w:left="1134" w:right="1134"/>
        <w:jc w:val="both"/>
        <w:rPr>
          <w:iCs/>
          <w:lang w:eastAsia="en-US"/>
        </w:rPr>
      </w:pPr>
      <w:r w:rsidRPr="007333CC">
        <w:rPr>
          <w:i/>
          <w:sz w:val="24"/>
          <w:szCs w:val="24"/>
          <w:lang w:eastAsia="en-US"/>
        </w:rPr>
        <w:t xml:space="preserve">Note: </w:t>
      </w:r>
      <w:r w:rsidRPr="002D538A">
        <w:rPr>
          <w:iCs/>
          <w:lang w:eastAsia="en-US"/>
        </w:rPr>
        <w:t xml:space="preserve">Transport statistics, analytical work and capacity </w:t>
      </w:r>
      <w:r w:rsidR="00724F8A" w:rsidRPr="002D538A">
        <w:rPr>
          <w:iCs/>
          <w:lang w:eastAsia="en-US"/>
        </w:rPr>
        <w:t>capacity</w:t>
      </w:r>
      <w:r w:rsidR="0095347D">
        <w:rPr>
          <w:iCs/>
          <w:lang w:eastAsia="en-US"/>
        </w:rPr>
        <w:t>-</w:t>
      </w:r>
      <w:r w:rsidRPr="002D538A">
        <w:rPr>
          <w:iCs/>
          <w:lang w:eastAsia="en-US"/>
        </w:rPr>
        <w:t xml:space="preserve">building will support the above priorities. High-level segments of ITC will support the above priorities. </w:t>
      </w:r>
    </w:p>
    <w:p w14:paraId="556F9BEE" w14:textId="77777777" w:rsidR="00A02A38" w:rsidRDefault="00A02A38">
      <w:pPr>
        <w:suppressAutoHyphens w:val="0"/>
        <w:spacing w:line="240" w:lineRule="auto"/>
      </w:pPr>
      <w:r>
        <w:br w:type="page"/>
      </w:r>
    </w:p>
    <w:p w14:paraId="35BDD2A0" w14:textId="77777777" w:rsidR="00967CC0" w:rsidRDefault="00590A94" w:rsidP="00A02A38">
      <w:pPr>
        <w:pStyle w:val="HChG"/>
      </w:pPr>
      <w:r>
        <w:lastRenderedPageBreak/>
        <w:tab/>
      </w:r>
      <w:r w:rsidR="00A02A38">
        <w:t>Annex II</w:t>
      </w:r>
    </w:p>
    <w:p w14:paraId="4E4623CF" w14:textId="77777777" w:rsidR="00A02A38" w:rsidRDefault="00590A94" w:rsidP="00924E27">
      <w:pPr>
        <w:pStyle w:val="HChG"/>
        <w:rPr>
          <w:rFonts w:eastAsia="DengXian"/>
          <w:lang w:eastAsia="zh-CN"/>
        </w:rPr>
      </w:pPr>
      <w:r>
        <w:rPr>
          <w:rFonts w:eastAsia="DengXian"/>
          <w:lang w:eastAsia="zh-CN"/>
        </w:rPr>
        <w:tab/>
      </w:r>
      <w:r>
        <w:rPr>
          <w:rFonts w:eastAsia="DengXian"/>
          <w:lang w:eastAsia="zh-CN"/>
        </w:rPr>
        <w:tab/>
      </w:r>
      <w:r w:rsidR="00A02A38" w:rsidRPr="007333CC">
        <w:rPr>
          <w:rFonts w:eastAsia="DengXian"/>
          <w:lang w:eastAsia="zh-CN"/>
        </w:rPr>
        <w:t xml:space="preserve">Proposed restructure of SC.1 agenda from </w:t>
      </w:r>
      <w:r w:rsidR="00724F8A">
        <w:rPr>
          <w:rFonts w:eastAsia="DengXian"/>
          <w:lang w:eastAsia="zh-CN"/>
        </w:rPr>
        <w:t>the</w:t>
      </w:r>
      <w:r w:rsidR="00A02A38" w:rsidRPr="007333CC">
        <w:rPr>
          <w:rFonts w:eastAsia="DengXian"/>
          <w:lang w:eastAsia="zh-CN"/>
        </w:rPr>
        <w:t>11</w:t>
      </w:r>
      <w:r>
        <w:rPr>
          <w:rFonts w:eastAsia="DengXian"/>
          <w:lang w:eastAsia="zh-CN"/>
        </w:rPr>
        <w:t>5th</w:t>
      </w:r>
      <w:r w:rsidR="00A02A38" w:rsidRPr="007333CC">
        <w:rPr>
          <w:rFonts w:eastAsia="DengXian"/>
          <w:lang w:eastAsia="zh-CN"/>
        </w:rPr>
        <w:t xml:space="preserve"> session </w:t>
      </w:r>
    </w:p>
    <w:p w14:paraId="73D89450" w14:textId="77777777" w:rsidR="00590A94" w:rsidRPr="007333CC" w:rsidRDefault="00924E27" w:rsidP="00590A94">
      <w:pPr>
        <w:pStyle w:val="SingleTxtG"/>
        <w:rPr>
          <w:rFonts w:eastAsia="DengXian"/>
          <w:lang w:val="fr-CH" w:eastAsia="zh-CN"/>
        </w:rPr>
      </w:pPr>
      <w:r>
        <w:rPr>
          <w:rFonts w:eastAsia="DengXian"/>
          <w:lang w:val="fr-CH" w:eastAsia="zh-CN"/>
        </w:rPr>
        <w:t>1.</w:t>
      </w:r>
      <w:r>
        <w:rPr>
          <w:rFonts w:eastAsia="DengXian"/>
          <w:lang w:val="fr-CH" w:eastAsia="zh-CN"/>
        </w:rPr>
        <w:tab/>
      </w:r>
      <w:r w:rsidR="00590A94" w:rsidRPr="007333CC">
        <w:rPr>
          <w:rFonts w:eastAsia="DengXian"/>
          <w:lang w:val="fr-CH" w:eastAsia="zh-CN"/>
        </w:rPr>
        <w:t>Adoption of the agenda</w:t>
      </w:r>
      <w:r w:rsidR="005A56BC">
        <w:rPr>
          <w:rFonts w:eastAsia="DengXian"/>
          <w:lang w:val="fr-CH" w:eastAsia="zh-CN"/>
        </w:rPr>
        <w:t>.</w:t>
      </w:r>
    </w:p>
    <w:p w14:paraId="56BEB247" w14:textId="77777777" w:rsidR="00590A94" w:rsidRPr="005109FD" w:rsidRDefault="00924E27" w:rsidP="00590A94">
      <w:pPr>
        <w:pStyle w:val="SingleTxtG"/>
        <w:rPr>
          <w:rFonts w:eastAsia="DengXian"/>
          <w:lang w:eastAsia="zh-CN"/>
        </w:rPr>
      </w:pPr>
      <w:r w:rsidRPr="005109FD">
        <w:rPr>
          <w:rFonts w:eastAsia="DengXian"/>
          <w:lang w:eastAsia="zh-CN"/>
        </w:rPr>
        <w:t>2.</w:t>
      </w:r>
      <w:r w:rsidRPr="005109FD">
        <w:rPr>
          <w:rFonts w:eastAsia="DengXian"/>
          <w:lang w:eastAsia="zh-CN"/>
        </w:rPr>
        <w:tab/>
      </w:r>
      <w:r w:rsidR="00590A94" w:rsidRPr="005109FD">
        <w:rPr>
          <w:rFonts w:eastAsia="DengXian"/>
          <w:lang w:eastAsia="zh-CN"/>
        </w:rPr>
        <w:t>Inland Transport Instruments</w:t>
      </w:r>
      <w:r w:rsidR="005A56BC" w:rsidRPr="005109FD">
        <w:rPr>
          <w:rFonts w:eastAsia="DengXian"/>
          <w:lang w:eastAsia="zh-CN"/>
        </w:rPr>
        <w:t>:</w:t>
      </w:r>
    </w:p>
    <w:p w14:paraId="6CCA3950" w14:textId="77777777" w:rsidR="009B6DE3" w:rsidRPr="005109FD" w:rsidRDefault="00924E27" w:rsidP="009B6DE3">
      <w:pPr>
        <w:pStyle w:val="SingleTxtG"/>
        <w:ind w:firstLine="567"/>
        <w:rPr>
          <w:rFonts w:eastAsia="DengXian"/>
          <w:lang w:eastAsia="zh-CN"/>
        </w:rPr>
      </w:pPr>
      <w:r w:rsidRPr="005109FD">
        <w:rPr>
          <w:rFonts w:eastAsia="DengXian"/>
          <w:lang w:eastAsia="zh-CN"/>
        </w:rPr>
        <w:t>(a)</w:t>
      </w:r>
      <w:r w:rsidRPr="005109FD">
        <w:rPr>
          <w:rFonts w:eastAsia="DengXian"/>
          <w:lang w:eastAsia="zh-CN"/>
        </w:rPr>
        <w:tab/>
      </w:r>
      <w:r w:rsidR="009B6DE3" w:rsidRPr="00AE774E">
        <w:t>European Agreement concerning the Work of Crews of Vehicles Engaged in International Road Transport</w:t>
      </w:r>
      <w:r w:rsidR="009B6DE3" w:rsidRPr="005109FD">
        <w:rPr>
          <w:rFonts w:eastAsia="DengXian"/>
          <w:lang w:eastAsia="zh-CN"/>
        </w:rPr>
        <w:t xml:space="preserve"> (AETR)</w:t>
      </w:r>
      <w:r w:rsidR="005A56BC" w:rsidRPr="005109FD">
        <w:rPr>
          <w:rFonts w:eastAsia="DengXian"/>
          <w:lang w:eastAsia="zh-CN"/>
        </w:rPr>
        <w:t>:</w:t>
      </w:r>
    </w:p>
    <w:p w14:paraId="2505A501" w14:textId="77777777" w:rsidR="00590A94" w:rsidRPr="005109FD" w:rsidRDefault="00924E27" w:rsidP="009B6DE3">
      <w:pPr>
        <w:pStyle w:val="SingleTxtG"/>
        <w:ind w:firstLine="567"/>
        <w:rPr>
          <w:rFonts w:eastAsia="DengXian"/>
          <w:lang w:eastAsia="zh-CN"/>
        </w:rPr>
      </w:pPr>
      <w:r w:rsidRPr="005109FD">
        <w:rPr>
          <w:rFonts w:eastAsia="DengXian"/>
          <w:lang w:eastAsia="zh-CN"/>
        </w:rPr>
        <w:t>(</w:t>
      </w:r>
      <w:proofErr w:type="spellStart"/>
      <w:r w:rsidRPr="005109FD">
        <w:rPr>
          <w:rFonts w:eastAsia="DengXian"/>
          <w:lang w:eastAsia="zh-CN"/>
        </w:rPr>
        <w:t>i</w:t>
      </w:r>
      <w:proofErr w:type="spellEnd"/>
      <w:r w:rsidRPr="005109FD">
        <w:rPr>
          <w:rFonts w:eastAsia="DengXian"/>
          <w:lang w:eastAsia="zh-CN"/>
        </w:rPr>
        <w:t>)</w:t>
      </w:r>
      <w:r w:rsidRPr="005109FD">
        <w:rPr>
          <w:rFonts w:eastAsia="DengXian"/>
          <w:lang w:eastAsia="zh-CN"/>
        </w:rPr>
        <w:tab/>
      </w:r>
      <w:r w:rsidR="00590A94" w:rsidRPr="005109FD">
        <w:rPr>
          <w:rFonts w:eastAsia="DengXian"/>
          <w:lang w:eastAsia="zh-CN"/>
        </w:rPr>
        <w:t>Status of the Agreement</w:t>
      </w:r>
      <w:r w:rsidR="005A56BC" w:rsidRPr="005109FD">
        <w:rPr>
          <w:rFonts w:eastAsia="DengXian"/>
          <w:lang w:eastAsia="zh-CN"/>
        </w:rPr>
        <w:t>;</w:t>
      </w:r>
    </w:p>
    <w:p w14:paraId="6497E36A" w14:textId="77777777" w:rsidR="00590A94" w:rsidRPr="005109FD" w:rsidRDefault="00924E27" w:rsidP="00924E27">
      <w:pPr>
        <w:pStyle w:val="SingleTxtG"/>
        <w:ind w:firstLine="567"/>
        <w:rPr>
          <w:rFonts w:eastAsia="DengXian"/>
          <w:lang w:eastAsia="zh-CN"/>
        </w:rPr>
      </w:pPr>
      <w:r w:rsidRPr="005109FD">
        <w:rPr>
          <w:rFonts w:eastAsia="DengXian"/>
          <w:lang w:eastAsia="zh-CN"/>
        </w:rPr>
        <w:t>(ii)</w:t>
      </w:r>
      <w:r w:rsidRPr="005109FD">
        <w:rPr>
          <w:rFonts w:eastAsia="DengXian"/>
          <w:lang w:eastAsia="zh-CN"/>
        </w:rPr>
        <w:tab/>
      </w:r>
      <w:r w:rsidR="00590A94" w:rsidRPr="005109FD">
        <w:rPr>
          <w:rFonts w:eastAsia="DengXian"/>
          <w:lang w:eastAsia="zh-CN"/>
        </w:rPr>
        <w:t>AETR Group of Experts</w:t>
      </w:r>
      <w:r w:rsidR="005A56BC" w:rsidRPr="005109FD">
        <w:rPr>
          <w:rFonts w:eastAsia="DengXian"/>
          <w:lang w:eastAsia="zh-CN"/>
        </w:rPr>
        <w:t>;</w:t>
      </w:r>
    </w:p>
    <w:p w14:paraId="31FC415C" w14:textId="77777777" w:rsidR="00590A94" w:rsidRPr="005109FD" w:rsidRDefault="00BC70F5" w:rsidP="00924E27">
      <w:pPr>
        <w:pStyle w:val="SingleTxtG"/>
        <w:ind w:firstLine="567"/>
        <w:rPr>
          <w:rFonts w:eastAsia="DengXian"/>
          <w:b/>
          <w:bCs/>
          <w:lang w:eastAsia="zh-CN"/>
        </w:rPr>
      </w:pPr>
      <w:r w:rsidRPr="005109FD">
        <w:rPr>
          <w:rFonts w:eastAsia="DengXian"/>
          <w:lang w:eastAsia="zh-CN"/>
        </w:rPr>
        <w:t>(b)</w:t>
      </w:r>
      <w:r w:rsidRPr="005109FD">
        <w:rPr>
          <w:rFonts w:eastAsia="DengXian"/>
          <w:lang w:eastAsia="zh-CN"/>
        </w:rPr>
        <w:tab/>
      </w:r>
      <w:r w:rsidR="00884BB9" w:rsidRPr="00AE774E">
        <w:t>European Agreement on Main International Traffic Arteries (AGR)</w:t>
      </w:r>
      <w:r w:rsidR="005A56BC">
        <w:t>:</w:t>
      </w:r>
    </w:p>
    <w:p w14:paraId="356436D2" w14:textId="77777777" w:rsidR="00590A94" w:rsidRPr="005109FD" w:rsidRDefault="00BC70F5" w:rsidP="00BC70F5">
      <w:pPr>
        <w:pStyle w:val="SingleTxtG"/>
        <w:ind w:firstLine="567"/>
        <w:rPr>
          <w:rFonts w:eastAsia="DengXian"/>
          <w:lang w:eastAsia="zh-CN"/>
        </w:rPr>
      </w:pPr>
      <w:r w:rsidRPr="005109FD">
        <w:rPr>
          <w:rFonts w:eastAsia="DengXian"/>
          <w:lang w:eastAsia="zh-CN"/>
        </w:rPr>
        <w:t>(</w:t>
      </w:r>
      <w:proofErr w:type="spellStart"/>
      <w:r w:rsidRPr="005109FD">
        <w:rPr>
          <w:rFonts w:eastAsia="DengXian"/>
          <w:lang w:eastAsia="zh-CN"/>
        </w:rPr>
        <w:t>i</w:t>
      </w:r>
      <w:proofErr w:type="spellEnd"/>
      <w:r w:rsidRPr="005109FD">
        <w:rPr>
          <w:rFonts w:eastAsia="DengXian"/>
          <w:lang w:eastAsia="zh-CN"/>
        </w:rPr>
        <w:t>)</w:t>
      </w:r>
      <w:r w:rsidRPr="005109FD">
        <w:rPr>
          <w:rFonts w:eastAsia="DengXian"/>
          <w:lang w:eastAsia="zh-CN"/>
        </w:rPr>
        <w:tab/>
      </w:r>
      <w:r w:rsidR="00590A94" w:rsidRPr="005109FD">
        <w:rPr>
          <w:rFonts w:eastAsia="DengXian"/>
          <w:lang w:eastAsia="zh-CN"/>
        </w:rPr>
        <w:t>Status of the Agreement</w:t>
      </w:r>
      <w:r w:rsidR="005A56BC" w:rsidRPr="005109FD">
        <w:rPr>
          <w:rFonts w:eastAsia="DengXian"/>
          <w:lang w:eastAsia="zh-CN"/>
        </w:rPr>
        <w:t>;</w:t>
      </w:r>
    </w:p>
    <w:p w14:paraId="6097EC4E" w14:textId="77777777" w:rsidR="00590A94" w:rsidRPr="005109FD" w:rsidRDefault="00BC70F5" w:rsidP="00BC70F5">
      <w:pPr>
        <w:pStyle w:val="SingleTxtG"/>
        <w:ind w:firstLine="567"/>
        <w:rPr>
          <w:rFonts w:eastAsia="DengXian"/>
          <w:lang w:eastAsia="zh-CN"/>
        </w:rPr>
      </w:pPr>
      <w:r w:rsidRPr="005109FD">
        <w:rPr>
          <w:rFonts w:eastAsia="DengXian"/>
          <w:lang w:eastAsia="zh-CN"/>
        </w:rPr>
        <w:t>(ii)</w:t>
      </w:r>
      <w:r w:rsidRPr="006B270F">
        <w:rPr>
          <w:rFonts w:eastAsia="DengXian"/>
          <w:lang w:eastAsia="zh-CN"/>
        </w:rPr>
        <w:tab/>
      </w:r>
      <w:r w:rsidR="00BE14E5" w:rsidRPr="006B270F">
        <w:rPr>
          <w:rFonts w:eastAsia="DengXian"/>
          <w:lang w:eastAsia="zh-CN"/>
        </w:rPr>
        <w:t>Amend</w:t>
      </w:r>
      <w:r w:rsidR="00BE14E5">
        <w:rPr>
          <w:rFonts w:eastAsia="DengXian"/>
          <w:lang w:eastAsia="zh-CN"/>
        </w:rPr>
        <w:t>m</w:t>
      </w:r>
      <w:r w:rsidR="00BE14E5" w:rsidRPr="006B270F">
        <w:rPr>
          <w:rFonts w:eastAsia="DengXian"/>
          <w:lang w:eastAsia="zh-CN"/>
        </w:rPr>
        <w:t>ents</w:t>
      </w:r>
      <w:r w:rsidR="00590A94" w:rsidRPr="005109FD">
        <w:rPr>
          <w:rFonts w:eastAsia="DengXian"/>
          <w:lang w:eastAsia="zh-CN"/>
        </w:rPr>
        <w:t xml:space="preserve"> to the Agreement</w:t>
      </w:r>
      <w:r w:rsidR="007609EF" w:rsidRPr="005109FD">
        <w:rPr>
          <w:rFonts w:eastAsia="DengXian"/>
          <w:lang w:eastAsia="zh-CN"/>
        </w:rPr>
        <w:t>.</w:t>
      </w:r>
    </w:p>
    <w:p w14:paraId="3F515A42" w14:textId="77777777" w:rsidR="00884BB9" w:rsidRDefault="00884BB9" w:rsidP="00884BB9">
      <w:r w:rsidRPr="005109FD">
        <w:rPr>
          <w:rFonts w:eastAsia="DengXian"/>
          <w:lang w:eastAsia="zh-CN"/>
        </w:rPr>
        <w:tab/>
      </w:r>
      <w:r w:rsidRPr="005109FD">
        <w:rPr>
          <w:rFonts w:eastAsia="DengXian"/>
          <w:lang w:eastAsia="zh-CN"/>
        </w:rPr>
        <w:tab/>
      </w:r>
      <w:r w:rsidRPr="005109FD">
        <w:rPr>
          <w:rFonts w:eastAsia="DengXian"/>
          <w:lang w:eastAsia="zh-CN"/>
        </w:rPr>
        <w:tab/>
      </w:r>
      <w:r w:rsidR="00FB46DD" w:rsidRPr="005109FD">
        <w:rPr>
          <w:rFonts w:eastAsia="DengXian"/>
          <w:lang w:eastAsia="zh-CN"/>
        </w:rPr>
        <w:t>(c)</w:t>
      </w:r>
      <w:r w:rsidR="00FB46DD" w:rsidRPr="005109FD">
        <w:rPr>
          <w:rFonts w:eastAsia="DengXian"/>
          <w:lang w:eastAsia="zh-CN"/>
        </w:rPr>
        <w:tab/>
      </w:r>
      <w:r w:rsidRPr="00AE774E">
        <w:t>Convention on the Contract for the International Carriage of Goods by Road (CMR)</w:t>
      </w:r>
      <w:r>
        <w:t>,</w:t>
      </w:r>
    </w:p>
    <w:p w14:paraId="2F005B5D" w14:textId="77777777" w:rsidR="00590A94" w:rsidRPr="00884BB9" w:rsidRDefault="00884BB9" w:rsidP="00884BB9">
      <w:pPr>
        <w:ind w:left="1134" w:hanging="1134"/>
      </w:pPr>
      <w:r>
        <w:tab/>
      </w:r>
      <w:r>
        <w:tab/>
      </w:r>
      <w:r w:rsidR="00590A94" w:rsidRPr="005109FD">
        <w:rPr>
          <w:rFonts w:eastAsia="DengXian"/>
          <w:lang w:eastAsia="zh-CN"/>
        </w:rPr>
        <w:t>Protocol and e-CMR</w:t>
      </w:r>
      <w:r w:rsidR="005A56BC" w:rsidRPr="005109FD">
        <w:rPr>
          <w:rFonts w:eastAsia="DengXian"/>
          <w:lang w:eastAsia="zh-CN"/>
        </w:rPr>
        <w:t>:</w:t>
      </w:r>
    </w:p>
    <w:p w14:paraId="3BBDB9E7" w14:textId="77777777" w:rsidR="00590A94" w:rsidRPr="005109FD" w:rsidRDefault="00FB46DD" w:rsidP="00FB46DD">
      <w:pPr>
        <w:pStyle w:val="SingleTxtG"/>
        <w:ind w:firstLine="567"/>
        <w:rPr>
          <w:rFonts w:eastAsia="DengXian"/>
          <w:lang w:eastAsia="zh-CN"/>
        </w:rPr>
      </w:pPr>
      <w:r w:rsidRPr="005109FD">
        <w:rPr>
          <w:rFonts w:eastAsia="DengXian"/>
          <w:lang w:eastAsia="zh-CN"/>
        </w:rPr>
        <w:t>(</w:t>
      </w:r>
      <w:proofErr w:type="spellStart"/>
      <w:r w:rsidRPr="005109FD">
        <w:rPr>
          <w:rFonts w:eastAsia="DengXian"/>
          <w:lang w:eastAsia="zh-CN"/>
        </w:rPr>
        <w:t>i</w:t>
      </w:r>
      <w:proofErr w:type="spellEnd"/>
      <w:r w:rsidRPr="005109FD">
        <w:rPr>
          <w:rFonts w:eastAsia="DengXian"/>
          <w:lang w:eastAsia="zh-CN"/>
        </w:rPr>
        <w:t>)</w:t>
      </w:r>
      <w:r w:rsidRPr="005109FD">
        <w:rPr>
          <w:rFonts w:eastAsia="DengXian"/>
          <w:lang w:eastAsia="zh-CN"/>
        </w:rPr>
        <w:tab/>
      </w:r>
      <w:r w:rsidR="00590A94" w:rsidRPr="005109FD">
        <w:rPr>
          <w:rFonts w:eastAsia="DengXian"/>
          <w:lang w:eastAsia="zh-CN"/>
        </w:rPr>
        <w:t>Status of the Convention</w:t>
      </w:r>
      <w:r w:rsidR="005A56BC" w:rsidRPr="005109FD">
        <w:rPr>
          <w:rFonts w:eastAsia="DengXian"/>
          <w:lang w:eastAsia="zh-CN"/>
        </w:rPr>
        <w:t>;</w:t>
      </w:r>
    </w:p>
    <w:p w14:paraId="7891B8D1" w14:textId="77777777" w:rsidR="00590A94" w:rsidRPr="005109FD" w:rsidRDefault="00FB46DD" w:rsidP="00FB46DD">
      <w:pPr>
        <w:pStyle w:val="SingleTxtG"/>
        <w:ind w:firstLine="567"/>
        <w:rPr>
          <w:rFonts w:eastAsia="DengXian"/>
          <w:lang w:eastAsia="zh-CN"/>
        </w:rPr>
      </w:pPr>
      <w:r w:rsidRPr="005109FD">
        <w:rPr>
          <w:rFonts w:eastAsia="DengXian"/>
          <w:lang w:eastAsia="zh-CN"/>
        </w:rPr>
        <w:t>(ii)</w:t>
      </w:r>
      <w:r w:rsidRPr="005109FD">
        <w:rPr>
          <w:rFonts w:eastAsia="DengXian"/>
          <w:lang w:eastAsia="zh-CN"/>
        </w:rPr>
        <w:tab/>
      </w:r>
      <w:r w:rsidR="00590A94" w:rsidRPr="005109FD">
        <w:rPr>
          <w:rFonts w:eastAsia="DengXian"/>
          <w:lang w:eastAsia="zh-CN"/>
        </w:rPr>
        <w:t>Protocol to the Convention</w:t>
      </w:r>
      <w:r w:rsidR="007609EF" w:rsidRPr="005109FD">
        <w:rPr>
          <w:rFonts w:eastAsia="DengXian"/>
          <w:lang w:eastAsia="zh-CN"/>
        </w:rPr>
        <w:t>.</w:t>
      </w:r>
    </w:p>
    <w:p w14:paraId="096C2B55" w14:textId="77777777" w:rsidR="00590A94" w:rsidRPr="007333CC" w:rsidRDefault="00FB46DD" w:rsidP="00FB46DD">
      <w:pPr>
        <w:pStyle w:val="SingleTxtG"/>
        <w:ind w:left="1701"/>
        <w:rPr>
          <w:rFonts w:eastAsia="DengXian"/>
          <w:lang w:eastAsia="zh-CN"/>
        </w:rPr>
      </w:pPr>
      <w:r>
        <w:rPr>
          <w:rFonts w:eastAsia="DengXian"/>
          <w:lang w:eastAsia="zh-CN"/>
        </w:rPr>
        <w:t>(iii)</w:t>
      </w:r>
      <w:r>
        <w:rPr>
          <w:rFonts w:eastAsia="DengXian"/>
          <w:lang w:eastAsia="zh-CN"/>
        </w:rPr>
        <w:tab/>
      </w:r>
      <w:r w:rsidR="00590A94" w:rsidRPr="007333CC">
        <w:rPr>
          <w:rFonts w:eastAsia="DengXian"/>
          <w:lang w:eastAsia="zh-CN"/>
        </w:rPr>
        <w:t>Additional Protocol to the Convention concerning the Electronic Consignment Note</w:t>
      </w:r>
      <w:r w:rsidR="007609EF">
        <w:rPr>
          <w:rFonts w:eastAsia="DengXian"/>
          <w:lang w:eastAsia="zh-CN"/>
        </w:rPr>
        <w:t>.</w:t>
      </w:r>
    </w:p>
    <w:p w14:paraId="15C703AB" w14:textId="77777777" w:rsidR="00884BB9" w:rsidRPr="005109FD" w:rsidRDefault="00FB46DD" w:rsidP="00884BB9">
      <w:pPr>
        <w:pStyle w:val="SingleTxtG"/>
        <w:ind w:firstLine="567"/>
        <w:rPr>
          <w:rFonts w:eastAsia="DengXian"/>
          <w:lang w:eastAsia="zh-CN"/>
        </w:rPr>
      </w:pPr>
      <w:r w:rsidRPr="005109FD">
        <w:rPr>
          <w:rFonts w:eastAsia="DengXian"/>
          <w:lang w:eastAsia="zh-CN"/>
        </w:rPr>
        <w:t>(d)</w:t>
      </w:r>
      <w:r w:rsidRPr="005109FD">
        <w:rPr>
          <w:rFonts w:eastAsia="DengXian"/>
          <w:lang w:eastAsia="zh-CN"/>
        </w:rPr>
        <w:tab/>
      </w:r>
      <w:r w:rsidR="00590A94" w:rsidRPr="005109FD">
        <w:rPr>
          <w:rFonts w:eastAsia="DengXian"/>
          <w:lang w:eastAsia="zh-CN"/>
        </w:rPr>
        <w:t>New legal instrument</w:t>
      </w:r>
      <w:r w:rsidR="00724F8A" w:rsidRPr="005109FD">
        <w:rPr>
          <w:rFonts w:eastAsia="DengXian"/>
          <w:lang w:eastAsia="zh-CN"/>
        </w:rPr>
        <w:t>(</w:t>
      </w:r>
      <w:r w:rsidR="00590A94" w:rsidRPr="005109FD">
        <w:rPr>
          <w:rFonts w:eastAsia="DengXian"/>
          <w:lang w:eastAsia="zh-CN"/>
        </w:rPr>
        <w:t>s</w:t>
      </w:r>
      <w:r w:rsidR="00724F8A" w:rsidRPr="005109FD">
        <w:rPr>
          <w:rFonts w:eastAsia="DengXian"/>
          <w:lang w:eastAsia="zh-CN"/>
        </w:rPr>
        <w:t>)</w:t>
      </w:r>
      <w:r w:rsidR="007609EF" w:rsidRPr="005109FD">
        <w:rPr>
          <w:rFonts w:eastAsia="DengXian"/>
          <w:lang w:eastAsia="zh-CN"/>
        </w:rPr>
        <w:t>:</w:t>
      </w:r>
    </w:p>
    <w:p w14:paraId="0EE47BE9" w14:textId="77777777" w:rsidR="00590A94" w:rsidRPr="005109FD" w:rsidRDefault="00884BB9" w:rsidP="00884BB9">
      <w:pPr>
        <w:pStyle w:val="SingleTxtG"/>
        <w:ind w:left="1701"/>
        <w:rPr>
          <w:rFonts w:eastAsia="DengXian"/>
          <w:lang w:eastAsia="zh-CN"/>
        </w:rPr>
      </w:pPr>
      <w:r>
        <w:rPr>
          <w:rFonts w:eastAsia="DengXian"/>
          <w:lang w:eastAsia="zh-CN"/>
        </w:rPr>
        <w:t>(</w:t>
      </w:r>
      <w:proofErr w:type="spellStart"/>
      <w:r>
        <w:rPr>
          <w:rFonts w:eastAsia="DengXian"/>
          <w:lang w:eastAsia="zh-CN"/>
        </w:rPr>
        <w:t>i</w:t>
      </w:r>
      <w:proofErr w:type="spellEnd"/>
      <w:r>
        <w:rPr>
          <w:rFonts w:eastAsia="DengXian"/>
          <w:lang w:eastAsia="zh-CN"/>
        </w:rPr>
        <w:t>)</w:t>
      </w:r>
      <w:r>
        <w:rPr>
          <w:rFonts w:eastAsia="DengXian"/>
          <w:lang w:eastAsia="zh-CN"/>
        </w:rPr>
        <w:tab/>
      </w:r>
      <w:r w:rsidR="00590A94" w:rsidRPr="007333CC">
        <w:rPr>
          <w:rFonts w:eastAsia="DengXian"/>
          <w:lang w:eastAsia="zh-CN"/>
        </w:rPr>
        <w:t>Proposal for a global multilateral agreement on the international regular transport of passengers by coach and bus (</w:t>
      </w:r>
      <w:proofErr w:type="spellStart"/>
      <w:r w:rsidR="00590A94" w:rsidRPr="007333CC">
        <w:rPr>
          <w:rFonts w:eastAsia="DengXian"/>
          <w:lang w:eastAsia="zh-CN"/>
        </w:rPr>
        <w:t>OmniBUS</w:t>
      </w:r>
      <w:proofErr w:type="spellEnd"/>
      <w:r w:rsidR="00590A94" w:rsidRPr="007333CC">
        <w:rPr>
          <w:rFonts w:eastAsia="DengXian"/>
          <w:lang w:eastAsia="zh-CN"/>
        </w:rPr>
        <w:t>)</w:t>
      </w:r>
      <w:r w:rsidR="007609EF">
        <w:rPr>
          <w:rFonts w:eastAsia="DengXian"/>
          <w:lang w:eastAsia="zh-CN"/>
        </w:rPr>
        <w:t>.</w:t>
      </w:r>
    </w:p>
    <w:p w14:paraId="6E724361" w14:textId="77777777" w:rsidR="004B197C" w:rsidRDefault="00FB46DD" w:rsidP="004B197C">
      <w:pPr>
        <w:pStyle w:val="SingleTxtG"/>
        <w:spacing w:after="0"/>
        <w:rPr>
          <w:rFonts w:eastAsia="DengXian"/>
        </w:rPr>
      </w:pPr>
      <w:r>
        <w:rPr>
          <w:rFonts w:eastAsia="DengXian"/>
        </w:rPr>
        <w:tab/>
      </w:r>
      <w:r>
        <w:rPr>
          <w:rFonts w:eastAsia="DengXian"/>
        </w:rPr>
        <w:tab/>
      </w:r>
      <w:r w:rsidRPr="00FB46DD">
        <w:rPr>
          <w:rFonts w:eastAsia="DengXian"/>
        </w:rPr>
        <w:t>(e)</w:t>
      </w:r>
      <w:r w:rsidRPr="00FB46DD">
        <w:rPr>
          <w:rFonts w:eastAsia="DengXian"/>
        </w:rPr>
        <w:tab/>
      </w:r>
      <w:r w:rsidR="00590A94" w:rsidRPr="00FB46DD">
        <w:rPr>
          <w:rFonts w:eastAsia="DengXian"/>
        </w:rPr>
        <w:t>Consolidated Resolution on the Facilitation of International Road Transport (RE.4)</w:t>
      </w:r>
      <w:r w:rsidR="005A56BC">
        <w:rPr>
          <w:rFonts w:eastAsia="DengXian"/>
        </w:rPr>
        <w:t>:</w:t>
      </w:r>
    </w:p>
    <w:p w14:paraId="308FC0BF" w14:textId="77777777" w:rsidR="00590A94" w:rsidRPr="007333CC" w:rsidRDefault="004B197C" w:rsidP="004B197C">
      <w:pPr>
        <w:pStyle w:val="SingleTxtG"/>
        <w:rPr>
          <w:rFonts w:eastAsia="DengXian"/>
        </w:rPr>
      </w:pPr>
      <w:r>
        <w:rPr>
          <w:rFonts w:eastAsia="DengXian"/>
        </w:rPr>
        <w:tab/>
      </w:r>
      <w:r>
        <w:rPr>
          <w:rFonts w:eastAsia="DengXian"/>
        </w:rPr>
        <w:tab/>
      </w:r>
      <w:r w:rsidR="00884BB9">
        <w:rPr>
          <w:rFonts w:eastAsia="DengXian"/>
        </w:rPr>
        <w:t>(</w:t>
      </w:r>
      <w:proofErr w:type="spellStart"/>
      <w:r w:rsidR="00884BB9">
        <w:rPr>
          <w:rFonts w:eastAsia="DengXian"/>
        </w:rPr>
        <w:t>i</w:t>
      </w:r>
      <w:proofErr w:type="spellEnd"/>
      <w:r w:rsidR="00884BB9">
        <w:rPr>
          <w:rFonts w:eastAsia="DengXian"/>
        </w:rPr>
        <w:t>)</w:t>
      </w:r>
      <w:r w:rsidR="00884BB9">
        <w:rPr>
          <w:rFonts w:eastAsia="DengXian"/>
        </w:rPr>
        <w:tab/>
      </w:r>
      <w:r w:rsidR="00590A94" w:rsidRPr="007333CC">
        <w:rPr>
          <w:rFonts w:eastAsia="DengXian"/>
          <w:lang w:eastAsia="zh-CN"/>
        </w:rPr>
        <w:t>Relationship between the origin of goods and transport operations</w:t>
      </w:r>
      <w:r w:rsidR="001E7324">
        <w:rPr>
          <w:rFonts w:eastAsia="DengXian"/>
          <w:lang w:eastAsia="zh-CN"/>
        </w:rPr>
        <w:t>.</w:t>
      </w:r>
    </w:p>
    <w:p w14:paraId="15E2376E" w14:textId="77777777" w:rsidR="00590A94" w:rsidRPr="007333CC" w:rsidRDefault="00FB46DD" w:rsidP="004B197C">
      <w:pPr>
        <w:pStyle w:val="SingleTxtG"/>
        <w:rPr>
          <w:rFonts w:eastAsia="DengXian"/>
          <w:lang w:eastAsia="zh-CN"/>
        </w:rPr>
      </w:pPr>
      <w:r>
        <w:rPr>
          <w:rFonts w:eastAsia="DengXian"/>
          <w:lang w:eastAsia="zh-CN"/>
        </w:rPr>
        <w:t>3.</w:t>
      </w:r>
      <w:r>
        <w:rPr>
          <w:rFonts w:eastAsia="DengXian"/>
          <w:lang w:eastAsia="zh-CN"/>
        </w:rPr>
        <w:tab/>
      </w:r>
      <w:r w:rsidR="00590A94" w:rsidRPr="007333CC">
        <w:rPr>
          <w:rFonts w:eastAsia="DengXian"/>
          <w:lang w:eastAsia="zh-CN"/>
        </w:rPr>
        <w:t>Supporting New Technologies and Innovations in Inland Transport</w:t>
      </w:r>
      <w:r w:rsidR="005A56BC">
        <w:rPr>
          <w:rFonts w:eastAsia="DengXian"/>
          <w:lang w:eastAsia="zh-CN"/>
        </w:rPr>
        <w:t>:</w:t>
      </w:r>
    </w:p>
    <w:p w14:paraId="22753AD9" w14:textId="77777777" w:rsidR="00590A94" w:rsidRPr="007333CC" w:rsidRDefault="00FB46DD" w:rsidP="00FB46DD">
      <w:pPr>
        <w:pStyle w:val="SingleTxtG"/>
        <w:rPr>
          <w:rFonts w:eastAsia="DengXian"/>
          <w:lang w:eastAsia="zh-CN"/>
        </w:rPr>
      </w:pPr>
      <w:r>
        <w:rPr>
          <w:rFonts w:eastAsia="DengXian"/>
          <w:lang w:eastAsia="zh-CN"/>
        </w:rPr>
        <w:tab/>
      </w:r>
      <w:r>
        <w:rPr>
          <w:rFonts w:eastAsia="DengXian"/>
          <w:lang w:eastAsia="zh-CN"/>
        </w:rPr>
        <w:tab/>
      </w:r>
      <w:r w:rsidR="00CD07F9">
        <w:rPr>
          <w:rFonts w:eastAsia="DengXian"/>
          <w:lang w:eastAsia="zh-CN"/>
        </w:rPr>
        <w:t>(a)</w:t>
      </w:r>
      <w:r w:rsidR="00CD07F9">
        <w:rPr>
          <w:rFonts w:eastAsia="DengXian"/>
          <w:lang w:eastAsia="zh-CN"/>
        </w:rPr>
        <w:tab/>
      </w:r>
      <w:r w:rsidR="00590A94" w:rsidRPr="007333CC">
        <w:rPr>
          <w:rFonts w:eastAsia="DengXian"/>
          <w:lang w:eastAsia="zh-CN"/>
        </w:rPr>
        <w:t>Digital/smart road infrastructure</w:t>
      </w:r>
      <w:r w:rsidR="005A56BC">
        <w:rPr>
          <w:rFonts w:eastAsia="DengXian"/>
          <w:lang w:eastAsia="zh-CN"/>
        </w:rPr>
        <w:t>.</w:t>
      </w:r>
    </w:p>
    <w:p w14:paraId="065F600A" w14:textId="77777777" w:rsidR="00590A94" w:rsidRPr="007333CC" w:rsidRDefault="00FB46DD" w:rsidP="00FB46DD">
      <w:pPr>
        <w:pStyle w:val="SingleTxtG"/>
        <w:rPr>
          <w:rFonts w:eastAsia="DengXian"/>
          <w:lang w:eastAsia="zh-CN"/>
        </w:rPr>
      </w:pPr>
      <w:r>
        <w:rPr>
          <w:rFonts w:eastAsia="DengXian"/>
          <w:lang w:eastAsia="zh-CN"/>
        </w:rPr>
        <w:t>4.</w:t>
      </w:r>
      <w:r>
        <w:rPr>
          <w:rFonts w:eastAsia="DengXian"/>
          <w:lang w:eastAsia="zh-CN"/>
        </w:rPr>
        <w:tab/>
      </w:r>
      <w:r w:rsidR="00590A94" w:rsidRPr="007333CC">
        <w:rPr>
          <w:rFonts w:eastAsia="DengXian"/>
          <w:lang w:eastAsia="zh-CN"/>
        </w:rPr>
        <w:t>Regional, Interregional and Global Inland Transport Policy Dialogues</w:t>
      </w:r>
      <w:r w:rsidR="005A56BC">
        <w:rPr>
          <w:rFonts w:eastAsia="DengXian"/>
          <w:lang w:eastAsia="zh-CN"/>
        </w:rPr>
        <w:t>:</w:t>
      </w:r>
    </w:p>
    <w:p w14:paraId="13F424DF" w14:textId="77777777" w:rsidR="00590A94" w:rsidRPr="007333CC" w:rsidRDefault="00FB46DD" w:rsidP="00FB46DD">
      <w:pPr>
        <w:pStyle w:val="SingleTxtG"/>
        <w:rPr>
          <w:rFonts w:eastAsia="DengXian"/>
          <w:lang w:eastAsia="zh-CN"/>
        </w:rPr>
      </w:pPr>
      <w:r>
        <w:rPr>
          <w:rFonts w:eastAsia="DengXian"/>
          <w:lang w:eastAsia="zh-CN"/>
        </w:rPr>
        <w:tab/>
      </w:r>
      <w:r>
        <w:rPr>
          <w:rFonts w:eastAsia="DengXian"/>
          <w:lang w:eastAsia="zh-CN"/>
        </w:rPr>
        <w:tab/>
      </w:r>
      <w:r w:rsidR="00CD07F9">
        <w:rPr>
          <w:rFonts w:eastAsia="DengXian"/>
          <w:lang w:eastAsia="zh-CN"/>
        </w:rPr>
        <w:t>(a)</w:t>
      </w:r>
      <w:r w:rsidR="00CD07F9">
        <w:rPr>
          <w:rFonts w:eastAsia="DengXian"/>
          <w:lang w:eastAsia="zh-CN"/>
        </w:rPr>
        <w:tab/>
      </w:r>
      <w:r w:rsidR="00590A94" w:rsidRPr="007333CC">
        <w:rPr>
          <w:rFonts w:eastAsia="DengXian"/>
          <w:lang w:eastAsia="zh-CN"/>
        </w:rPr>
        <w:t>Quantitative restrictions imposed on international road transport of goods</w:t>
      </w:r>
      <w:r w:rsidR="005A56BC">
        <w:rPr>
          <w:rFonts w:eastAsia="DengXian"/>
          <w:lang w:eastAsia="zh-CN"/>
        </w:rPr>
        <w:t>.</w:t>
      </w:r>
    </w:p>
    <w:p w14:paraId="18372C32" w14:textId="77777777" w:rsidR="00590A94" w:rsidRPr="007333CC" w:rsidRDefault="00FB46DD" w:rsidP="00FB46DD">
      <w:pPr>
        <w:pStyle w:val="SingleTxtG"/>
        <w:rPr>
          <w:rFonts w:eastAsia="DengXian"/>
          <w:lang w:eastAsia="zh-CN"/>
        </w:rPr>
      </w:pPr>
      <w:r>
        <w:rPr>
          <w:rFonts w:eastAsia="DengXian"/>
          <w:lang w:eastAsia="zh-CN"/>
        </w:rPr>
        <w:t>5.</w:t>
      </w:r>
      <w:r>
        <w:rPr>
          <w:rFonts w:eastAsia="DengXian"/>
          <w:lang w:eastAsia="zh-CN"/>
        </w:rPr>
        <w:tab/>
      </w:r>
      <w:r w:rsidR="00590A94" w:rsidRPr="007333CC">
        <w:rPr>
          <w:rFonts w:eastAsia="DengXian"/>
          <w:lang w:eastAsia="zh-CN"/>
        </w:rPr>
        <w:t>Promoting Sustainable Regional and Interregional Inland Transport Connectivity and Mobility</w:t>
      </w:r>
      <w:r w:rsidR="005A56BC">
        <w:rPr>
          <w:rFonts w:eastAsia="DengXian"/>
          <w:lang w:eastAsia="zh-CN"/>
        </w:rPr>
        <w:t>:</w:t>
      </w:r>
    </w:p>
    <w:p w14:paraId="17A741F3" w14:textId="77777777" w:rsidR="00590A94" w:rsidRPr="007333CC" w:rsidRDefault="00FB46DD" w:rsidP="00FB46DD">
      <w:pPr>
        <w:pStyle w:val="SingleTxtG"/>
        <w:rPr>
          <w:rFonts w:eastAsia="DengXian"/>
          <w:lang w:eastAsia="zh-CN"/>
        </w:rPr>
      </w:pPr>
      <w:r>
        <w:rPr>
          <w:rFonts w:eastAsia="DengXian"/>
          <w:lang w:eastAsia="zh-CN"/>
        </w:rPr>
        <w:tab/>
      </w:r>
      <w:r>
        <w:rPr>
          <w:rFonts w:eastAsia="DengXian"/>
          <w:lang w:eastAsia="zh-CN"/>
        </w:rPr>
        <w:tab/>
      </w:r>
      <w:r w:rsidR="00176335">
        <w:rPr>
          <w:rFonts w:eastAsia="DengXian"/>
          <w:lang w:eastAsia="zh-CN"/>
        </w:rPr>
        <w:t>(a)</w:t>
      </w:r>
      <w:r w:rsidR="00176335">
        <w:rPr>
          <w:rFonts w:eastAsia="DengXian"/>
          <w:lang w:eastAsia="zh-CN"/>
        </w:rPr>
        <w:tab/>
      </w:r>
      <w:r w:rsidR="00590A94" w:rsidRPr="007333CC">
        <w:rPr>
          <w:rFonts w:eastAsia="DengXian"/>
          <w:lang w:eastAsia="zh-CN"/>
        </w:rPr>
        <w:t>Safe and sustainable road infrastructure</w:t>
      </w:r>
      <w:r w:rsidR="005A56BC">
        <w:rPr>
          <w:rFonts w:eastAsia="DengXian"/>
          <w:lang w:eastAsia="zh-CN"/>
        </w:rPr>
        <w:t>:</w:t>
      </w:r>
    </w:p>
    <w:p w14:paraId="0699BB35" w14:textId="77777777" w:rsidR="00590A94" w:rsidRPr="007333CC" w:rsidRDefault="00176335" w:rsidP="00176335">
      <w:pPr>
        <w:pStyle w:val="SingleTxtG"/>
        <w:rPr>
          <w:rFonts w:eastAsia="DengXian"/>
          <w:lang w:eastAsia="zh-CN"/>
        </w:rPr>
      </w:pPr>
      <w:r>
        <w:rPr>
          <w:rFonts w:eastAsia="DengXian"/>
          <w:lang w:eastAsia="zh-CN"/>
        </w:rPr>
        <w:tab/>
      </w:r>
      <w:r>
        <w:rPr>
          <w:rFonts w:eastAsia="DengXian"/>
          <w:lang w:eastAsia="zh-CN"/>
        </w:rPr>
        <w:tab/>
        <w:t>(</w:t>
      </w:r>
      <w:proofErr w:type="spellStart"/>
      <w:r>
        <w:rPr>
          <w:rFonts w:eastAsia="DengXian"/>
          <w:lang w:eastAsia="zh-CN"/>
        </w:rPr>
        <w:t>i</w:t>
      </w:r>
      <w:proofErr w:type="spellEnd"/>
      <w:r>
        <w:rPr>
          <w:rFonts w:eastAsia="DengXian"/>
          <w:lang w:eastAsia="zh-CN"/>
        </w:rPr>
        <w:t>)</w:t>
      </w:r>
      <w:r>
        <w:rPr>
          <w:rFonts w:eastAsia="DengXian"/>
          <w:lang w:eastAsia="zh-CN"/>
        </w:rPr>
        <w:tab/>
      </w:r>
      <w:r w:rsidR="00590A94" w:rsidRPr="007333CC">
        <w:rPr>
          <w:rFonts w:eastAsia="DengXian"/>
          <w:lang w:eastAsia="zh-CN"/>
        </w:rPr>
        <w:t>Road safety inspections and audits</w:t>
      </w:r>
      <w:r w:rsidR="005A56BC">
        <w:rPr>
          <w:rFonts w:eastAsia="DengXian"/>
          <w:lang w:eastAsia="zh-CN"/>
        </w:rPr>
        <w:t>;</w:t>
      </w:r>
    </w:p>
    <w:p w14:paraId="52AF8F02" w14:textId="77777777" w:rsidR="00590A94" w:rsidRPr="007333CC" w:rsidRDefault="00176335" w:rsidP="00176335">
      <w:pPr>
        <w:pStyle w:val="SingleTxtG"/>
        <w:rPr>
          <w:rFonts w:eastAsia="DengXian"/>
          <w:lang w:eastAsia="zh-CN"/>
        </w:rPr>
      </w:pPr>
      <w:r>
        <w:rPr>
          <w:rFonts w:eastAsia="DengXian"/>
          <w:lang w:eastAsia="zh-CN"/>
        </w:rPr>
        <w:tab/>
      </w:r>
      <w:r>
        <w:rPr>
          <w:rFonts w:eastAsia="DengXian"/>
          <w:lang w:eastAsia="zh-CN"/>
        </w:rPr>
        <w:tab/>
        <w:t>(ii)</w:t>
      </w:r>
      <w:r>
        <w:rPr>
          <w:rFonts w:eastAsia="DengXian"/>
          <w:lang w:eastAsia="zh-CN"/>
        </w:rPr>
        <w:tab/>
      </w:r>
      <w:r w:rsidR="00590A94" w:rsidRPr="007333CC">
        <w:rPr>
          <w:rFonts w:eastAsia="DengXian"/>
          <w:lang w:eastAsia="zh-CN"/>
        </w:rPr>
        <w:t xml:space="preserve">Climate </w:t>
      </w:r>
      <w:r w:rsidR="00D709E6">
        <w:rPr>
          <w:rFonts w:eastAsia="DengXian"/>
          <w:lang w:eastAsia="zh-CN"/>
        </w:rPr>
        <w:t>C</w:t>
      </w:r>
      <w:r w:rsidR="00590A94" w:rsidRPr="007333CC">
        <w:rPr>
          <w:rFonts w:eastAsia="DengXian"/>
          <w:lang w:eastAsia="zh-CN"/>
        </w:rPr>
        <w:t xml:space="preserve">hange </w:t>
      </w:r>
      <w:r w:rsidR="00D709E6">
        <w:rPr>
          <w:rFonts w:eastAsia="DengXian"/>
          <w:lang w:eastAsia="zh-CN"/>
        </w:rPr>
        <w:t>I</w:t>
      </w:r>
      <w:r w:rsidR="00590A94" w:rsidRPr="007333CC">
        <w:rPr>
          <w:rFonts w:eastAsia="DengXian"/>
          <w:lang w:eastAsia="zh-CN"/>
        </w:rPr>
        <w:t xml:space="preserve">mpacts and </w:t>
      </w:r>
      <w:r w:rsidR="00D709E6">
        <w:rPr>
          <w:rFonts w:eastAsia="DengXian"/>
          <w:lang w:eastAsia="zh-CN"/>
        </w:rPr>
        <w:t>A</w:t>
      </w:r>
      <w:r w:rsidR="00590A94" w:rsidRPr="007333CC">
        <w:rPr>
          <w:rFonts w:eastAsia="DengXian"/>
          <w:lang w:eastAsia="zh-CN"/>
        </w:rPr>
        <w:t xml:space="preserve">daptation for </w:t>
      </w:r>
      <w:r w:rsidR="00D709E6">
        <w:rPr>
          <w:rFonts w:eastAsia="DengXian"/>
          <w:lang w:eastAsia="zh-CN"/>
        </w:rPr>
        <w:t>T</w:t>
      </w:r>
      <w:r w:rsidR="00590A94" w:rsidRPr="007333CC">
        <w:rPr>
          <w:rFonts w:eastAsia="DengXian"/>
          <w:lang w:eastAsia="zh-CN"/>
        </w:rPr>
        <w:t xml:space="preserve">ransport </w:t>
      </w:r>
      <w:r w:rsidR="00D709E6">
        <w:rPr>
          <w:rFonts w:eastAsia="DengXian"/>
          <w:lang w:eastAsia="zh-CN"/>
        </w:rPr>
        <w:t>N</w:t>
      </w:r>
      <w:r w:rsidR="00590A94" w:rsidRPr="007333CC">
        <w:rPr>
          <w:rFonts w:eastAsia="DengXian"/>
          <w:lang w:eastAsia="zh-CN"/>
        </w:rPr>
        <w:t xml:space="preserve">etworks and </w:t>
      </w:r>
      <w:r w:rsidR="001B4A77">
        <w:rPr>
          <w:rFonts w:eastAsia="DengXian"/>
          <w:lang w:eastAsia="zh-CN"/>
        </w:rPr>
        <w:t>N</w:t>
      </w:r>
      <w:r w:rsidR="00590A94" w:rsidRPr="007333CC">
        <w:rPr>
          <w:rFonts w:eastAsia="DengXian"/>
          <w:lang w:eastAsia="zh-CN"/>
        </w:rPr>
        <w:t>odes</w:t>
      </w:r>
      <w:r w:rsidR="005A56BC">
        <w:rPr>
          <w:rFonts w:eastAsia="DengXian"/>
          <w:lang w:eastAsia="zh-CN"/>
        </w:rPr>
        <w:t>;</w:t>
      </w:r>
    </w:p>
    <w:p w14:paraId="340E26C1" w14:textId="77777777" w:rsidR="00590A94" w:rsidRPr="007333CC" w:rsidRDefault="00176335" w:rsidP="00176335">
      <w:pPr>
        <w:pStyle w:val="SingleTxtG"/>
        <w:rPr>
          <w:rFonts w:eastAsia="DengXian"/>
          <w:lang w:eastAsia="zh-CN"/>
        </w:rPr>
      </w:pPr>
      <w:r>
        <w:rPr>
          <w:rFonts w:eastAsia="DengXian"/>
          <w:lang w:eastAsia="zh-CN"/>
        </w:rPr>
        <w:tab/>
      </w:r>
      <w:r>
        <w:rPr>
          <w:rFonts w:eastAsia="DengXian"/>
          <w:lang w:eastAsia="zh-CN"/>
        </w:rPr>
        <w:tab/>
        <w:t>(iii)</w:t>
      </w:r>
      <w:r>
        <w:rPr>
          <w:rFonts w:eastAsia="DengXian"/>
          <w:lang w:eastAsia="zh-CN"/>
        </w:rPr>
        <w:tab/>
      </w:r>
      <w:r w:rsidR="00590A94" w:rsidRPr="007333CC">
        <w:rPr>
          <w:rFonts w:eastAsia="DengXian"/>
          <w:lang w:eastAsia="zh-CN"/>
        </w:rPr>
        <w:t>Benchmarking for transport infrastructure</w:t>
      </w:r>
      <w:r w:rsidR="00851B20">
        <w:rPr>
          <w:rFonts w:eastAsia="DengXian"/>
          <w:lang w:eastAsia="zh-CN"/>
        </w:rPr>
        <w:t>.</w:t>
      </w:r>
    </w:p>
    <w:p w14:paraId="1DF18A97" w14:textId="77777777" w:rsidR="00590A94" w:rsidRPr="007333CC" w:rsidRDefault="00176335" w:rsidP="00176335">
      <w:pPr>
        <w:pStyle w:val="SingleTxtG"/>
        <w:rPr>
          <w:rFonts w:eastAsia="DengXian"/>
          <w:lang w:eastAsia="zh-CN"/>
        </w:rPr>
      </w:pPr>
      <w:r>
        <w:rPr>
          <w:rFonts w:eastAsia="DengXian"/>
          <w:lang w:eastAsia="zh-CN"/>
        </w:rPr>
        <w:tab/>
      </w:r>
      <w:r>
        <w:rPr>
          <w:rFonts w:eastAsia="DengXian"/>
          <w:lang w:eastAsia="zh-CN"/>
        </w:rPr>
        <w:tab/>
        <w:t>(b)</w:t>
      </w:r>
      <w:r>
        <w:rPr>
          <w:rFonts w:eastAsia="DengXian"/>
          <w:lang w:eastAsia="zh-CN"/>
        </w:rPr>
        <w:tab/>
      </w:r>
      <w:r w:rsidR="00590A94" w:rsidRPr="007333CC">
        <w:rPr>
          <w:rFonts w:eastAsia="DengXian"/>
          <w:lang w:eastAsia="zh-CN"/>
        </w:rPr>
        <w:t>Trans-European North-South Motorway Project (TEM)</w:t>
      </w:r>
      <w:r w:rsidR="005A56BC">
        <w:rPr>
          <w:rFonts w:eastAsia="DengXian"/>
          <w:lang w:eastAsia="zh-CN"/>
        </w:rPr>
        <w:t>.</w:t>
      </w:r>
    </w:p>
    <w:p w14:paraId="565E797A" w14:textId="77777777" w:rsidR="00590A94" w:rsidRPr="00176335" w:rsidRDefault="00176335" w:rsidP="00176335">
      <w:pPr>
        <w:pStyle w:val="SingleTxtG"/>
        <w:rPr>
          <w:rFonts w:eastAsia="DengXian"/>
          <w:lang w:eastAsia="zh-CN"/>
        </w:rPr>
      </w:pPr>
      <w:r>
        <w:rPr>
          <w:rFonts w:eastAsia="DengXian"/>
          <w:lang w:eastAsia="zh-CN"/>
        </w:rPr>
        <w:tab/>
        <w:t>6.</w:t>
      </w:r>
      <w:r>
        <w:rPr>
          <w:rFonts w:eastAsia="DengXian"/>
          <w:lang w:eastAsia="zh-CN"/>
        </w:rPr>
        <w:tab/>
      </w:r>
      <w:r w:rsidR="00590A94" w:rsidRPr="00176335">
        <w:rPr>
          <w:rFonts w:eastAsia="DengXian"/>
          <w:lang w:eastAsia="zh-CN"/>
        </w:rPr>
        <w:t>Facilitation of international road transport</w:t>
      </w:r>
      <w:r w:rsidR="005A56BC">
        <w:rPr>
          <w:rFonts w:eastAsia="DengXian"/>
          <w:lang w:eastAsia="zh-CN"/>
        </w:rPr>
        <w:t>:</w:t>
      </w:r>
    </w:p>
    <w:p w14:paraId="01672720" w14:textId="77777777" w:rsidR="00590A94" w:rsidRPr="00176335" w:rsidRDefault="00176335" w:rsidP="00176335">
      <w:pPr>
        <w:pStyle w:val="SingleTxtG"/>
        <w:rPr>
          <w:rFonts w:eastAsia="DengXian"/>
          <w:lang w:eastAsia="zh-CN"/>
        </w:rPr>
      </w:pPr>
      <w:r>
        <w:rPr>
          <w:rFonts w:eastAsia="DengXian"/>
          <w:lang w:eastAsia="zh-CN"/>
        </w:rPr>
        <w:tab/>
      </w:r>
      <w:r>
        <w:rPr>
          <w:rFonts w:eastAsia="DengXian"/>
          <w:lang w:eastAsia="zh-CN"/>
        </w:rPr>
        <w:tab/>
      </w:r>
      <w:r w:rsidR="00CD07F9">
        <w:rPr>
          <w:rFonts w:eastAsia="DengXian"/>
          <w:lang w:eastAsia="zh-CN"/>
        </w:rPr>
        <w:t>(a)</w:t>
      </w:r>
      <w:r w:rsidR="00CD07F9">
        <w:rPr>
          <w:rFonts w:eastAsia="DengXian"/>
          <w:lang w:eastAsia="zh-CN"/>
        </w:rPr>
        <w:tab/>
      </w:r>
      <w:r w:rsidR="00590A94" w:rsidRPr="00176335">
        <w:rPr>
          <w:rFonts w:eastAsia="DengXian"/>
          <w:lang w:eastAsia="zh-CN"/>
        </w:rPr>
        <w:t>International Motor Insurance System (Green Card)</w:t>
      </w:r>
      <w:r w:rsidR="005A56BC">
        <w:rPr>
          <w:rFonts w:eastAsia="DengXian"/>
          <w:lang w:eastAsia="zh-CN"/>
        </w:rPr>
        <w:t>.</w:t>
      </w:r>
    </w:p>
    <w:p w14:paraId="6D549604" w14:textId="77777777" w:rsidR="00590A94" w:rsidRPr="00176335" w:rsidRDefault="00176335" w:rsidP="00176335">
      <w:pPr>
        <w:pStyle w:val="SingleTxtG"/>
        <w:rPr>
          <w:rFonts w:eastAsia="DengXian"/>
          <w:lang w:eastAsia="zh-CN"/>
        </w:rPr>
      </w:pPr>
      <w:r>
        <w:rPr>
          <w:rFonts w:eastAsia="DengXian"/>
          <w:lang w:eastAsia="zh-CN"/>
        </w:rPr>
        <w:t>7.</w:t>
      </w:r>
      <w:r>
        <w:rPr>
          <w:rFonts w:eastAsia="DengXian"/>
          <w:lang w:eastAsia="zh-CN"/>
        </w:rPr>
        <w:tab/>
      </w:r>
      <w:r w:rsidR="00590A94" w:rsidRPr="00176335">
        <w:rPr>
          <w:rFonts w:eastAsia="DengXian"/>
          <w:lang w:eastAsia="zh-CN"/>
        </w:rPr>
        <w:t>Revision of SC.1 Terms of Reference and Rules of Procedure</w:t>
      </w:r>
      <w:r w:rsidR="005A56BC">
        <w:rPr>
          <w:rFonts w:eastAsia="DengXian"/>
          <w:lang w:eastAsia="zh-CN"/>
        </w:rPr>
        <w:t>.</w:t>
      </w:r>
    </w:p>
    <w:p w14:paraId="610C1BC7" w14:textId="77777777" w:rsidR="00590A94" w:rsidRPr="00176335" w:rsidRDefault="00176335" w:rsidP="00176335">
      <w:pPr>
        <w:pStyle w:val="SingleTxtG"/>
        <w:rPr>
          <w:rFonts w:eastAsia="DengXian"/>
          <w:lang w:eastAsia="zh-CN"/>
        </w:rPr>
      </w:pPr>
      <w:r>
        <w:rPr>
          <w:rFonts w:eastAsia="DengXian"/>
          <w:lang w:eastAsia="zh-CN"/>
        </w:rPr>
        <w:t>8.</w:t>
      </w:r>
      <w:r>
        <w:rPr>
          <w:rFonts w:eastAsia="DengXian"/>
          <w:lang w:eastAsia="zh-CN"/>
        </w:rPr>
        <w:tab/>
      </w:r>
      <w:r w:rsidR="00590A94" w:rsidRPr="00176335">
        <w:rPr>
          <w:rFonts w:eastAsia="DengXian"/>
          <w:lang w:eastAsia="zh-CN"/>
        </w:rPr>
        <w:t>Activities of interest to SC.1</w:t>
      </w:r>
      <w:r w:rsidR="005A56BC">
        <w:rPr>
          <w:rFonts w:eastAsia="DengXian"/>
          <w:lang w:eastAsia="zh-CN"/>
        </w:rPr>
        <w:t>:</w:t>
      </w:r>
    </w:p>
    <w:p w14:paraId="28927E22" w14:textId="77777777" w:rsidR="00590A94" w:rsidRPr="00176335" w:rsidRDefault="00176335" w:rsidP="00176335">
      <w:pPr>
        <w:pStyle w:val="SingleTxtG"/>
        <w:rPr>
          <w:rFonts w:eastAsia="DengXian"/>
          <w:lang w:eastAsia="zh-CN"/>
        </w:rPr>
      </w:pPr>
      <w:r>
        <w:rPr>
          <w:rFonts w:eastAsia="DengXian"/>
          <w:lang w:eastAsia="zh-CN"/>
        </w:rPr>
        <w:tab/>
      </w:r>
      <w:r>
        <w:rPr>
          <w:rFonts w:eastAsia="DengXian"/>
          <w:lang w:eastAsia="zh-CN"/>
        </w:rPr>
        <w:tab/>
        <w:t>(a)</w:t>
      </w:r>
      <w:r>
        <w:rPr>
          <w:rFonts w:eastAsia="DengXian"/>
          <w:lang w:eastAsia="zh-CN"/>
        </w:rPr>
        <w:tab/>
      </w:r>
      <w:r w:rsidR="00590A94" w:rsidRPr="00176335">
        <w:rPr>
          <w:rFonts w:eastAsia="DengXian"/>
          <w:lang w:eastAsia="zh-CN"/>
        </w:rPr>
        <w:t>National delegations</w:t>
      </w:r>
      <w:r w:rsidR="005A56BC">
        <w:rPr>
          <w:rFonts w:eastAsia="DengXian"/>
          <w:lang w:eastAsia="zh-CN"/>
        </w:rPr>
        <w:t>;</w:t>
      </w:r>
    </w:p>
    <w:p w14:paraId="16FD93DA" w14:textId="77777777" w:rsidR="00590A94" w:rsidRPr="00176335" w:rsidRDefault="00176335" w:rsidP="00176335">
      <w:pPr>
        <w:pStyle w:val="SingleTxtG"/>
        <w:rPr>
          <w:rFonts w:eastAsia="DengXian"/>
          <w:lang w:eastAsia="zh-CN"/>
        </w:rPr>
      </w:pPr>
      <w:r>
        <w:rPr>
          <w:rFonts w:eastAsia="DengXian"/>
          <w:lang w:eastAsia="zh-CN"/>
        </w:rPr>
        <w:tab/>
      </w:r>
      <w:r>
        <w:rPr>
          <w:rFonts w:eastAsia="DengXian"/>
          <w:lang w:eastAsia="zh-CN"/>
        </w:rPr>
        <w:tab/>
        <w:t>(b)</w:t>
      </w:r>
      <w:r>
        <w:rPr>
          <w:rFonts w:eastAsia="DengXian"/>
          <w:lang w:eastAsia="zh-CN"/>
        </w:rPr>
        <w:tab/>
      </w:r>
      <w:r w:rsidR="00590A94" w:rsidRPr="00176335">
        <w:rPr>
          <w:rFonts w:eastAsia="DengXian"/>
          <w:lang w:eastAsia="zh-CN"/>
        </w:rPr>
        <w:t>International organizations</w:t>
      </w:r>
      <w:r w:rsidR="005A56BC">
        <w:rPr>
          <w:rFonts w:eastAsia="DengXian"/>
          <w:lang w:eastAsia="zh-CN"/>
        </w:rPr>
        <w:t>;</w:t>
      </w:r>
    </w:p>
    <w:p w14:paraId="191DE033" w14:textId="77777777" w:rsidR="00590A94" w:rsidRPr="00176335" w:rsidRDefault="00176335" w:rsidP="00176335">
      <w:pPr>
        <w:pStyle w:val="SingleTxtG"/>
        <w:rPr>
          <w:rFonts w:eastAsia="DengXian"/>
          <w:lang w:eastAsia="zh-CN"/>
        </w:rPr>
      </w:pPr>
      <w:r>
        <w:rPr>
          <w:rFonts w:eastAsia="DengXian"/>
          <w:lang w:eastAsia="zh-CN"/>
        </w:rPr>
        <w:tab/>
      </w:r>
      <w:r>
        <w:rPr>
          <w:rFonts w:eastAsia="DengXian"/>
          <w:lang w:eastAsia="zh-CN"/>
        </w:rPr>
        <w:tab/>
        <w:t>(c)</w:t>
      </w:r>
      <w:r>
        <w:rPr>
          <w:rFonts w:eastAsia="DengXian"/>
          <w:lang w:eastAsia="zh-CN"/>
        </w:rPr>
        <w:tab/>
      </w:r>
      <w:r w:rsidR="00590A94" w:rsidRPr="00176335">
        <w:rPr>
          <w:rFonts w:eastAsia="DengXian"/>
          <w:lang w:eastAsia="zh-CN"/>
        </w:rPr>
        <w:t>Activities of ECE bodies and other U</w:t>
      </w:r>
      <w:r w:rsidR="00CD07F9">
        <w:rPr>
          <w:rFonts w:eastAsia="DengXian"/>
          <w:lang w:eastAsia="zh-CN"/>
        </w:rPr>
        <w:t xml:space="preserve">nited </w:t>
      </w:r>
      <w:r w:rsidR="00590A94" w:rsidRPr="00176335">
        <w:rPr>
          <w:rFonts w:eastAsia="DengXian"/>
          <w:lang w:eastAsia="zh-CN"/>
        </w:rPr>
        <w:t>N</w:t>
      </w:r>
      <w:r w:rsidR="00CD07F9">
        <w:rPr>
          <w:rFonts w:eastAsia="DengXian"/>
          <w:lang w:eastAsia="zh-CN"/>
        </w:rPr>
        <w:t>ations</w:t>
      </w:r>
      <w:r w:rsidR="00590A94" w:rsidRPr="00176335">
        <w:rPr>
          <w:rFonts w:eastAsia="DengXian"/>
          <w:lang w:eastAsia="zh-CN"/>
        </w:rPr>
        <w:t xml:space="preserve"> organizations</w:t>
      </w:r>
      <w:r w:rsidR="005A56BC">
        <w:rPr>
          <w:rFonts w:eastAsia="DengXian"/>
          <w:lang w:eastAsia="zh-CN"/>
        </w:rPr>
        <w:t>.</w:t>
      </w:r>
    </w:p>
    <w:p w14:paraId="2A2EBB60" w14:textId="77777777" w:rsidR="00590A94" w:rsidRPr="00176335" w:rsidRDefault="00176335" w:rsidP="00176335">
      <w:pPr>
        <w:pStyle w:val="SingleTxtG"/>
        <w:rPr>
          <w:rFonts w:eastAsia="DengXian"/>
          <w:lang w:eastAsia="zh-CN"/>
        </w:rPr>
      </w:pPr>
      <w:r>
        <w:rPr>
          <w:rFonts w:eastAsia="DengXian"/>
          <w:lang w:eastAsia="zh-CN"/>
        </w:rPr>
        <w:lastRenderedPageBreak/>
        <w:t>9.</w:t>
      </w:r>
      <w:r>
        <w:rPr>
          <w:rFonts w:eastAsia="DengXian"/>
          <w:lang w:eastAsia="zh-CN"/>
        </w:rPr>
        <w:tab/>
      </w:r>
      <w:r w:rsidR="00590A94" w:rsidRPr="00176335">
        <w:rPr>
          <w:rFonts w:eastAsia="DengXian"/>
          <w:lang w:eastAsia="zh-CN"/>
        </w:rPr>
        <w:t>Other Business</w:t>
      </w:r>
      <w:r w:rsidR="005A56BC">
        <w:rPr>
          <w:rFonts w:eastAsia="DengXian"/>
          <w:lang w:eastAsia="zh-CN"/>
        </w:rPr>
        <w:t>.</w:t>
      </w:r>
    </w:p>
    <w:p w14:paraId="5DD72A37" w14:textId="77777777" w:rsidR="00590A94" w:rsidRPr="00176335" w:rsidRDefault="00176335" w:rsidP="00176335">
      <w:pPr>
        <w:pStyle w:val="SingleTxtG"/>
        <w:rPr>
          <w:rFonts w:eastAsia="DengXian"/>
          <w:lang w:eastAsia="zh-CN"/>
        </w:rPr>
      </w:pPr>
      <w:r>
        <w:rPr>
          <w:rFonts w:eastAsia="DengXian"/>
          <w:lang w:eastAsia="zh-CN"/>
        </w:rPr>
        <w:t>10.</w:t>
      </w:r>
      <w:r>
        <w:rPr>
          <w:rFonts w:eastAsia="DengXian"/>
          <w:lang w:eastAsia="zh-CN"/>
        </w:rPr>
        <w:tab/>
      </w:r>
      <w:r w:rsidR="00590A94" w:rsidRPr="00176335">
        <w:rPr>
          <w:rFonts w:eastAsia="DengXian"/>
          <w:lang w:eastAsia="zh-CN"/>
        </w:rPr>
        <w:t>Date of Next Session</w:t>
      </w:r>
      <w:r w:rsidR="005A56BC">
        <w:rPr>
          <w:rFonts w:eastAsia="DengXian"/>
          <w:lang w:eastAsia="zh-CN"/>
        </w:rPr>
        <w:t>.</w:t>
      </w:r>
    </w:p>
    <w:p w14:paraId="227B5FBE" w14:textId="77777777" w:rsidR="00590A94" w:rsidRPr="00176335" w:rsidRDefault="00176335" w:rsidP="00176335">
      <w:pPr>
        <w:pStyle w:val="SingleTxtG"/>
        <w:rPr>
          <w:rFonts w:eastAsia="DengXian"/>
          <w:lang w:eastAsia="zh-CN"/>
        </w:rPr>
      </w:pPr>
      <w:r>
        <w:rPr>
          <w:rFonts w:eastAsia="DengXian"/>
          <w:lang w:eastAsia="zh-CN"/>
        </w:rPr>
        <w:t>11.</w:t>
      </w:r>
      <w:r>
        <w:rPr>
          <w:rFonts w:eastAsia="DengXian"/>
          <w:lang w:eastAsia="zh-CN"/>
        </w:rPr>
        <w:tab/>
      </w:r>
      <w:r w:rsidR="00590A94" w:rsidRPr="00176335">
        <w:rPr>
          <w:rFonts w:eastAsia="DengXian"/>
          <w:lang w:eastAsia="zh-CN"/>
        </w:rPr>
        <w:t>Adoption of</w:t>
      </w:r>
      <w:r w:rsidR="00593CA6">
        <w:rPr>
          <w:rFonts w:eastAsia="DengXian"/>
          <w:lang w:eastAsia="zh-CN"/>
        </w:rPr>
        <w:t xml:space="preserve"> the</w:t>
      </w:r>
      <w:r w:rsidR="00590A94" w:rsidRPr="00176335">
        <w:rPr>
          <w:rFonts w:eastAsia="DengXian"/>
          <w:lang w:eastAsia="zh-CN"/>
        </w:rPr>
        <w:t xml:space="preserve"> Report</w:t>
      </w:r>
      <w:r w:rsidR="005A56BC">
        <w:rPr>
          <w:rFonts w:eastAsia="DengXian"/>
          <w:lang w:eastAsia="zh-CN"/>
        </w:rPr>
        <w:t>.</w:t>
      </w:r>
    </w:p>
    <w:p w14:paraId="7214B4BE" w14:textId="77777777" w:rsidR="00590A94" w:rsidRPr="004B197C" w:rsidRDefault="004B197C" w:rsidP="004B197C">
      <w:pPr>
        <w:spacing w:before="240"/>
        <w:jc w:val="center"/>
        <w:rPr>
          <w:u w:val="single"/>
          <w:lang w:eastAsia="zh-CN"/>
        </w:rPr>
      </w:pPr>
      <w:r>
        <w:rPr>
          <w:u w:val="single"/>
          <w:lang w:eastAsia="zh-CN"/>
        </w:rPr>
        <w:tab/>
      </w:r>
      <w:r>
        <w:rPr>
          <w:u w:val="single"/>
          <w:lang w:eastAsia="zh-CN"/>
        </w:rPr>
        <w:tab/>
      </w:r>
      <w:r>
        <w:rPr>
          <w:u w:val="single"/>
          <w:lang w:eastAsia="zh-CN"/>
        </w:rPr>
        <w:tab/>
      </w:r>
    </w:p>
    <w:sectPr w:rsidR="00590A94" w:rsidRPr="004B197C" w:rsidSect="0033064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AF33" w14:textId="77777777" w:rsidR="00330647" w:rsidRDefault="00330647"/>
  </w:endnote>
  <w:endnote w:type="continuationSeparator" w:id="0">
    <w:p w14:paraId="2CB50D77" w14:textId="77777777" w:rsidR="00330647" w:rsidRDefault="00330647"/>
  </w:endnote>
  <w:endnote w:type="continuationNotice" w:id="1">
    <w:p w14:paraId="7B28C99F" w14:textId="77777777" w:rsidR="00330647" w:rsidRDefault="00330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7E96" w14:textId="77777777" w:rsidR="00330647" w:rsidRPr="00330647" w:rsidRDefault="00330647" w:rsidP="00330647">
    <w:pPr>
      <w:pStyle w:val="Footer"/>
      <w:tabs>
        <w:tab w:val="right" w:pos="9638"/>
      </w:tabs>
      <w:rPr>
        <w:sz w:val="18"/>
      </w:rPr>
    </w:pPr>
    <w:r w:rsidRPr="00330647">
      <w:rPr>
        <w:b/>
        <w:sz w:val="18"/>
      </w:rPr>
      <w:fldChar w:fldCharType="begin"/>
    </w:r>
    <w:r w:rsidRPr="00330647">
      <w:rPr>
        <w:b/>
        <w:sz w:val="18"/>
      </w:rPr>
      <w:instrText xml:space="preserve"> PAGE  \* MERGEFORMAT </w:instrText>
    </w:r>
    <w:r w:rsidRPr="00330647">
      <w:rPr>
        <w:b/>
        <w:sz w:val="18"/>
      </w:rPr>
      <w:fldChar w:fldCharType="separate"/>
    </w:r>
    <w:r w:rsidRPr="00330647">
      <w:rPr>
        <w:b/>
        <w:noProof/>
        <w:sz w:val="18"/>
      </w:rPr>
      <w:t>2</w:t>
    </w:r>
    <w:r w:rsidRPr="003306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DF55" w14:textId="77777777" w:rsidR="00330647" w:rsidRPr="00330647" w:rsidRDefault="00330647" w:rsidP="00330647">
    <w:pPr>
      <w:pStyle w:val="Footer"/>
      <w:tabs>
        <w:tab w:val="right" w:pos="9638"/>
      </w:tabs>
      <w:rPr>
        <w:b/>
        <w:sz w:val="18"/>
      </w:rPr>
    </w:pPr>
    <w:r>
      <w:tab/>
    </w:r>
    <w:r w:rsidRPr="00330647">
      <w:rPr>
        <w:b/>
        <w:sz w:val="18"/>
      </w:rPr>
      <w:fldChar w:fldCharType="begin"/>
    </w:r>
    <w:r w:rsidRPr="00330647">
      <w:rPr>
        <w:b/>
        <w:sz w:val="18"/>
      </w:rPr>
      <w:instrText xml:space="preserve"> PAGE  \* MERGEFORMAT </w:instrText>
    </w:r>
    <w:r w:rsidRPr="00330647">
      <w:rPr>
        <w:b/>
        <w:sz w:val="18"/>
      </w:rPr>
      <w:fldChar w:fldCharType="separate"/>
    </w:r>
    <w:r w:rsidRPr="00330647">
      <w:rPr>
        <w:b/>
        <w:noProof/>
        <w:sz w:val="18"/>
      </w:rPr>
      <w:t>3</w:t>
    </w:r>
    <w:r w:rsidRPr="003306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9700" w14:textId="77777777" w:rsidR="0035223F" w:rsidRPr="00330647" w:rsidRDefault="00686A48">
    <w:pPr>
      <w:pStyle w:val="Footer"/>
      <w:rPr>
        <w:sz w:val="20"/>
      </w:rPr>
    </w:pPr>
    <w:r>
      <w:rPr>
        <w:noProof/>
        <w:lang w:val="fr-CH" w:eastAsia="fr-CH"/>
      </w:rPr>
      <w:drawing>
        <wp:anchor distT="0" distB="0" distL="114300" distR="114300" simplePos="0" relativeHeight="251657728" behindDoc="0" locked="1" layoutInCell="1" allowOverlap="1" wp14:anchorId="4FD3D9B7" wp14:editId="0D542DD5">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974B" w14:textId="77777777" w:rsidR="00330647" w:rsidRPr="000B175B" w:rsidRDefault="00330647" w:rsidP="000B175B">
      <w:pPr>
        <w:tabs>
          <w:tab w:val="right" w:pos="2155"/>
        </w:tabs>
        <w:spacing w:after="80"/>
        <w:ind w:left="680"/>
        <w:rPr>
          <w:u w:val="single"/>
        </w:rPr>
      </w:pPr>
      <w:r>
        <w:rPr>
          <w:u w:val="single"/>
        </w:rPr>
        <w:tab/>
      </w:r>
    </w:p>
  </w:footnote>
  <w:footnote w:type="continuationSeparator" w:id="0">
    <w:p w14:paraId="405AB9F5" w14:textId="77777777" w:rsidR="00330647" w:rsidRPr="00FC68B7" w:rsidRDefault="00330647" w:rsidP="00FC68B7">
      <w:pPr>
        <w:tabs>
          <w:tab w:val="left" w:pos="2155"/>
        </w:tabs>
        <w:spacing w:after="80"/>
        <w:ind w:left="680"/>
        <w:rPr>
          <w:u w:val="single"/>
        </w:rPr>
      </w:pPr>
      <w:r>
        <w:rPr>
          <w:u w:val="single"/>
        </w:rPr>
        <w:tab/>
      </w:r>
    </w:p>
  </w:footnote>
  <w:footnote w:type="continuationNotice" w:id="1">
    <w:p w14:paraId="5E145B86" w14:textId="77777777" w:rsidR="00330647" w:rsidRDefault="00330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9815" w14:textId="19DBB968" w:rsidR="00330647" w:rsidRPr="004220AA" w:rsidRDefault="007E47D1">
    <w:pPr>
      <w:pStyle w:val="Header"/>
      <w:rPr>
        <w:lang w:val="fr-CH"/>
      </w:rPr>
    </w:pPr>
    <w:fldSimple w:instr=" TITLE  \* MERGEFORMAT ">
      <w:r w:rsidR="00822558">
        <w:t>ECE/TRANS/SC.1/412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29B0" w14:textId="37D8A746" w:rsidR="00330647" w:rsidRPr="00330647" w:rsidRDefault="007E47D1" w:rsidP="00330647">
    <w:pPr>
      <w:pStyle w:val="Header"/>
      <w:jc w:val="right"/>
    </w:pPr>
    <w:fldSimple w:instr=" TITLE  \* MERGEFORMAT ">
      <w:r w:rsidR="00822558">
        <w:t>ECE/TRANS/SC.1/412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34F16"/>
    <w:multiLevelType w:val="hybridMultilevel"/>
    <w:tmpl w:val="0AF4AA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0B75DC"/>
    <w:multiLevelType w:val="hybridMultilevel"/>
    <w:tmpl w:val="3300DA6C"/>
    <w:lvl w:ilvl="0" w:tplc="925E982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72B21"/>
    <w:multiLevelType w:val="hybridMultilevel"/>
    <w:tmpl w:val="C074D4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2"/>
  </w:num>
  <w:num w:numId="20">
    <w:abstractNumId w:val="18"/>
  </w:num>
  <w:num w:numId="21">
    <w:abstractNumId w:val="11"/>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47"/>
    <w:rsid w:val="00001C12"/>
    <w:rsid w:val="00002A7D"/>
    <w:rsid w:val="000038A8"/>
    <w:rsid w:val="00006790"/>
    <w:rsid w:val="00027624"/>
    <w:rsid w:val="00050F6B"/>
    <w:rsid w:val="000678CD"/>
    <w:rsid w:val="00072C8C"/>
    <w:rsid w:val="00081CE0"/>
    <w:rsid w:val="00084D30"/>
    <w:rsid w:val="00086BEA"/>
    <w:rsid w:val="00090320"/>
    <w:rsid w:val="000931C0"/>
    <w:rsid w:val="000A2E09"/>
    <w:rsid w:val="000A3159"/>
    <w:rsid w:val="000B175B"/>
    <w:rsid w:val="000B3A0F"/>
    <w:rsid w:val="000E0415"/>
    <w:rsid w:val="000E4824"/>
    <w:rsid w:val="000E66E5"/>
    <w:rsid w:val="000F7715"/>
    <w:rsid w:val="001119C0"/>
    <w:rsid w:val="001213F9"/>
    <w:rsid w:val="00137836"/>
    <w:rsid w:val="00147D54"/>
    <w:rsid w:val="00156B99"/>
    <w:rsid w:val="00160617"/>
    <w:rsid w:val="001643E5"/>
    <w:rsid w:val="00166124"/>
    <w:rsid w:val="00174FE2"/>
    <w:rsid w:val="00176335"/>
    <w:rsid w:val="00184DDA"/>
    <w:rsid w:val="001900CD"/>
    <w:rsid w:val="0019476C"/>
    <w:rsid w:val="00196930"/>
    <w:rsid w:val="001A0452"/>
    <w:rsid w:val="001A46FA"/>
    <w:rsid w:val="001A706E"/>
    <w:rsid w:val="001B4A77"/>
    <w:rsid w:val="001B4B04"/>
    <w:rsid w:val="001B5875"/>
    <w:rsid w:val="001C4B9C"/>
    <w:rsid w:val="001C6663"/>
    <w:rsid w:val="001C7895"/>
    <w:rsid w:val="001D26DF"/>
    <w:rsid w:val="001E7324"/>
    <w:rsid w:val="001F1599"/>
    <w:rsid w:val="001F19C4"/>
    <w:rsid w:val="002043F0"/>
    <w:rsid w:val="00211E0B"/>
    <w:rsid w:val="00232575"/>
    <w:rsid w:val="00247258"/>
    <w:rsid w:val="00250A26"/>
    <w:rsid w:val="00253348"/>
    <w:rsid w:val="00257CAC"/>
    <w:rsid w:val="00263F94"/>
    <w:rsid w:val="0026658B"/>
    <w:rsid w:val="0027237A"/>
    <w:rsid w:val="00285DB6"/>
    <w:rsid w:val="00293504"/>
    <w:rsid w:val="002974E9"/>
    <w:rsid w:val="002A16E4"/>
    <w:rsid w:val="002A7F94"/>
    <w:rsid w:val="002B109A"/>
    <w:rsid w:val="002C6D45"/>
    <w:rsid w:val="002D3D21"/>
    <w:rsid w:val="002D538A"/>
    <w:rsid w:val="002D6E53"/>
    <w:rsid w:val="002F046D"/>
    <w:rsid w:val="002F3023"/>
    <w:rsid w:val="002F67C1"/>
    <w:rsid w:val="00301764"/>
    <w:rsid w:val="003229D8"/>
    <w:rsid w:val="003302A6"/>
    <w:rsid w:val="00330647"/>
    <w:rsid w:val="00336C97"/>
    <w:rsid w:val="00337F88"/>
    <w:rsid w:val="00342432"/>
    <w:rsid w:val="0035223F"/>
    <w:rsid w:val="00352D4B"/>
    <w:rsid w:val="0035638C"/>
    <w:rsid w:val="003612A9"/>
    <w:rsid w:val="00367B64"/>
    <w:rsid w:val="00367DB7"/>
    <w:rsid w:val="00370B91"/>
    <w:rsid w:val="00387410"/>
    <w:rsid w:val="00387BED"/>
    <w:rsid w:val="00394EA1"/>
    <w:rsid w:val="0039671A"/>
    <w:rsid w:val="003A46BB"/>
    <w:rsid w:val="003A4EC7"/>
    <w:rsid w:val="003A7295"/>
    <w:rsid w:val="003B1F60"/>
    <w:rsid w:val="003B3C03"/>
    <w:rsid w:val="003C2CC4"/>
    <w:rsid w:val="003C402C"/>
    <w:rsid w:val="003C5A4E"/>
    <w:rsid w:val="003D3596"/>
    <w:rsid w:val="003D3860"/>
    <w:rsid w:val="003D4B23"/>
    <w:rsid w:val="003E039E"/>
    <w:rsid w:val="003E278A"/>
    <w:rsid w:val="003F013F"/>
    <w:rsid w:val="00413520"/>
    <w:rsid w:val="004220AA"/>
    <w:rsid w:val="004325CB"/>
    <w:rsid w:val="00440A07"/>
    <w:rsid w:val="00462880"/>
    <w:rsid w:val="004649F5"/>
    <w:rsid w:val="00476F24"/>
    <w:rsid w:val="004A067C"/>
    <w:rsid w:val="004A167F"/>
    <w:rsid w:val="004A2D2A"/>
    <w:rsid w:val="004B197C"/>
    <w:rsid w:val="004C55B0"/>
    <w:rsid w:val="004F1488"/>
    <w:rsid w:val="004F2B7D"/>
    <w:rsid w:val="004F6BA0"/>
    <w:rsid w:val="00503BEA"/>
    <w:rsid w:val="005109FD"/>
    <w:rsid w:val="00526656"/>
    <w:rsid w:val="00533616"/>
    <w:rsid w:val="00534116"/>
    <w:rsid w:val="00535ABA"/>
    <w:rsid w:val="0053768B"/>
    <w:rsid w:val="005420F2"/>
    <w:rsid w:val="0054285C"/>
    <w:rsid w:val="00562B80"/>
    <w:rsid w:val="0057566B"/>
    <w:rsid w:val="00577802"/>
    <w:rsid w:val="00583F8B"/>
    <w:rsid w:val="00584173"/>
    <w:rsid w:val="00584AD2"/>
    <w:rsid w:val="0058571E"/>
    <w:rsid w:val="00590A94"/>
    <w:rsid w:val="00590CDC"/>
    <w:rsid w:val="0059194F"/>
    <w:rsid w:val="005919D3"/>
    <w:rsid w:val="00593CA6"/>
    <w:rsid w:val="00595520"/>
    <w:rsid w:val="0059589E"/>
    <w:rsid w:val="005A44B9"/>
    <w:rsid w:val="005A56BC"/>
    <w:rsid w:val="005B1BA0"/>
    <w:rsid w:val="005B3DB3"/>
    <w:rsid w:val="005B4924"/>
    <w:rsid w:val="005C1EB2"/>
    <w:rsid w:val="005D15CA"/>
    <w:rsid w:val="005D7169"/>
    <w:rsid w:val="005F08DF"/>
    <w:rsid w:val="005F2E94"/>
    <w:rsid w:val="005F3066"/>
    <w:rsid w:val="005F3E61"/>
    <w:rsid w:val="006009FF"/>
    <w:rsid w:val="00604DDD"/>
    <w:rsid w:val="006115CC"/>
    <w:rsid w:val="00611FC4"/>
    <w:rsid w:val="006176FB"/>
    <w:rsid w:val="00617A95"/>
    <w:rsid w:val="00630FCB"/>
    <w:rsid w:val="00640B26"/>
    <w:rsid w:val="0065521C"/>
    <w:rsid w:val="0065766B"/>
    <w:rsid w:val="006614DA"/>
    <w:rsid w:val="00663332"/>
    <w:rsid w:val="006770B2"/>
    <w:rsid w:val="00677A22"/>
    <w:rsid w:val="0068522B"/>
    <w:rsid w:val="00686A48"/>
    <w:rsid w:val="00686B8F"/>
    <w:rsid w:val="006940E1"/>
    <w:rsid w:val="006A3C72"/>
    <w:rsid w:val="006A7392"/>
    <w:rsid w:val="006B03A1"/>
    <w:rsid w:val="006B270F"/>
    <w:rsid w:val="006B5EC9"/>
    <w:rsid w:val="006B67D9"/>
    <w:rsid w:val="006C5535"/>
    <w:rsid w:val="006D0589"/>
    <w:rsid w:val="006E564B"/>
    <w:rsid w:val="006E7154"/>
    <w:rsid w:val="006F31D3"/>
    <w:rsid w:val="007003CD"/>
    <w:rsid w:val="0070701E"/>
    <w:rsid w:val="00717B02"/>
    <w:rsid w:val="007247FC"/>
    <w:rsid w:val="00724F8A"/>
    <w:rsid w:val="0072632A"/>
    <w:rsid w:val="007358E8"/>
    <w:rsid w:val="00736ECE"/>
    <w:rsid w:val="00743BA3"/>
    <w:rsid w:val="0074533B"/>
    <w:rsid w:val="00753720"/>
    <w:rsid w:val="007609EF"/>
    <w:rsid w:val="007643BC"/>
    <w:rsid w:val="00767902"/>
    <w:rsid w:val="00775EBA"/>
    <w:rsid w:val="00780C68"/>
    <w:rsid w:val="007959FE"/>
    <w:rsid w:val="007A0CF1"/>
    <w:rsid w:val="007B6BA5"/>
    <w:rsid w:val="007C3390"/>
    <w:rsid w:val="007C42D8"/>
    <w:rsid w:val="007C4C41"/>
    <w:rsid w:val="007C4F4B"/>
    <w:rsid w:val="007D0BC6"/>
    <w:rsid w:val="007D1AB7"/>
    <w:rsid w:val="007D23B7"/>
    <w:rsid w:val="007D563E"/>
    <w:rsid w:val="007D7362"/>
    <w:rsid w:val="007E47D1"/>
    <w:rsid w:val="007F5CE2"/>
    <w:rsid w:val="007F6611"/>
    <w:rsid w:val="00810BAC"/>
    <w:rsid w:val="008160BB"/>
    <w:rsid w:val="00816F2E"/>
    <w:rsid w:val="008175E9"/>
    <w:rsid w:val="00822558"/>
    <w:rsid w:val="008242D7"/>
    <w:rsid w:val="0082577B"/>
    <w:rsid w:val="00844C91"/>
    <w:rsid w:val="00851B20"/>
    <w:rsid w:val="00866893"/>
    <w:rsid w:val="00866F02"/>
    <w:rsid w:val="00867D18"/>
    <w:rsid w:val="00871F9A"/>
    <w:rsid w:val="00871FD5"/>
    <w:rsid w:val="0088172E"/>
    <w:rsid w:val="00881EFA"/>
    <w:rsid w:val="00884BB9"/>
    <w:rsid w:val="00886F72"/>
    <w:rsid w:val="008879CB"/>
    <w:rsid w:val="008979B1"/>
    <w:rsid w:val="008A38D2"/>
    <w:rsid w:val="008A6B25"/>
    <w:rsid w:val="008A6C4F"/>
    <w:rsid w:val="008B389E"/>
    <w:rsid w:val="008C129C"/>
    <w:rsid w:val="008D045E"/>
    <w:rsid w:val="008D3F25"/>
    <w:rsid w:val="008D4D82"/>
    <w:rsid w:val="008E0E46"/>
    <w:rsid w:val="008E7116"/>
    <w:rsid w:val="008F143B"/>
    <w:rsid w:val="008F3882"/>
    <w:rsid w:val="008F4B7C"/>
    <w:rsid w:val="008F5C92"/>
    <w:rsid w:val="008F610F"/>
    <w:rsid w:val="0092362D"/>
    <w:rsid w:val="00924E27"/>
    <w:rsid w:val="00926E47"/>
    <w:rsid w:val="009465C8"/>
    <w:rsid w:val="00947162"/>
    <w:rsid w:val="0095347D"/>
    <w:rsid w:val="009610D0"/>
    <w:rsid w:val="0096375C"/>
    <w:rsid w:val="009662E6"/>
    <w:rsid w:val="00967CC0"/>
    <w:rsid w:val="0097095E"/>
    <w:rsid w:val="0098592B"/>
    <w:rsid w:val="00985FC4"/>
    <w:rsid w:val="00990766"/>
    <w:rsid w:val="00991261"/>
    <w:rsid w:val="009964C4"/>
    <w:rsid w:val="009971B1"/>
    <w:rsid w:val="009A7B81"/>
    <w:rsid w:val="009B6DE3"/>
    <w:rsid w:val="009C1536"/>
    <w:rsid w:val="009D01C0"/>
    <w:rsid w:val="009D6A08"/>
    <w:rsid w:val="009E0A16"/>
    <w:rsid w:val="009E6CB7"/>
    <w:rsid w:val="009E7970"/>
    <w:rsid w:val="009F1882"/>
    <w:rsid w:val="009F2EAC"/>
    <w:rsid w:val="009F57E3"/>
    <w:rsid w:val="00A02A38"/>
    <w:rsid w:val="00A04EA0"/>
    <w:rsid w:val="00A10F4F"/>
    <w:rsid w:val="00A11067"/>
    <w:rsid w:val="00A1704A"/>
    <w:rsid w:val="00A376B4"/>
    <w:rsid w:val="00A425EB"/>
    <w:rsid w:val="00A67415"/>
    <w:rsid w:val="00A72F22"/>
    <w:rsid w:val="00A733BC"/>
    <w:rsid w:val="00A748A6"/>
    <w:rsid w:val="00A76A69"/>
    <w:rsid w:val="00A84356"/>
    <w:rsid w:val="00A84B13"/>
    <w:rsid w:val="00A855F9"/>
    <w:rsid w:val="00A879A4"/>
    <w:rsid w:val="00A9631D"/>
    <w:rsid w:val="00A97BE6"/>
    <w:rsid w:val="00AA0FF8"/>
    <w:rsid w:val="00AA6743"/>
    <w:rsid w:val="00AB22AD"/>
    <w:rsid w:val="00AC0F2C"/>
    <w:rsid w:val="00AC251E"/>
    <w:rsid w:val="00AC502A"/>
    <w:rsid w:val="00AD41B1"/>
    <w:rsid w:val="00AD72A3"/>
    <w:rsid w:val="00AE774E"/>
    <w:rsid w:val="00AF58C1"/>
    <w:rsid w:val="00B04A3F"/>
    <w:rsid w:val="00B06643"/>
    <w:rsid w:val="00B1345A"/>
    <w:rsid w:val="00B15055"/>
    <w:rsid w:val="00B20551"/>
    <w:rsid w:val="00B216A6"/>
    <w:rsid w:val="00B26A77"/>
    <w:rsid w:val="00B30179"/>
    <w:rsid w:val="00B33FC7"/>
    <w:rsid w:val="00B37B15"/>
    <w:rsid w:val="00B45C02"/>
    <w:rsid w:val="00B46938"/>
    <w:rsid w:val="00B564A0"/>
    <w:rsid w:val="00B602FE"/>
    <w:rsid w:val="00B70B63"/>
    <w:rsid w:val="00B72A1E"/>
    <w:rsid w:val="00B73BC8"/>
    <w:rsid w:val="00B81E12"/>
    <w:rsid w:val="00BA339B"/>
    <w:rsid w:val="00BA56E2"/>
    <w:rsid w:val="00BB23CC"/>
    <w:rsid w:val="00BB4C97"/>
    <w:rsid w:val="00BB5EDD"/>
    <w:rsid w:val="00BB645D"/>
    <w:rsid w:val="00BC1E7E"/>
    <w:rsid w:val="00BC70F5"/>
    <w:rsid w:val="00BC74E9"/>
    <w:rsid w:val="00BD28CA"/>
    <w:rsid w:val="00BE14E5"/>
    <w:rsid w:val="00BE36A9"/>
    <w:rsid w:val="00BE618E"/>
    <w:rsid w:val="00BE7BEC"/>
    <w:rsid w:val="00BF0A5A"/>
    <w:rsid w:val="00BF0E63"/>
    <w:rsid w:val="00BF12A3"/>
    <w:rsid w:val="00BF16D7"/>
    <w:rsid w:val="00BF2373"/>
    <w:rsid w:val="00BF6202"/>
    <w:rsid w:val="00C02478"/>
    <w:rsid w:val="00C044E2"/>
    <w:rsid w:val="00C048CB"/>
    <w:rsid w:val="00C066F3"/>
    <w:rsid w:val="00C20B29"/>
    <w:rsid w:val="00C463DD"/>
    <w:rsid w:val="00C473D7"/>
    <w:rsid w:val="00C50FBD"/>
    <w:rsid w:val="00C745C3"/>
    <w:rsid w:val="00C86DCA"/>
    <w:rsid w:val="00C964B0"/>
    <w:rsid w:val="00C978F5"/>
    <w:rsid w:val="00CA24A4"/>
    <w:rsid w:val="00CA67BD"/>
    <w:rsid w:val="00CA74AB"/>
    <w:rsid w:val="00CB348D"/>
    <w:rsid w:val="00CC38D0"/>
    <w:rsid w:val="00CD07F9"/>
    <w:rsid w:val="00CD46F5"/>
    <w:rsid w:val="00CE3667"/>
    <w:rsid w:val="00CE4A8F"/>
    <w:rsid w:val="00CF071D"/>
    <w:rsid w:val="00CF19F4"/>
    <w:rsid w:val="00D0123D"/>
    <w:rsid w:val="00D15B04"/>
    <w:rsid w:val="00D2031B"/>
    <w:rsid w:val="00D25FE2"/>
    <w:rsid w:val="00D37DA9"/>
    <w:rsid w:val="00D406A7"/>
    <w:rsid w:val="00D43252"/>
    <w:rsid w:val="00D446A8"/>
    <w:rsid w:val="00D44D86"/>
    <w:rsid w:val="00D4534A"/>
    <w:rsid w:val="00D46422"/>
    <w:rsid w:val="00D477D8"/>
    <w:rsid w:val="00D50B7D"/>
    <w:rsid w:val="00D52012"/>
    <w:rsid w:val="00D5343A"/>
    <w:rsid w:val="00D53913"/>
    <w:rsid w:val="00D620AB"/>
    <w:rsid w:val="00D704E5"/>
    <w:rsid w:val="00D709E6"/>
    <w:rsid w:val="00D72727"/>
    <w:rsid w:val="00D94377"/>
    <w:rsid w:val="00D978C6"/>
    <w:rsid w:val="00DA0956"/>
    <w:rsid w:val="00DA2780"/>
    <w:rsid w:val="00DA357F"/>
    <w:rsid w:val="00DA3E12"/>
    <w:rsid w:val="00DC18AD"/>
    <w:rsid w:val="00DD22F2"/>
    <w:rsid w:val="00DD5EAE"/>
    <w:rsid w:val="00DF7CAE"/>
    <w:rsid w:val="00E0010E"/>
    <w:rsid w:val="00E00D6E"/>
    <w:rsid w:val="00E1300C"/>
    <w:rsid w:val="00E17944"/>
    <w:rsid w:val="00E24692"/>
    <w:rsid w:val="00E411E0"/>
    <w:rsid w:val="00E423C0"/>
    <w:rsid w:val="00E60FA5"/>
    <w:rsid w:val="00E6414C"/>
    <w:rsid w:val="00E7260F"/>
    <w:rsid w:val="00E8702D"/>
    <w:rsid w:val="00E905F4"/>
    <w:rsid w:val="00E916A9"/>
    <w:rsid w:val="00E916DE"/>
    <w:rsid w:val="00E925AD"/>
    <w:rsid w:val="00E96630"/>
    <w:rsid w:val="00EA76B6"/>
    <w:rsid w:val="00EC4BBA"/>
    <w:rsid w:val="00ED128A"/>
    <w:rsid w:val="00ED18DC"/>
    <w:rsid w:val="00ED6201"/>
    <w:rsid w:val="00ED7A2A"/>
    <w:rsid w:val="00EE6AC2"/>
    <w:rsid w:val="00EF1D7F"/>
    <w:rsid w:val="00F0137E"/>
    <w:rsid w:val="00F01AED"/>
    <w:rsid w:val="00F106B4"/>
    <w:rsid w:val="00F14F20"/>
    <w:rsid w:val="00F21786"/>
    <w:rsid w:val="00F21A58"/>
    <w:rsid w:val="00F3742B"/>
    <w:rsid w:val="00F41FDB"/>
    <w:rsid w:val="00F45453"/>
    <w:rsid w:val="00F47A55"/>
    <w:rsid w:val="00F51190"/>
    <w:rsid w:val="00F56D63"/>
    <w:rsid w:val="00F609A9"/>
    <w:rsid w:val="00F779ED"/>
    <w:rsid w:val="00F80C99"/>
    <w:rsid w:val="00F867EC"/>
    <w:rsid w:val="00F91B2B"/>
    <w:rsid w:val="00FA54E7"/>
    <w:rsid w:val="00FB0497"/>
    <w:rsid w:val="00FB46DD"/>
    <w:rsid w:val="00FB52A4"/>
    <w:rsid w:val="00FC03CD"/>
    <w:rsid w:val="00FC0646"/>
    <w:rsid w:val="00FC281C"/>
    <w:rsid w:val="00FC68B7"/>
    <w:rsid w:val="00FD6592"/>
    <w:rsid w:val="00FE6985"/>
    <w:rsid w:val="00FF39F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27B540"/>
  <w15:docId w15:val="{B848A592-5EF2-4132-9075-0626C1CF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A46FA"/>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A46FA"/>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6F31D3"/>
    <w:pPr>
      <w:numPr>
        <w:numId w:val="19"/>
      </w:numPr>
      <w:suppressAutoHyphens w:val="0"/>
    </w:pPr>
  </w:style>
  <w:style w:type="character" w:customStyle="1" w:styleId="SingleTxtGChar">
    <w:name w:val="_ Single Txt_G Char"/>
    <w:link w:val="SingleTxtG"/>
    <w:rsid w:val="009465C8"/>
    <w:rPr>
      <w:lang w:val="en-GB"/>
    </w:rPr>
  </w:style>
  <w:style w:type="character" w:customStyle="1" w:styleId="H1GChar">
    <w:name w:val="_ H_1_G Char"/>
    <w:link w:val="H1G"/>
    <w:rsid w:val="00AE774E"/>
    <w:rPr>
      <w:b/>
      <w:sz w:val="24"/>
      <w:lang w:val="en-GB"/>
    </w:rPr>
  </w:style>
  <w:style w:type="paragraph" w:styleId="CommentText">
    <w:name w:val="annotation text"/>
    <w:basedOn w:val="Normal"/>
    <w:link w:val="CommentTextChar"/>
    <w:uiPriority w:val="99"/>
    <w:semiHidden/>
    <w:unhideWhenUsed/>
    <w:rsid w:val="00EE6AC2"/>
    <w:pPr>
      <w:spacing w:line="240" w:lineRule="auto"/>
    </w:pPr>
  </w:style>
  <w:style w:type="character" w:customStyle="1" w:styleId="CommentTextChar">
    <w:name w:val="Comment Text Char"/>
    <w:basedOn w:val="DefaultParagraphFont"/>
    <w:link w:val="CommentText"/>
    <w:uiPriority w:val="99"/>
    <w:semiHidden/>
    <w:rsid w:val="00EE6AC2"/>
    <w:rPr>
      <w:lang w:val="en-GB"/>
    </w:rPr>
  </w:style>
  <w:style w:type="character" w:styleId="CommentReference">
    <w:name w:val="annotation reference"/>
    <w:uiPriority w:val="99"/>
    <w:semiHidden/>
    <w:rsid w:val="00EE6AC2"/>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S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53F3-7150-458F-8F00-CA3579B0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TRANS_SC_E.dotm</Template>
  <TotalTime>1758</TotalTime>
  <Pages>15</Pages>
  <Words>5081</Words>
  <Characters>28962</Characters>
  <Application>Microsoft Office Word</Application>
  <DocSecurity>0</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ECE/TRANS/SC.1/412</vt:lpstr>
      <vt:lpstr>United Nations</vt:lpstr>
    </vt:vector>
  </TitlesOfParts>
  <Company>CSD</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ECE/TRANS/SC.1/412</dc:title>
  <dc:creator>Josephine Ayiku</dc:creator>
  <cp:lastModifiedBy>Josephine Ayiku</cp:lastModifiedBy>
  <cp:revision>165</cp:revision>
  <cp:lastPrinted>2019-11-08T15:04:00Z</cp:lastPrinted>
  <dcterms:created xsi:type="dcterms:W3CDTF">2019-10-29T09:34:00Z</dcterms:created>
  <dcterms:modified xsi:type="dcterms:W3CDTF">2019-11-08T15:06:00Z</dcterms:modified>
</cp:coreProperties>
</file>