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5356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5356A" w:rsidP="0095356A">
            <w:pPr>
              <w:jc w:val="right"/>
            </w:pPr>
            <w:r w:rsidRPr="0095356A">
              <w:rPr>
                <w:sz w:val="40"/>
              </w:rPr>
              <w:t>ECE</w:t>
            </w:r>
            <w:r>
              <w:t>/TRANS/SC.1/410</w:t>
            </w:r>
          </w:p>
        </w:tc>
      </w:tr>
      <w:tr w:rsidR="002D5AAC" w:rsidRPr="00C033D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5356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5356A" w:rsidRDefault="0095356A" w:rsidP="009535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November 2018</w:t>
            </w:r>
          </w:p>
          <w:p w:rsidR="0095356A" w:rsidRDefault="0095356A" w:rsidP="009535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5356A" w:rsidRPr="008D53B6" w:rsidRDefault="0095356A" w:rsidP="0095356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95356A" w:rsidRPr="003A74A2" w:rsidRDefault="0095356A" w:rsidP="0095356A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3A74A2">
        <w:rPr>
          <w:b/>
          <w:bCs/>
          <w:sz w:val="28"/>
          <w:szCs w:val="28"/>
        </w:rPr>
        <w:t>Европейская экономическая комиссия</w:t>
      </w:r>
      <w:r w:rsidRPr="003A74A2">
        <w:rPr>
          <w:sz w:val="28"/>
          <w:szCs w:val="28"/>
        </w:rPr>
        <w:t xml:space="preserve"> </w:t>
      </w:r>
    </w:p>
    <w:p w:rsidR="0095356A" w:rsidRPr="007D0D9A" w:rsidRDefault="0095356A" w:rsidP="0095356A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7D0D9A">
        <w:rPr>
          <w:sz w:val="28"/>
          <w:szCs w:val="28"/>
        </w:rPr>
        <w:t>Комитет по внутреннему транспорту</w:t>
      </w:r>
    </w:p>
    <w:p w:rsidR="0095356A" w:rsidRPr="007D0D9A" w:rsidRDefault="0095356A" w:rsidP="0095356A">
      <w:pPr>
        <w:pStyle w:val="SingleTxtG"/>
        <w:ind w:left="0"/>
        <w:jc w:val="left"/>
        <w:rPr>
          <w:b/>
          <w:sz w:val="24"/>
          <w:szCs w:val="24"/>
        </w:rPr>
      </w:pPr>
      <w:r w:rsidRPr="007D0D9A">
        <w:rPr>
          <w:b/>
          <w:bCs/>
          <w:sz w:val="24"/>
          <w:szCs w:val="24"/>
        </w:rPr>
        <w:t>Рабочая группа по автомобильному транспорту</w:t>
      </w:r>
      <w:r w:rsidRPr="007D0D9A">
        <w:rPr>
          <w:sz w:val="24"/>
          <w:szCs w:val="24"/>
        </w:rPr>
        <w:t xml:space="preserve"> </w:t>
      </w:r>
    </w:p>
    <w:p w:rsidR="0095356A" w:rsidRPr="007D0D9A" w:rsidRDefault="0095356A" w:rsidP="0095356A">
      <w:pPr>
        <w:pStyle w:val="SingleTxtG"/>
        <w:spacing w:after="0"/>
        <w:ind w:left="0"/>
        <w:jc w:val="left"/>
        <w:rPr>
          <w:b/>
        </w:rPr>
      </w:pPr>
      <w:r w:rsidRPr="007D0D9A">
        <w:rPr>
          <w:b/>
          <w:bCs/>
        </w:rPr>
        <w:t>113-я сессия</w:t>
      </w:r>
    </w:p>
    <w:p w:rsidR="0095356A" w:rsidRPr="007D0D9A" w:rsidRDefault="0095356A" w:rsidP="0095356A">
      <w:pPr>
        <w:pStyle w:val="SingleTxtG"/>
        <w:spacing w:after="0"/>
        <w:ind w:left="0"/>
        <w:jc w:val="left"/>
      </w:pPr>
      <w:r w:rsidRPr="007D0D9A">
        <w:t>Женева, 16–18 октября 2018 года</w:t>
      </w:r>
    </w:p>
    <w:p w:rsidR="0095356A" w:rsidRPr="007D0D9A" w:rsidRDefault="0095356A" w:rsidP="0095356A">
      <w:pPr>
        <w:pStyle w:val="HChG"/>
      </w:pPr>
      <w:r w:rsidRPr="007D0D9A">
        <w:tab/>
      </w:r>
      <w:r w:rsidRPr="007D0D9A">
        <w:tab/>
        <w:t>Доклад Рабочей группы по автомобильному транспорту о работе ее 113-й сессии</w:t>
      </w:r>
    </w:p>
    <w:p w:rsidR="0095356A" w:rsidRDefault="0095356A" w:rsidP="0095356A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95356A" w:rsidRDefault="0095356A" w:rsidP="0095356A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7D0D9A">
        <w:rPr>
          <w:lang w:val="en-US"/>
        </w:rPr>
        <w:t>I</w:t>
      </w:r>
      <w:r w:rsidRPr="007D0D9A">
        <w:t>.</w:t>
      </w:r>
      <w:r w:rsidRPr="007D0D9A">
        <w:tab/>
        <w:t>Участники</w:t>
      </w:r>
      <w:r>
        <w:tab/>
      </w:r>
      <w:r>
        <w:tab/>
        <w:t>1–2</w:t>
      </w:r>
      <w:r>
        <w:tab/>
        <w:t>3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7D0D9A">
        <w:t>II.</w:t>
      </w:r>
      <w:r w:rsidRPr="007D0D9A">
        <w:tab/>
        <w:t>Утверждение повестки дня</w:t>
      </w:r>
      <w:r>
        <w:t xml:space="preserve"> (пункт 1 повестки дня)</w:t>
      </w:r>
      <w:r>
        <w:tab/>
      </w:r>
      <w:r>
        <w:tab/>
        <w:t>3</w:t>
      </w:r>
      <w:r>
        <w:tab/>
        <w:t>3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7D0D9A">
        <w:t>III.</w:t>
      </w:r>
      <w:r w:rsidRPr="007D0D9A">
        <w:tab/>
        <w:t>Деятельность, представляющая интерес для Рабочей группы</w:t>
      </w:r>
      <w:r>
        <w:t xml:space="preserve"> </w:t>
      </w:r>
      <w:r>
        <w:br/>
      </w:r>
      <w:r>
        <w:tab/>
      </w:r>
      <w:r>
        <w:tab/>
        <w:t>(пункт 2 повестки дня)</w:t>
      </w:r>
      <w:r>
        <w:tab/>
      </w:r>
      <w:r>
        <w:tab/>
        <w:t>4–12</w:t>
      </w:r>
      <w:r>
        <w:tab/>
        <w:t>3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7D0D9A">
        <w:t>A.</w:t>
      </w:r>
      <w:r w:rsidRPr="007D0D9A">
        <w:tab/>
        <w:t>Национальные делегации</w:t>
      </w:r>
      <w:r>
        <w:tab/>
      </w:r>
      <w:r>
        <w:tab/>
        <w:t>4</w:t>
      </w:r>
      <w:r>
        <w:tab/>
        <w:t>3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7D0D9A">
        <w:t>B.</w:t>
      </w:r>
      <w:r w:rsidRPr="007D0D9A">
        <w:tab/>
        <w:t>Международные организации</w:t>
      </w:r>
      <w:r>
        <w:tab/>
      </w:r>
      <w:r>
        <w:tab/>
        <w:t>5–6</w:t>
      </w:r>
      <w:r>
        <w:tab/>
        <w:t>3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7D0D9A">
        <w:t>C.</w:t>
      </w:r>
      <w:r w:rsidRPr="007D0D9A">
        <w:tab/>
        <w:t xml:space="preserve">Деятельность органов ЕЭК ООН и других организаций системы </w:t>
      </w:r>
      <w:r>
        <w:br/>
      </w:r>
      <w:r>
        <w:tab/>
      </w:r>
      <w:r>
        <w:tab/>
      </w:r>
      <w:r>
        <w:tab/>
      </w:r>
      <w:r w:rsidRPr="007D0D9A">
        <w:t xml:space="preserve">Организации Объединенных </w:t>
      </w:r>
      <w:r>
        <w:t>Наций</w:t>
      </w:r>
      <w:r>
        <w:tab/>
      </w:r>
      <w:r>
        <w:tab/>
        <w:t>7–8</w:t>
      </w:r>
      <w:r>
        <w:tab/>
        <w:t>3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7D0D9A">
        <w:t>D.</w:t>
      </w:r>
      <w:r w:rsidRPr="007D0D9A">
        <w:tab/>
        <w:t>Цифровая/</w:t>
      </w:r>
      <w:r>
        <w:t>«</w:t>
      </w:r>
      <w:r w:rsidRPr="007D0D9A">
        <w:t>интеллектуальная</w:t>
      </w:r>
      <w:r>
        <w:t>»</w:t>
      </w:r>
      <w:r w:rsidRPr="007D0D9A">
        <w:t xml:space="preserve"> инфраструктура</w:t>
      </w:r>
      <w:r>
        <w:tab/>
      </w:r>
      <w:r>
        <w:tab/>
        <w:t>9–12</w:t>
      </w:r>
      <w:r>
        <w:tab/>
        <w:t>4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7D0D9A">
        <w:t>IV.</w:t>
      </w:r>
      <w:r w:rsidRPr="007D0D9A">
        <w:tab/>
        <w:t xml:space="preserve">Европейское соглашение, касающееся работы экипажей транспортных </w:t>
      </w:r>
      <w:r>
        <w:br/>
      </w:r>
      <w:r>
        <w:tab/>
      </w:r>
      <w:r>
        <w:tab/>
      </w:r>
      <w:r w:rsidRPr="007D0D9A">
        <w:t>средств, производящих международные автомобильные</w:t>
      </w:r>
      <w:r>
        <w:br/>
      </w:r>
      <w:r>
        <w:tab/>
      </w:r>
      <w:r>
        <w:tab/>
      </w:r>
      <w:r w:rsidRPr="007D0D9A">
        <w:t>перевозки (ЕСТР)</w:t>
      </w:r>
      <w:r>
        <w:t xml:space="preserve"> (пункт 3 повестки дня)</w:t>
      </w:r>
      <w:r>
        <w:tab/>
      </w:r>
      <w:r>
        <w:tab/>
        <w:t>13–19</w:t>
      </w:r>
      <w:r>
        <w:tab/>
        <w:t>4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7D0D9A">
        <w:t>A.</w:t>
      </w:r>
      <w:r w:rsidRPr="007D0D9A">
        <w:tab/>
        <w:t>Статус Соглашения</w:t>
      </w:r>
      <w:r>
        <w:tab/>
      </w:r>
      <w:r>
        <w:tab/>
        <w:t>13–15</w:t>
      </w:r>
      <w:r>
        <w:tab/>
        <w:t>4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7D0D9A">
        <w:t>B.</w:t>
      </w:r>
      <w:r w:rsidRPr="007D0D9A">
        <w:tab/>
        <w:t>Группа экспертов по ЕСТР</w:t>
      </w:r>
      <w:r>
        <w:tab/>
      </w:r>
      <w:r>
        <w:tab/>
        <w:t>16–19</w:t>
      </w:r>
      <w:r>
        <w:tab/>
        <w:t>5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7D0D9A">
        <w:t>V.</w:t>
      </w:r>
      <w:r w:rsidRPr="007D0D9A">
        <w:tab/>
        <w:t>Европейское соглашение о международных автомагистралях (СМА)</w:t>
      </w:r>
      <w:r>
        <w:t xml:space="preserve"> </w:t>
      </w:r>
      <w:r>
        <w:br/>
      </w:r>
      <w:r>
        <w:tab/>
      </w:r>
      <w:r>
        <w:tab/>
        <w:t>(пункт 4 повестки дня)</w:t>
      </w:r>
      <w:r>
        <w:tab/>
      </w:r>
      <w:r>
        <w:tab/>
        <w:t>20</w:t>
      </w:r>
      <w:r>
        <w:tab/>
        <w:t>5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  <w:t>Статус Соглашения</w:t>
      </w:r>
      <w:r>
        <w:tab/>
      </w:r>
      <w:r>
        <w:tab/>
        <w:t>20</w:t>
      </w:r>
      <w:r>
        <w:tab/>
        <w:t>5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7D0D9A">
        <w:t>VI.</w:t>
      </w:r>
      <w:r w:rsidRPr="007D0D9A">
        <w:tab/>
        <w:t>Проект трансъевропейской автомагистрали Север</w:t>
      </w:r>
      <w:r>
        <w:t>–</w:t>
      </w:r>
      <w:r w:rsidRPr="007D0D9A">
        <w:t>Юг (ТЕА)</w:t>
      </w:r>
      <w:r>
        <w:t xml:space="preserve"> </w:t>
      </w:r>
      <w:r>
        <w:br/>
      </w:r>
      <w:r>
        <w:tab/>
      </w:r>
      <w:r>
        <w:tab/>
        <w:t>(пункт 5 повестки дня)</w:t>
      </w:r>
      <w:r>
        <w:tab/>
      </w:r>
      <w:r>
        <w:tab/>
        <w:t>21</w:t>
      </w:r>
      <w:r>
        <w:tab/>
        <w:t>5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ED79F5">
        <w:t>VII.</w:t>
      </w:r>
      <w:r w:rsidRPr="00ED79F5">
        <w:tab/>
        <w:t xml:space="preserve">Конвенция о договоре международной дорожной перевозки </w:t>
      </w:r>
      <w:r>
        <w:br/>
      </w:r>
      <w:r>
        <w:tab/>
      </w:r>
      <w:r>
        <w:tab/>
      </w:r>
      <w:r w:rsidRPr="00ED79F5">
        <w:t>грузов (КДПГ)</w:t>
      </w:r>
      <w:r>
        <w:t xml:space="preserve"> (пункт 6 повестки дня)</w:t>
      </w:r>
      <w:r>
        <w:tab/>
      </w:r>
      <w:r>
        <w:tab/>
        <w:t>22–35</w:t>
      </w:r>
      <w:r>
        <w:tab/>
        <w:t>5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ED79F5">
        <w:t>A.</w:t>
      </w:r>
      <w:r w:rsidRPr="00ED79F5">
        <w:tab/>
        <w:t xml:space="preserve">Статус </w:t>
      </w:r>
      <w:r>
        <w:t>Конвенции</w:t>
      </w:r>
      <w:r>
        <w:tab/>
      </w:r>
      <w:r>
        <w:tab/>
        <w:t>22</w:t>
      </w:r>
      <w:r>
        <w:tab/>
        <w:t>5</w:t>
      </w:r>
    </w:p>
    <w:p w:rsidR="0095356A" w:rsidRPr="00155C80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lastRenderedPageBreak/>
        <w:tab/>
      </w:r>
      <w:r>
        <w:tab/>
      </w:r>
      <w:r w:rsidRPr="00155C80">
        <w:t>B.</w:t>
      </w:r>
      <w:r w:rsidRPr="00155C80">
        <w:tab/>
        <w:t xml:space="preserve">Протокол к Конвенции о договоре международной дорожной </w:t>
      </w:r>
      <w:r>
        <w:br/>
      </w:r>
      <w:r>
        <w:tab/>
      </w:r>
      <w:r>
        <w:tab/>
      </w:r>
      <w:r>
        <w:tab/>
      </w:r>
      <w:r w:rsidRPr="00155C80">
        <w:t>перевозки грузов (КДПГ)</w:t>
      </w:r>
      <w:r w:rsidRPr="00155C80">
        <w:tab/>
      </w:r>
      <w:r w:rsidRPr="00155C80">
        <w:tab/>
      </w:r>
      <w:r>
        <w:t>23</w:t>
      </w:r>
      <w:r w:rsidRPr="00155C80">
        <w:tab/>
      </w:r>
      <w:r>
        <w:t>6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ED79F5">
        <w:t>C.</w:t>
      </w:r>
      <w:r w:rsidRPr="00ED79F5">
        <w:tab/>
        <w:t xml:space="preserve">Дополнительный протокол к КДПГ, касающийся электронной </w:t>
      </w:r>
      <w:r>
        <w:br/>
      </w:r>
      <w:r>
        <w:tab/>
      </w:r>
      <w:r>
        <w:tab/>
      </w:r>
      <w:r>
        <w:tab/>
      </w:r>
      <w:r w:rsidRPr="00ED79F5">
        <w:t>накладной</w:t>
      </w:r>
      <w:r>
        <w:tab/>
      </w:r>
      <w:r>
        <w:tab/>
        <w:t>24–35</w:t>
      </w:r>
      <w:r>
        <w:tab/>
        <w:t>6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ED79F5">
        <w:t>VIII.</w:t>
      </w:r>
      <w:r w:rsidRPr="00ED79F5">
        <w:tab/>
        <w:t>Облегчение международных автомобильных перевозок</w:t>
      </w:r>
      <w:r>
        <w:t xml:space="preserve"> </w:t>
      </w:r>
      <w:r>
        <w:br/>
      </w:r>
      <w:r>
        <w:tab/>
      </w:r>
      <w:r>
        <w:tab/>
        <w:t>(пункт 7 повестки дня)</w:t>
      </w:r>
      <w:r>
        <w:tab/>
      </w:r>
      <w:r>
        <w:tab/>
        <w:t>36–46</w:t>
      </w:r>
      <w:r>
        <w:tab/>
        <w:t>7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ED79F5">
        <w:t>A.</w:t>
      </w:r>
      <w:r w:rsidRPr="00ED79F5">
        <w:tab/>
        <w:t xml:space="preserve">Международная система страхования автотранспортных средств </w:t>
      </w:r>
      <w:r>
        <w:br/>
      </w:r>
      <w:r>
        <w:tab/>
      </w:r>
      <w:r>
        <w:tab/>
      </w:r>
      <w:r>
        <w:tab/>
      </w:r>
      <w:r w:rsidRPr="00ED79F5">
        <w:t>(«Зеленая карта»)</w:t>
      </w:r>
      <w:r>
        <w:tab/>
      </w:r>
      <w:r>
        <w:tab/>
        <w:t>36–37</w:t>
      </w:r>
      <w:r>
        <w:tab/>
        <w:t>7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ED79F5">
        <w:t>B.</w:t>
      </w:r>
      <w:r w:rsidRPr="00ED79F5">
        <w:tab/>
        <w:t xml:space="preserve">Предложение по глобальному многостороннему соглашению </w:t>
      </w:r>
      <w:r>
        <w:br/>
      </w:r>
      <w:r>
        <w:tab/>
      </w:r>
      <w:r>
        <w:tab/>
      </w:r>
      <w:r>
        <w:tab/>
      </w:r>
      <w:r w:rsidRPr="00ED79F5">
        <w:t xml:space="preserve">о международных регулярных перевозках пассажиров </w:t>
      </w:r>
      <w:r>
        <w:br/>
      </w:r>
      <w:r>
        <w:tab/>
      </w:r>
      <w:r>
        <w:tab/>
      </w:r>
      <w:r>
        <w:tab/>
      </w:r>
      <w:r w:rsidRPr="00ED79F5">
        <w:t>междугородными и городскими автобусами (ОмниБУС)</w:t>
      </w:r>
      <w:r>
        <w:tab/>
      </w:r>
      <w:r>
        <w:tab/>
        <w:t>38–41</w:t>
      </w:r>
      <w:r>
        <w:tab/>
        <w:t>7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A939A7">
        <w:t>C.</w:t>
      </w:r>
      <w:r w:rsidRPr="00A939A7">
        <w:tab/>
        <w:t xml:space="preserve">Количественные ограничения на международные автомобильные </w:t>
      </w:r>
      <w:r>
        <w:br/>
      </w:r>
      <w:r>
        <w:tab/>
      </w:r>
      <w:r>
        <w:tab/>
      </w:r>
      <w:r>
        <w:tab/>
      </w:r>
      <w:r w:rsidRPr="00A939A7">
        <w:t>перевозки грузов</w:t>
      </w:r>
      <w:r>
        <w:tab/>
      </w:r>
      <w:r>
        <w:tab/>
        <w:t>42–44</w:t>
      </w:r>
      <w:r>
        <w:tab/>
        <w:t>8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A939A7">
        <w:t>D.</w:t>
      </w:r>
      <w:r w:rsidRPr="00A939A7">
        <w:tab/>
        <w:t xml:space="preserve">Связь между происхождением товаров и транспортными </w:t>
      </w:r>
      <w:r>
        <w:br/>
      </w:r>
      <w:r>
        <w:tab/>
      </w:r>
      <w:r>
        <w:tab/>
      </w:r>
      <w:r>
        <w:tab/>
      </w:r>
      <w:r w:rsidRPr="00A939A7">
        <w:t>операциями</w:t>
      </w:r>
      <w:r>
        <w:tab/>
      </w:r>
      <w:r>
        <w:tab/>
        <w:t>45–46</w:t>
      </w:r>
      <w:r>
        <w:tab/>
        <w:t>8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939A7">
        <w:t>IX.</w:t>
      </w:r>
      <w:r w:rsidRPr="00A939A7">
        <w:tab/>
        <w:t>Группа экспертов по безопасности на железнодорожных переездах</w:t>
      </w:r>
      <w:r>
        <w:t xml:space="preserve"> </w:t>
      </w:r>
      <w:r>
        <w:br/>
      </w:r>
      <w:r>
        <w:tab/>
      </w:r>
      <w:r>
        <w:tab/>
        <w:t>(пункт 8 повестки дня)</w:t>
      </w:r>
      <w:r>
        <w:tab/>
      </w:r>
      <w:r>
        <w:tab/>
        <w:t>47</w:t>
      </w:r>
      <w:r>
        <w:tab/>
        <w:t>8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939A7">
        <w:t>X.</w:t>
      </w:r>
      <w:r w:rsidRPr="00A939A7">
        <w:tab/>
        <w:t>Пересмотр круга ведения и правил процедуры SC.1</w:t>
      </w:r>
      <w:r>
        <w:t xml:space="preserve"> </w:t>
      </w:r>
      <w:r>
        <w:br/>
      </w:r>
      <w:r>
        <w:tab/>
      </w:r>
      <w:r>
        <w:tab/>
        <w:t>(пункт 9 повестки дня)</w:t>
      </w:r>
      <w:r>
        <w:tab/>
      </w:r>
      <w:r>
        <w:tab/>
        <w:t>48–49</w:t>
      </w:r>
      <w:r>
        <w:tab/>
        <w:t>9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939A7">
        <w:t>XI.</w:t>
      </w:r>
      <w:r w:rsidRPr="00A939A7">
        <w:tab/>
        <w:t>Прочие вопросы</w:t>
      </w:r>
      <w:r>
        <w:t xml:space="preserve"> (пункт 10 повестки дня)</w:t>
      </w:r>
      <w:r>
        <w:tab/>
      </w:r>
      <w:r>
        <w:tab/>
        <w:t>50</w:t>
      </w:r>
      <w:r>
        <w:tab/>
        <w:t>9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939A7">
        <w:t>XII.</w:t>
      </w:r>
      <w:r w:rsidRPr="00A939A7">
        <w:tab/>
        <w:t>Сроки проведения следующей сессии</w:t>
      </w:r>
      <w:r>
        <w:t xml:space="preserve"> (пункт 11 повестки дня)</w:t>
      </w:r>
      <w:r w:rsidRPr="00A939A7">
        <w:tab/>
      </w:r>
      <w:r w:rsidRPr="00A939A7">
        <w:tab/>
      </w:r>
      <w:r>
        <w:t>51</w:t>
      </w:r>
      <w:r w:rsidRPr="00A939A7">
        <w:tab/>
      </w:r>
      <w:r>
        <w:t>9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939A7">
        <w:t>XIII.</w:t>
      </w:r>
      <w:r w:rsidRPr="00A939A7">
        <w:tab/>
        <w:t>Выборы должностных лиц</w:t>
      </w:r>
      <w:r>
        <w:t xml:space="preserve"> (пункт 12 повестки дня)</w:t>
      </w:r>
      <w:r>
        <w:tab/>
      </w:r>
      <w:r>
        <w:tab/>
        <w:t>52</w:t>
      </w:r>
      <w:r>
        <w:tab/>
        <w:t>9</w:t>
      </w:r>
    </w:p>
    <w:p w:rsidR="0095356A" w:rsidRPr="00A939A7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A939A7">
        <w:t>XIV.</w:t>
      </w:r>
      <w:r w:rsidRPr="00A939A7">
        <w:tab/>
        <w:t>Утверждение доклада</w:t>
      </w:r>
      <w:r>
        <w:t xml:space="preserve"> (пункт 13 повестки дня)</w:t>
      </w:r>
      <w:r>
        <w:tab/>
      </w:r>
      <w:r>
        <w:tab/>
        <w:t>53</w:t>
      </w:r>
      <w:r>
        <w:tab/>
        <w:t>9</w:t>
      </w:r>
    </w:p>
    <w:p w:rsidR="0095356A" w:rsidRDefault="0095356A" w:rsidP="0095356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Приложение</w:t>
      </w:r>
    </w:p>
    <w:p w:rsidR="0095356A" w:rsidRPr="00A939A7" w:rsidRDefault="0095356A" w:rsidP="009E1BD0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>
        <w:tab/>
      </w:r>
      <w:r>
        <w:tab/>
      </w:r>
      <w:r w:rsidRPr="00A939A7">
        <w:t>Стратегия КВТ до 2030 года</w:t>
      </w:r>
      <w:r>
        <w:tab/>
      </w:r>
      <w:r>
        <w:tab/>
        <w:t>10</w:t>
      </w:r>
    </w:p>
    <w:p w:rsidR="0095356A" w:rsidRPr="00A939A7" w:rsidRDefault="0095356A" w:rsidP="0095356A">
      <w:pPr>
        <w:pStyle w:val="SingleTxtG"/>
      </w:pPr>
      <w:r w:rsidRPr="00A939A7">
        <w:br w:type="page"/>
      </w:r>
    </w:p>
    <w:p w:rsidR="0095356A" w:rsidRPr="007D0D9A" w:rsidRDefault="0095356A" w:rsidP="0095356A">
      <w:pPr>
        <w:pStyle w:val="HChG"/>
      </w:pPr>
      <w:r w:rsidRPr="007D0D9A">
        <w:lastRenderedPageBreak/>
        <w:tab/>
      </w:r>
      <w:r w:rsidRPr="007D0D9A">
        <w:rPr>
          <w:lang w:val="en-US"/>
        </w:rPr>
        <w:t>I</w:t>
      </w:r>
      <w:r w:rsidRPr="007D0D9A">
        <w:t>.</w:t>
      </w:r>
      <w:r w:rsidRPr="007D0D9A">
        <w:tab/>
      </w:r>
      <w:r w:rsidRPr="007D0D9A">
        <w:tab/>
        <w:t>Участники</w:t>
      </w:r>
    </w:p>
    <w:p w:rsidR="0095356A" w:rsidRPr="007D0D9A" w:rsidRDefault="0095356A" w:rsidP="0095356A">
      <w:pPr>
        <w:pStyle w:val="SingleTxtG"/>
      </w:pPr>
      <w:r w:rsidRPr="007D0D9A">
        <w:t>1.</w:t>
      </w:r>
      <w:r w:rsidRPr="007D0D9A">
        <w:tab/>
        <w:t xml:space="preserve">Рабочая группа по автомобильному транспорту (SC.1) провела свою </w:t>
      </w:r>
      <w:r w:rsidR="00A664A5">
        <w:br/>
      </w:r>
      <w:r w:rsidRPr="007D0D9A">
        <w:t>113-ю сессию 16–18 октября 2018 года под председательством г-на Р. Симоненко (Украина). На сессии были представлены следующие государства</w:t>
      </w:r>
      <w:r w:rsidRPr="003F3781">
        <w:t xml:space="preserve"> </w:t>
      </w:r>
      <w:r w:rsidRPr="007D0D9A">
        <w:t>− члены Европейской экономической комиссии Организации Объединенных Наций (ЕЭК ООН): Германия, Нидерланды, Норвегия, Польша, Российская Федерация, Румыния, Словения, Турция, Украина, Финляндия и Чешская Республика.</w:t>
      </w:r>
    </w:p>
    <w:p w:rsidR="0095356A" w:rsidRPr="007D0D9A" w:rsidRDefault="0095356A" w:rsidP="0095356A">
      <w:pPr>
        <w:pStyle w:val="SingleTxtG"/>
      </w:pPr>
      <w:bookmarkStart w:id="1" w:name="_Hlk528581737"/>
      <w:r w:rsidRPr="007D0D9A">
        <w:t>2.</w:t>
      </w:r>
      <w:r w:rsidRPr="007D0D9A">
        <w:tab/>
        <w:t>В работе сессии приняли участие следующие международные организации: Европейский союз и Межправительственная организация по международному железнодорожному сообщению (ОТИФ). Были представлены следующие неправительственные организации: Ассоциация международных автомобильных перевозчиков (АСМАП), Совет страховых бюро (ССБ), Проект ЕвроМед по поддержке развития транспорта, Международная программа оценки дорог (ИРАП), Международный союз автомобильного транспорта (МСАТ) и Московская торгово-промышленная палата (МТПП).</w:t>
      </w:r>
    </w:p>
    <w:bookmarkEnd w:id="1"/>
    <w:p w:rsidR="0095356A" w:rsidRPr="007D0D9A" w:rsidRDefault="0095356A" w:rsidP="0095356A">
      <w:pPr>
        <w:pStyle w:val="HChG"/>
      </w:pPr>
      <w:r w:rsidRPr="007D0D9A">
        <w:tab/>
        <w:t>II.</w:t>
      </w:r>
      <w:r w:rsidRPr="007D0D9A">
        <w:tab/>
        <w:t>Утверждение повестки дня</w:t>
      </w:r>
    </w:p>
    <w:p w:rsidR="0095356A" w:rsidRPr="007D0D9A" w:rsidRDefault="0095356A" w:rsidP="0095356A">
      <w:pPr>
        <w:pStyle w:val="SingleTxtG"/>
      </w:pPr>
      <w:r w:rsidRPr="007D0D9A">
        <w:t>3.</w:t>
      </w:r>
      <w:r w:rsidRPr="007D0D9A">
        <w:tab/>
        <w:t>SC.1 утвердила повестку дня сессии (ECE/TRANS/SC.1/409).</w:t>
      </w:r>
    </w:p>
    <w:p w:rsidR="0095356A" w:rsidRPr="007D0D9A" w:rsidRDefault="0095356A" w:rsidP="0095356A">
      <w:pPr>
        <w:pStyle w:val="HChG"/>
      </w:pPr>
      <w:r w:rsidRPr="007D0D9A">
        <w:tab/>
        <w:t>III.</w:t>
      </w:r>
      <w:r w:rsidRPr="007D0D9A">
        <w:tab/>
        <w:t>Деятельность, представляющая интерес для Рабочей группы</w:t>
      </w:r>
    </w:p>
    <w:p w:rsidR="0095356A" w:rsidRPr="007D0D9A" w:rsidRDefault="0095356A" w:rsidP="0095356A">
      <w:pPr>
        <w:pStyle w:val="H1G"/>
      </w:pPr>
      <w:r w:rsidRPr="007D0D9A">
        <w:tab/>
        <w:t>A.</w:t>
      </w:r>
      <w:r w:rsidRPr="007D0D9A">
        <w:tab/>
        <w:t>Национальные делегации</w:t>
      </w:r>
    </w:p>
    <w:p w:rsidR="0095356A" w:rsidRPr="007D0D9A" w:rsidRDefault="0095356A" w:rsidP="0095356A">
      <w:pPr>
        <w:pStyle w:val="SingleTxtG"/>
      </w:pPr>
      <w:r w:rsidRPr="007D0D9A">
        <w:t>4.</w:t>
      </w:r>
      <w:r w:rsidRPr="007D0D9A">
        <w:tab/>
        <w:t>На нынешней сессии национальными делегациями не было представлено никакой новой информации.</w:t>
      </w:r>
    </w:p>
    <w:p w:rsidR="0095356A" w:rsidRPr="007D0D9A" w:rsidRDefault="0095356A" w:rsidP="0095356A">
      <w:pPr>
        <w:pStyle w:val="H1G"/>
      </w:pPr>
      <w:r w:rsidRPr="007D0D9A">
        <w:tab/>
        <w:t>B.</w:t>
      </w:r>
      <w:r w:rsidRPr="007D0D9A">
        <w:tab/>
      </w:r>
      <w:r w:rsidRPr="007D0D9A">
        <w:tab/>
        <w:t>Международные организации</w:t>
      </w:r>
    </w:p>
    <w:p w:rsidR="0095356A" w:rsidRPr="007D0D9A" w:rsidRDefault="0095356A" w:rsidP="0095356A">
      <w:pPr>
        <w:pStyle w:val="SingleTxtG"/>
      </w:pPr>
      <w:r w:rsidRPr="007D0D9A">
        <w:t>5.</w:t>
      </w:r>
      <w:r w:rsidRPr="007D0D9A">
        <w:tab/>
        <w:t>МСАТ проинформировал SC.1 о своих инициативах, касающихся снижения зависимости от углеводородов, проблемы с нехваткой водителей, инноваций, проекта</w:t>
      </w:r>
      <w:r>
        <w:rPr>
          <w:lang w:val="en-US"/>
        </w:rPr>
        <w:t> </w:t>
      </w:r>
      <w:r w:rsidRPr="007D0D9A">
        <w:t xml:space="preserve">eTIR, а также Брегзита. </w:t>
      </w:r>
    </w:p>
    <w:p w:rsidR="0095356A" w:rsidRPr="007D0D9A" w:rsidRDefault="0095356A" w:rsidP="0095356A">
      <w:pPr>
        <w:pStyle w:val="SingleTxtG"/>
      </w:pPr>
      <w:r w:rsidRPr="007D0D9A">
        <w:t>6.</w:t>
      </w:r>
      <w:r w:rsidRPr="007D0D9A">
        <w:tab/>
        <w:t xml:space="preserve">Представитель Международной программы оценки дорог (ИРАП) рассказал о своей работе над критериями рейтинга с помощью системы звездочек. </w:t>
      </w:r>
    </w:p>
    <w:p w:rsidR="0095356A" w:rsidRPr="007D0D9A" w:rsidRDefault="0095356A" w:rsidP="0095356A">
      <w:pPr>
        <w:pStyle w:val="H1G"/>
      </w:pPr>
      <w:r w:rsidRPr="007D0D9A">
        <w:tab/>
        <w:t>C.</w:t>
      </w:r>
      <w:r w:rsidRPr="007D0D9A">
        <w:tab/>
        <w:t>Деятельность органов ЕЭК ООН и других организаций системы Организации Объединенных Наций</w:t>
      </w:r>
    </w:p>
    <w:p w:rsidR="0095356A" w:rsidRPr="007D0D9A" w:rsidRDefault="0095356A" w:rsidP="0095356A">
      <w:pPr>
        <w:pStyle w:val="SingleTxtG"/>
      </w:pPr>
      <w:r w:rsidRPr="007D0D9A">
        <w:t>7.</w:t>
      </w:r>
      <w:r w:rsidRPr="007D0D9A">
        <w:tab/>
        <w:t>Секретариат проинформировал SC.1 об итогах соответствующих сессий Комитета по внутреннему транспорту, его вспомогательных органов и других подразделений Организации Объединенных Наций по вопросам, представляющим интерес для Рабочей группы. В частности, секретариат сообщил SC.1 о ключевых решениях, принятых на восьмидесятой сессии Комитета по внутреннему транспорту (20–23 февраля 2018 года) (неофициальный документ № 13 КВТ (2018 год), пункты</w:t>
      </w:r>
      <w:r>
        <w:t> </w:t>
      </w:r>
      <w:r w:rsidRPr="007D0D9A">
        <w:t>25–27).</w:t>
      </w:r>
    </w:p>
    <w:p w:rsidR="0095356A" w:rsidRPr="007D0D9A" w:rsidRDefault="0095356A" w:rsidP="0095356A">
      <w:pPr>
        <w:pStyle w:val="SingleTxtG"/>
      </w:pPr>
      <w:r w:rsidRPr="007D0D9A">
        <w:t>8.</w:t>
      </w:r>
      <w:r w:rsidRPr="007D0D9A">
        <w:tab/>
        <w:t>Бюро Комитета по внутреннему транспорту (КВТ) при поддержке секретариата продолжило работу над проектом стратегии КВТ до 2030 года (ECE/TRANS/2019/R.1). В соответствии с решением КВТ (ECE/TRANS/274, пункт 17) Бюро просило а)</w:t>
      </w:r>
      <w:r>
        <w:t> </w:t>
      </w:r>
      <w:r w:rsidRPr="007D0D9A">
        <w:t xml:space="preserve">включить вопрос об обсуждении стратегии КВТ в повестки дня совещаний рабочих групп до конца года и b) распространить документ с проектом стратегии среди правительств для облегчения консультаций. С учетом вышеизложенного SC.1 </w:t>
      </w:r>
      <w:r w:rsidRPr="007D0D9A">
        <w:lastRenderedPageBreak/>
        <w:t>обсудила документ ECE/TRANS/2019/R.1 и высказала свои замечания, изложенные в приложении.</w:t>
      </w:r>
    </w:p>
    <w:p w:rsidR="0095356A" w:rsidRPr="007D0D9A" w:rsidRDefault="0095356A" w:rsidP="0095356A">
      <w:pPr>
        <w:pStyle w:val="H1G"/>
      </w:pPr>
      <w:r w:rsidRPr="007D0D9A">
        <w:tab/>
        <w:t>D.</w:t>
      </w:r>
      <w:r w:rsidRPr="007D0D9A">
        <w:tab/>
        <w:t>Цифровая/</w:t>
      </w:r>
      <w:r>
        <w:t>«</w:t>
      </w:r>
      <w:r w:rsidRPr="007D0D9A">
        <w:t>интеллектуальная</w:t>
      </w:r>
      <w:r>
        <w:t>»</w:t>
      </w:r>
      <w:r w:rsidRPr="007D0D9A">
        <w:t xml:space="preserve"> инфраструктура</w:t>
      </w:r>
    </w:p>
    <w:p w:rsidR="0095356A" w:rsidRPr="007D0D9A" w:rsidRDefault="0095356A" w:rsidP="0095356A">
      <w:pPr>
        <w:pStyle w:val="SingleTxtG"/>
      </w:pPr>
      <w:bookmarkStart w:id="2" w:name="_Hlk528748437"/>
      <w:r w:rsidRPr="007D0D9A">
        <w:t>9.</w:t>
      </w:r>
      <w:r w:rsidRPr="007D0D9A">
        <w:tab/>
        <w:t xml:space="preserve">В ходе своей предыдущей сессии SC.1 заявила, что </w:t>
      </w:r>
      <w:r>
        <w:t>«</w:t>
      </w:r>
      <w:r w:rsidRPr="007D0D9A">
        <w:t xml:space="preserve">будет стремиться организовывать мероприятия (ECE/TRANS/SC.1/408, пункт 49), связанные с </w:t>
      </w:r>
      <w:r>
        <w:t>«</w:t>
      </w:r>
      <w:r w:rsidRPr="007D0D9A">
        <w:t>цифровой/интеллектуальной инфраструктурой</w:t>
      </w:r>
      <w:r>
        <w:t>»</w:t>
      </w:r>
      <w:r w:rsidRPr="007D0D9A">
        <w:t>, в целях получения более полной информации о возникающих проблемах и рассмотрения возможности учета этих изменений в своей программе работы</w:t>
      </w:r>
      <w:r>
        <w:t>»</w:t>
      </w:r>
      <w:r w:rsidRPr="007D0D9A">
        <w:t xml:space="preserve">. В этой связи секретариат организовал специальную сессию SC.1, состоявшуюся 4–6 апреля 2018 года, причем второй день ее работы – 5 апреля 2018 года – был посвящен проведению специализированного рабочего совещания на эту же тему. </w:t>
      </w:r>
    </w:p>
    <w:bookmarkEnd w:id="2"/>
    <w:p w:rsidR="0095356A" w:rsidRPr="007D0D9A" w:rsidRDefault="0095356A" w:rsidP="0095356A">
      <w:pPr>
        <w:pStyle w:val="SingleTxtG"/>
      </w:pPr>
      <w:r w:rsidRPr="007D0D9A">
        <w:t>10.</w:t>
      </w:r>
      <w:r w:rsidRPr="007D0D9A">
        <w:tab/>
        <w:t>Итоги этой специальной сессии отражены в соответствующем докладе (ECE/TRANS/SC.1/S/398), в том числе решение SC.1 включить эту тему в качестве одного из пунктов своей повестки дня в информационно-пропагандистских целях с учетом ее важности для автомобильного транспорта (пункт 29). Секретариат подготовил подборку тематических исследований и выдержек из проектных документов на основе материалов, которые были на добровольной основе предоставлены докладчиками, выступавшими на рабочем совещании в ходе этой специальной сессии (неофициальный документ № 7).</w:t>
      </w:r>
    </w:p>
    <w:p w:rsidR="0095356A" w:rsidRPr="007D0D9A" w:rsidRDefault="0095356A" w:rsidP="0095356A">
      <w:pPr>
        <w:pStyle w:val="SingleTxtG"/>
      </w:pPr>
      <w:r w:rsidRPr="007D0D9A">
        <w:t>11.</w:t>
      </w:r>
      <w:r w:rsidRPr="007D0D9A">
        <w:tab/>
        <w:t xml:space="preserve">На этой сессии с сообщениями выступили представитель Румынии и основатель консалтинговой компании </w:t>
      </w:r>
      <w:r>
        <w:t>«</w:t>
      </w:r>
      <w:r w:rsidRPr="007D0D9A">
        <w:t>Нью транспорт эдвайзэрз</w:t>
      </w:r>
      <w:r>
        <w:t>»</w:t>
      </w:r>
      <w:r w:rsidRPr="007D0D9A">
        <w:t xml:space="preserve">. Представитель Румынии поделился информацией об интеллектуальной системе раннего выявления рисков в сфере автомобильных перевозок, которая была недавно внедрена. Представитель компании </w:t>
      </w:r>
      <w:r>
        <w:t>«</w:t>
      </w:r>
      <w:r w:rsidRPr="007D0D9A">
        <w:t>Нью транспорт эдвайзэрз</w:t>
      </w:r>
      <w:r>
        <w:t>»</w:t>
      </w:r>
      <w:r w:rsidRPr="007D0D9A">
        <w:t xml:space="preserve"> рассказал о новых тенденциях в области автоматизированных транспортных средств и систем совместного использования автомобилей. Оба выступления были встречены с интересом и получили высокую оценку. В ответ на вопросы, заданные членами SC.1, представитель компании </w:t>
      </w:r>
      <w:r>
        <w:t>«</w:t>
      </w:r>
      <w:r w:rsidRPr="007D0D9A">
        <w:t>Нью транспорт эдвайзэрз</w:t>
      </w:r>
      <w:r>
        <w:t>»</w:t>
      </w:r>
      <w:r w:rsidRPr="007D0D9A">
        <w:t xml:space="preserve"> выступил с рекомендацией о том, чтобы руководители в области управления автодорожной инфраструктурой учитывали вопросы взаимосовместимости в ходе принятия решений об инвестициях в национальную инфраструктуру, а также рекомендовал рассмотреть возможность разработки стандартов для взаимосовместимых систем.</w:t>
      </w:r>
    </w:p>
    <w:p w:rsidR="0095356A" w:rsidRPr="007D0D9A" w:rsidRDefault="0095356A" w:rsidP="0095356A">
      <w:pPr>
        <w:pStyle w:val="SingleTxtG"/>
      </w:pPr>
      <w:r w:rsidRPr="007D0D9A">
        <w:t>12.</w:t>
      </w:r>
      <w:r w:rsidRPr="007D0D9A">
        <w:tab/>
        <w:t>Секретариат призвал членов SC.1 предложить представляющие интерес темы для обсуждения в рамках этого пункта повестки дня и выступить с соответствующими презентациями на следующей сессии.</w:t>
      </w:r>
    </w:p>
    <w:p w:rsidR="0095356A" w:rsidRPr="007D0D9A" w:rsidRDefault="0095356A" w:rsidP="0095356A">
      <w:pPr>
        <w:pStyle w:val="HChG"/>
      </w:pPr>
      <w:r w:rsidRPr="007D0D9A">
        <w:tab/>
        <w:t>IV.</w:t>
      </w:r>
      <w:r w:rsidRPr="007D0D9A">
        <w:tab/>
        <w:t>Европейское соглашение, касающееся работы экипажей транспортных средств, производящих международные автомобильные перевозки (ЕСТР)</w:t>
      </w:r>
    </w:p>
    <w:p w:rsidR="0095356A" w:rsidRPr="007D0D9A" w:rsidRDefault="0095356A" w:rsidP="0095356A">
      <w:pPr>
        <w:pStyle w:val="H1G"/>
      </w:pPr>
      <w:r w:rsidRPr="007D0D9A">
        <w:tab/>
        <w:t>A.</w:t>
      </w:r>
      <w:r w:rsidRPr="007D0D9A">
        <w:tab/>
        <w:t>Статус Соглашения</w:t>
      </w:r>
    </w:p>
    <w:p w:rsidR="0095356A" w:rsidRPr="007D0D9A" w:rsidRDefault="0095356A" w:rsidP="0095356A">
      <w:pPr>
        <w:pStyle w:val="SingleTxtG"/>
      </w:pPr>
      <w:r w:rsidRPr="007D0D9A">
        <w:t>13.</w:t>
      </w:r>
      <w:r w:rsidRPr="007D0D9A">
        <w:tab/>
        <w:t>Секретариат сообщил SC.1, что статус Соглашения ЕСТР не изменился. В нем по-прежнему участвует 51 Договаривающаяся сторона.</w:t>
      </w:r>
    </w:p>
    <w:p w:rsidR="0095356A" w:rsidRPr="007D0D9A" w:rsidRDefault="0095356A" w:rsidP="0095356A">
      <w:pPr>
        <w:pStyle w:val="SingleTxtG"/>
      </w:pPr>
      <w:r w:rsidRPr="007D0D9A">
        <w:t>14.</w:t>
      </w:r>
      <w:r w:rsidRPr="007D0D9A">
        <w:tab/>
        <w:t>Секретариат также проинформировал SC.1 о том, что Турция уведомила Группу экспертов о том, что ею предприняты необходимые шаги для представления Управлению Организации Объединенных Наций по правовым вопросам предложения о внесении поправки в статью 14, с тем чтобы Ливан имел право присоединиться к Конвенции.</w:t>
      </w:r>
    </w:p>
    <w:p w:rsidR="0095356A" w:rsidRPr="007D0D9A" w:rsidRDefault="0095356A" w:rsidP="0095356A">
      <w:pPr>
        <w:pStyle w:val="SingleTxtG"/>
      </w:pPr>
      <w:r w:rsidRPr="007D0D9A">
        <w:t>15.</w:t>
      </w:r>
      <w:r w:rsidRPr="007D0D9A">
        <w:tab/>
        <w:t xml:space="preserve">Представитель Проекта ЕвроМед по поддержке развития транспорта проинформировал SC.1 о том, что Алжир, Египет, Израиль, Иордания, Ливан, Марокко и Тунис приняли необходимые меры для присоединения к Соглашению ЕСТР в </w:t>
      </w:r>
      <w:r w:rsidRPr="007D0D9A">
        <w:lastRenderedPageBreak/>
        <w:t xml:space="preserve">ближайшем будущем. Он сообщил также, что Египет, вероятно, выразит свою заинтересованность в изменении статьи 14, так чтобы он получил право присоединиться к Соглашению ЕСТР. </w:t>
      </w:r>
    </w:p>
    <w:p w:rsidR="0095356A" w:rsidRPr="007D0D9A" w:rsidRDefault="0095356A" w:rsidP="0095356A">
      <w:pPr>
        <w:pStyle w:val="H1G"/>
      </w:pPr>
      <w:r w:rsidRPr="007D0D9A">
        <w:tab/>
        <w:t>B.</w:t>
      </w:r>
      <w:r w:rsidRPr="007D0D9A">
        <w:tab/>
      </w:r>
      <w:r w:rsidRPr="007D0D9A">
        <w:tab/>
        <w:t>Группа экспертов по ЕСТР</w:t>
      </w:r>
    </w:p>
    <w:p w:rsidR="0095356A" w:rsidRPr="007D0D9A" w:rsidRDefault="0095356A" w:rsidP="0095356A">
      <w:pPr>
        <w:pStyle w:val="SingleTxtG"/>
      </w:pPr>
      <w:r w:rsidRPr="007D0D9A">
        <w:t>16.</w:t>
      </w:r>
      <w:r w:rsidRPr="007D0D9A">
        <w:tab/>
        <w:t>Председатель Группы экспертов по ЕСТР представил обновленную информацию о работе Группы экспертов по ЕСТР со времени проведения прошлой сессии SC.1 (подробная информация содержится в документах ECE/TRANS/</w:t>
      </w:r>
      <w:r>
        <w:br/>
      </w:r>
      <w:r w:rsidRPr="007D0D9A">
        <w:t>SC.1/GE.21/41 и ECE/TRANS/SC.1/GE.21/43).</w:t>
      </w:r>
    </w:p>
    <w:p w:rsidR="0095356A" w:rsidRPr="007D0D9A" w:rsidRDefault="0095356A" w:rsidP="0095356A">
      <w:pPr>
        <w:pStyle w:val="SingleTxtG"/>
      </w:pPr>
      <w:r w:rsidRPr="007D0D9A">
        <w:t>17.</w:t>
      </w:r>
      <w:r w:rsidRPr="007D0D9A">
        <w:tab/>
        <w:t xml:space="preserve">На прошлой сессии секретариат обратил внимание SC.1 на возможную целесообразность рассмотрения вопроса об изменении названия Соглашения ЕСТР путем исключения слова </w:t>
      </w:r>
      <w:r>
        <w:t>«</w:t>
      </w:r>
      <w:r w:rsidRPr="007D0D9A">
        <w:t>Европейское</w:t>
      </w:r>
      <w:r>
        <w:t>»</w:t>
      </w:r>
      <w:r w:rsidRPr="007D0D9A">
        <w:t xml:space="preserve"> из его названия (ECE/TRANS/SC.1/GE.21/37</w:t>
      </w:r>
      <w:r w:rsidR="00796FB9">
        <w:t>,</w:t>
      </w:r>
      <w:r w:rsidRPr="007D0D9A">
        <w:t xml:space="preserve"> пункт 14). Председатель повторно предложил членам SC.1 проконсультироваться со своими соответствующими правительствами и изложить соображения на следующей сессии. </w:t>
      </w:r>
    </w:p>
    <w:p w:rsidR="0095356A" w:rsidRPr="007D0D9A" w:rsidRDefault="0095356A" w:rsidP="0095356A">
      <w:pPr>
        <w:pStyle w:val="SingleTxtG"/>
      </w:pPr>
      <w:r w:rsidRPr="007D0D9A">
        <w:t>18.</w:t>
      </w:r>
      <w:r w:rsidRPr="007D0D9A">
        <w:tab/>
        <w:t>Правительство Турции выступило с сообщением о ходе реализации своего проекта по созданию национального центра мониторинга данных о продолжительности периодов управления транспортными средствами и отдыха, включая создание конкретного компонента базы данных в середине 2018 года (ECE/TRANS/SC.1/408, пункт 23). SC.1 просила представить обновленную информацию на будущих сессиях.</w:t>
      </w:r>
    </w:p>
    <w:p w:rsidR="0095356A" w:rsidRPr="007D0D9A" w:rsidRDefault="0095356A" w:rsidP="0095356A">
      <w:pPr>
        <w:pStyle w:val="SingleTxtG"/>
      </w:pPr>
      <w:r w:rsidRPr="007D0D9A">
        <w:t>19.</w:t>
      </w:r>
      <w:r w:rsidRPr="007D0D9A">
        <w:tab/>
        <w:t>В том, что касается Меморандума о взаимопонимании с Объединенным исследовательским центром (ОИЦ), согласно которому ОИЦ признается главным сертифицирующим органом ЕСТР и центром сертификации эксплуатационной совместимости для Договаривающихся сторон ЕСТР, не являющихся членами ЕС, секретариат проинформировал SC.1 о том, что работа над предложенным дополнением к этому меморандуму, нацеленным на продление его действия до 31</w:t>
      </w:r>
      <w:r>
        <w:t> </w:t>
      </w:r>
      <w:r w:rsidRPr="007D0D9A">
        <w:t>декабря 2020 года, была успешно завершена (неофициальный документ № 8).</w:t>
      </w:r>
    </w:p>
    <w:p w:rsidR="0095356A" w:rsidRPr="007D0D9A" w:rsidRDefault="0095356A" w:rsidP="0095356A">
      <w:pPr>
        <w:pStyle w:val="HChG"/>
      </w:pPr>
      <w:r w:rsidRPr="007D0D9A">
        <w:tab/>
        <w:t>V.</w:t>
      </w:r>
      <w:r w:rsidRPr="007D0D9A">
        <w:tab/>
        <w:t>Европейское соглашение о международных автомагистралях (СМА)</w:t>
      </w:r>
    </w:p>
    <w:p w:rsidR="0095356A" w:rsidRPr="007D0D9A" w:rsidRDefault="0095356A" w:rsidP="0095356A">
      <w:pPr>
        <w:pStyle w:val="H1G"/>
      </w:pPr>
      <w:r w:rsidRPr="007D0D9A">
        <w:tab/>
      </w:r>
      <w:r w:rsidRPr="007D0D9A">
        <w:tab/>
        <w:t>Статус Соглашения</w:t>
      </w:r>
    </w:p>
    <w:p w:rsidR="0095356A" w:rsidRPr="007D0D9A" w:rsidRDefault="0095356A" w:rsidP="0095356A">
      <w:pPr>
        <w:pStyle w:val="SingleTxtG"/>
      </w:pPr>
      <w:r w:rsidRPr="007D0D9A">
        <w:t>20.</w:t>
      </w:r>
      <w:r w:rsidRPr="007D0D9A">
        <w:tab/>
        <w:t>Секретариат проинформировал SC.1 о статусе Соглашения СМА.  Со времени проведения прошлой сессии SC.1 число Договаривающихся сторон осталось неизменным (37).</w:t>
      </w:r>
    </w:p>
    <w:p w:rsidR="0095356A" w:rsidRPr="007D0D9A" w:rsidRDefault="0095356A" w:rsidP="0095356A">
      <w:pPr>
        <w:pStyle w:val="HChG"/>
      </w:pPr>
      <w:r w:rsidRPr="007D0D9A">
        <w:tab/>
        <w:t>VI.</w:t>
      </w:r>
      <w:r w:rsidRPr="007D0D9A">
        <w:tab/>
        <w:t>Проект трансъевропейской автомагистрали Север</w:t>
      </w:r>
      <w:r>
        <w:t>–</w:t>
      </w:r>
      <w:r w:rsidRPr="007D0D9A">
        <w:t>Юг (ТЕА)</w:t>
      </w:r>
    </w:p>
    <w:p w:rsidR="0095356A" w:rsidRPr="007D0D9A" w:rsidRDefault="0095356A" w:rsidP="0095356A">
      <w:pPr>
        <w:pStyle w:val="SingleTxtG"/>
      </w:pPr>
      <w:r w:rsidRPr="007D0D9A">
        <w:t>21.</w:t>
      </w:r>
      <w:r w:rsidRPr="007D0D9A">
        <w:tab/>
        <w:t>SC.1 приняла к сведению представленную секретариатом информацию о работе по проекту ТЕА, содержащуюся в неофициальном документе № 9, особо отметив вопросы, связанные с аудитом и осмотрами безопасности дорог.</w:t>
      </w:r>
    </w:p>
    <w:p w:rsidR="0095356A" w:rsidRPr="007D0D9A" w:rsidRDefault="0095356A" w:rsidP="0095356A">
      <w:pPr>
        <w:pStyle w:val="HChG"/>
      </w:pPr>
      <w:r w:rsidRPr="007D0D9A">
        <w:tab/>
        <w:t>VII.</w:t>
      </w:r>
      <w:r w:rsidRPr="007D0D9A">
        <w:tab/>
        <w:t>Конвенция о договоре международной дорожной перевозки грузов (КДПГ)</w:t>
      </w:r>
    </w:p>
    <w:p w:rsidR="0095356A" w:rsidRPr="007D0D9A" w:rsidRDefault="0095356A" w:rsidP="0095356A">
      <w:pPr>
        <w:pStyle w:val="H1G"/>
      </w:pPr>
      <w:r w:rsidRPr="007D0D9A">
        <w:tab/>
        <w:t>A.</w:t>
      </w:r>
      <w:r w:rsidRPr="007D0D9A">
        <w:tab/>
        <w:t>Статус Конвенции</w:t>
      </w:r>
    </w:p>
    <w:p w:rsidR="0095356A" w:rsidRPr="007D0D9A" w:rsidRDefault="0095356A" w:rsidP="0095356A">
      <w:pPr>
        <w:pStyle w:val="SingleTxtG"/>
      </w:pPr>
      <w:r w:rsidRPr="007D0D9A">
        <w:t>22.</w:t>
      </w:r>
      <w:r w:rsidRPr="007D0D9A">
        <w:tab/>
        <w:t>Секретариат проинформировал SC.1 о том, что со времени проведения прошлой сессии SC.1 число Договаривающихся сторон Конвенции осталось неизменным (55).</w:t>
      </w:r>
    </w:p>
    <w:p w:rsidR="0095356A" w:rsidRPr="007D0D9A" w:rsidRDefault="0095356A" w:rsidP="0095356A">
      <w:pPr>
        <w:pStyle w:val="H1G"/>
      </w:pPr>
      <w:r w:rsidRPr="007D0D9A">
        <w:lastRenderedPageBreak/>
        <w:tab/>
        <w:t>B.</w:t>
      </w:r>
      <w:r w:rsidRPr="007D0D9A">
        <w:tab/>
        <w:t>Протокол к Конвенции о договоре международной дорожной перевозки грузов (КДПГ)</w:t>
      </w:r>
    </w:p>
    <w:p w:rsidR="0095356A" w:rsidRPr="007D0D9A" w:rsidRDefault="0095356A" w:rsidP="0095356A">
      <w:pPr>
        <w:pStyle w:val="SingleTxtG"/>
      </w:pPr>
      <w:r w:rsidRPr="007D0D9A">
        <w:t>23.</w:t>
      </w:r>
      <w:r w:rsidRPr="007D0D9A">
        <w:tab/>
        <w:t>Секретариат проинформировал SC.1 о том, что со времени проведения прошлой сессии SC.1 число Договаривающихся сторон Протокола к Конвенции осталось неизменным (43).</w:t>
      </w:r>
    </w:p>
    <w:p w:rsidR="0095356A" w:rsidRPr="007D0D9A" w:rsidRDefault="0095356A" w:rsidP="0095356A">
      <w:pPr>
        <w:pStyle w:val="H1G"/>
      </w:pPr>
      <w:r w:rsidRPr="007D0D9A">
        <w:tab/>
        <w:t>C.</w:t>
      </w:r>
      <w:r w:rsidRPr="007D0D9A">
        <w:tab/>
        <w:t>Дополнительный протокол к КДПГ, касающийся электронной накладной</w:t>
      </w:r>
    </w:p>
    <w:p w:rsidR="0095356A" w:rsidRPr="007D0D9A" w:rsidRDefault="0095356A" w:rsidP="0095356A">
      <w:pPr>
        <w:pStyle w:val="SingleTxtG"/>
      </w:pPr>
      <w:r w:rsidRPr="007D0D9A">
        <w:t>24.</w:t>
      </w:r>
      <w:r w:rsidRPr="007D0D9A">
        <w:tab/>
        <w:t>Секретариат сообщил, что со времени проведения прошлой сессии SC.1 к Дополнительному протоколу к Конвенции присоединились пять государств (Иран (Исламская Республика), Люксембург, Российская Федерация, Республика Молдова и Турция), в результате чего общее число его Договаривающихся сторон достигло 17. Представители Норвегии, Польши, Румынии и Финляндии сообщили, что их страны намерены присоединиться к Дополнительному протоколу, и проинформировали SC.1 о соответствующих подготовительных мерах к присоединению.</w:t>
      </w:r>
    </w:p>
    <w:p w:rsidR="0095356A" w:rsidRPr="007D0D9A" w:rsidRDefault="0095356A" w:rsidP="0095356A">
      <w:pPr>
        <w:pStyle w:val="SingleTxtG"/>
      </w:pPr>
      <w:r w:rsidRPr="007D0D9A">
        <w:t>25.</w:t>
      </w:r>
      <w:r w:rsidRPr="007D0D9A">
        <w:tab/>
        <w:t>На прошлой сессии SC.1 поручила секретариату провести специальную сессию SC.1, посвященную е-CMR, в начале 2018 года для продолжения изучения этого вопроса и принятия решения относительно дальнейших действий (ECE/TRANS/SC.1/408, пункт 33). Во исполнение этого поручения секретариат организовал специальную сессию SC.1 в апреле 2018 года. Первый день ее работы – 4</w:t>
      </w:r>
      <w:r>
        <w:t> </w:t>
      </w:r>
      <w:r w:rsidRPr="007D0D9A">
        <w:t>апреля 2018 года – был посвящен проблематике Протокола по электронной накладной (e-CMR). Итоги этого совещания изложены в соответствующем докладе (ECE/TRANS/SC.1/S/398).</w:t>
      </w:r>
    </w:p>
    <w:p w:rsidR="0095356A" w:rsidRPr="007D0D9A" w:rsidRDefault="0095356A" w:rsidP="0095356A">
      <w:pPr>
        <w:pStyle w:val="SingleTxtG"/>
      </w:pPr>
      <w:r w:rsidRPr="007D0D9A">
        <w:t>26.</w:t>
      </w:r>
      <w:r w:rsidRPr="007D0D9A">
        <w:tab/>
        <w:t xml:space="preserve">По поручению SC.1, сформулированному на ее специальной сессии, секретариат подготовил </w:t>
      </w:r>
      <w:r>
        <w:t>«</w:t>
      </w:r>
      <w:r w:rsidRPr="007D0D9A">
        <w:t>беспристрастную</w:t>
      </w:r>
      <w:r>
        <w:t>»</w:t>
      </w:r>
      <w:r w:rsidRPr="007D0D9A">
        <w:t xml:space="preserve"> инструкцию по правовым аспектам e</w:t>
      </w:r>
      <w:r>
        <w:noBreakHyphen/>
      </w:r>
      <w:r w:rsidRPr="007D0D9A">
        <w:t xml:space="preserve">CMR (ECE/TRANS/SC.1/2018/1). В этом документе были учтены юридические вопросы, затронутые членами SC.1 </w:t>
      </w:r>
    </w:p>
    <w:p w:rsidR="0095356A" w:rsidRPr="007D0D9A" w:rsidRDefault="0095356A" w:rsidP="0095356A">
      <w:pPr>
        <w:pStyle w:val="SingleTxtG"/>
      </w:pPr>
      <w:r w:rsidRPr="007D0D9A">
        <w:t>27.</w:t>
      </w:r>
      <w:r w:rsidRPr="007D0D9A">
        <w:tab/>
        <w:t xml:space="preserve">Для следующей сессии SC.1 предложила Нидерландам подготовить и представить документ ECE/TRANS/SC.1/2018/1/Rev.1 с соответствующим текстом, отражающим обычный сценарий использования электронных накладных в контексте договоров дорожной перевозки грузов за вознаграждение посредством автомобилей, когда место принятия к перевозке груза, и место, предусмотренное для сдачи груза, находятся на территории двух различных стран, обе </w:t>
      </w:r>
      <w:r>
        <w:t xml:space="preserve">из </w:t>
      </w:r>
      <w:r w:rsidRPr="007D0D9A">
        <w:t>которых являются Договаривающими сторонами КДПГ (ECE/TRANS/SC.1/2018/1, пункты 29 и 30). Кроме того, на следующей сессии SC.1 примет решение о дальнейших шагах в контексте этой инструкции.</w:t>
      </w:r>
    </w:p>
    <w:p w:rsidR="0095356A" w:rsidRPr="007D0D9A" w:rsidRDefault="0095356A" w:rsidP="0095356A">
      <w:pPr>
        <w:pStyle w:val="SingleTxtG"/>
      </w:pPr>
      <w:r w:rsidRPr="007D0D9A">
        <w:t>28.</w:t>
      </w:r>
      <w:r w:rsidRPr="007D0D9A">
        <w:tab/>
        <w:t xml:space="preserve">Кроме того, по просьбе SC.1, связанной с тематическими исследованиями и примерами оптимальной практики, Нидерланды поделились документацией по проекту Бенилюкса, включающей решение Комитета министров Союза Бенилюкс от 7 сентября 2017 года относительно начала реализации экспериментального проекта по электронной накладной (e-CMR) с 1 декабря 2017 года по 1 декабря 2020 года (ECE/TRANS/SC.1/2018/3), а также сообщили об основаниях для принятия такого решения (ECE/TRANS/SC.1/2018/4). Нидерланды также представили бланк заявки для участников этого экспериментального проекта (первоначальный текст на французском языке с неофициальным переводом на английский и русский языки) (неофициальные документы № 2, 3 и 4). </w:t>
      </w:r>
    </w:p>
    <w:p w:rsidR="0095356A" w:rsidRPr="007D0D9A" w:rsidRDefault="0095356A" w:rsidP="0095356A">
      <w:pPr>
        <w:pStyle w:val="SingleTxtG"/>
      </w:pPr>
      <w:r w:rsidRPr="007D0D9A">
        <w:t>29.</w:t>
      </w:r>
      <w:r w:rsidRPr="007D0D9A">
        <w:tab/>
        <w:t>Европейская комиссия представила общую информацию о своем предложении относительно регламента Европейского парламента и Совета, который касается электронной информации о грузовых перевозках и был выпущен 17 мая 2018 года.</w:t>
      </w:r>
    </w:p>
    <w:p w:rsidR="0095356A" w:rsidRPr="007D0D9A" w:rsidRDefault="0095356A" w:rsidP="0095356A">
      <w:pPr>
        <w:pStyle w:val="SingleTxtG"/>
      </w:pPr>
      <w:r w:rsidRPr="007D0D9A">
        <w:t>30.</w:t>
      </w:r>
      <w:r w:rsidRPr="007D0D9A">
        <w:tab/>
        <w:t>МСАТ проинформировал SC.1 об экспериментальном проекте по e-CMR, который начнется в начале 2019 года в Латвии и Российской Федерации и будет осуществляться при участии таможенных органов этих Договаривающихся сторон.</w:t>
      </w:r>
    </w:p>
    <w:p w:rsidR="0095356A" w:rsidRPr="007D0D9A" w:rsidRDefault="0095356A" w:rsidP="0095356A">
      <w:pPr>
        <w:pStyle w:val="SingleTxtG"/>
      </w:pPr>
      <w:r w:rsidRPr="007D0D9A">
        <w:lastRenderedPageBreak/>
        <w:t>31.</w:t>
      </w:r>
      <w:r w:rsidRPr="007D0D9A">
        <w:tab/>
        <w:t>ОТИФ выразила заинтересованность в обсуждении этой темы и обратила внимание на то, что она ведет работу над решением аналогичных проблем, возникающих при внедрении электронных накладных для коммерческих перевозок грузов железнодорожным транспортом.</w:t>
      </w:r>
    </w:p>
    <w:p w:rsidR="0095356A" w:rsidRPr="007D0D9A" w:rsidRDefault="0095356A" w:rsidP="0095356A">
      <w:pPr>
        <w:pStyle w:val="SingleTxtG"/>
      </w:pPr>
      <w:r w:rsidRPr="007D0D9A">
        <w:t>32.</w:t>
      </w:r>
      <w:r w:rsidRPr="007D0D9A">
        <w:tab/>
        <w:t xml:space="preserve">В целях содействия обсуждению на этой сессии технических аспектов секретариат также подготовил перечень технических вопросов, переданных членами SC.1 (ECE/TRANS/SC.1/2018/2). </w:t>
      </w:r>
    </w:p>
    <w:p w:rsidR="0095356A" w:rsidRPr="007D0D9A" w:rsidRDefault="0095356A" w:rsidP="0095356A">
      <w:pPr>
        <w:pStyle w:val="SingleTxtG"/>
      </w:pPr>
      <w:r w:rsidRPr="007D0D9A">
        <w:t>33.</w:t>
      </w:r>
      <w:r w:rsidRPr="007D0D9A">
        <w:tab/>
        <w:t>Словения рассказала о своих трудностях, связанных с тем, что ни одна соседняя с ней страна не является договаривающейся стороной Дополнительного протокола по электронной накладной (e-CMR), что препятствует возможности осуществить такой экспериментальный проект. Финляндия подчеркнула важность взаимосовместимости технических систем, с тем чтобы в будущем можно было легко наладить обмен информацией.</w:t>
      </w:r>
    </w:p>
    <w:p w:rsidR="0095356A" w:rsidRPr="007D0D9A" w:rsidRDefault="0095356A" w:rsidP="0095356A">
      <w:pPr>
        <w:pStyle w:val="SingleTxtG"/>
      </w:pPr>
      <w:r w:rsidRPr="007D0D9A">
        <w:t>34.</w:t>
      </w:r>
      <w:r w:rsidRPr="007D0D9A">
        <w:tab/>
        <w:t xml:space="preserve">В ответ на вопрос секретариата о последующих шагах по e-CMR и о роли SC.1 в этой деятельности SC.1 подтвердила свою роль в качестве основной платформы для многостороннего диалога и обмена наилучшим/передовым опытом между Договаривающимися сторонами, внедряющими e-CMR. </w:t>
      </w:r>
    </w:p>
    <w:p w:rsidR="0095356A" w:rsidRPr="007D0D9A" w:rsidRDefault="0095356A" w:rsidP="0095356A">
      <w:pPr>
        <w:pStyle w:val="SingleTxtG"/>
      </w:pPr>
      <w:r w:rsidRPr="007D0D9A">
        <w:t>35.</w:t>
      </w:r>
      <w:r w:rsidRPr="007D0D9A">
        <w:tab/>
        <w:t>К следующей сессии Договаривающимся сторонам рекомендуется представить информацию или обновленные данные об их деятельности по внедрению e-CMR, в</w:t>
      </w:r>
      <w:r>
        <w:t> </w:t>
      </w:r>
      <w:r w:rsidRPr="007D0D9A">
        <w:t>том числе о возникающих проблемах и открывающихся возможностях. SC.1 просила Европейскую комиссию выступить с сообщением о платформе AEOLIX, которая планирует включить функционал по e-CMR к следующей сессии.</w:t>
      </w:r>
    </w:p>
    <w:p w:rsidR="0095356A" w:rsidRPr="007D0D9A" w:rsidRDefault="0095356A" w:rsidP="0095356A">
      <w:pPr>
        <w:pStyle w:val="HChG"/>
      </w:pPr>
      <w:r w:rsidRPr="007D0D9A">
        <w:tab/>
        <w:t>VIII.</w:t>
      </w:r>
      <w:r w:rsidRPr="007D0D9A">
        <w:tab/>
        <w:t>Облегчение международных автомобильных перевозок</w:t>
      </w:r>
    </w:p>
    <w:p w:rsidR="0095356A" w:rsidRPr="007D0D9A" w:rsidRDefault="0095356A" w:rsidP="0095356A">
      <w:pPr>
        <w:pStyle w:val="H1G"/>
      </w:pPr>
      <w:r w:rsidRPr="007D0D9A">
        <w:tab/>
        <w:t>A.</w:t>
      </w:r>
      <w:r w:rsidRPr="007D0D9A">
        <w:tab/>
      </w:r>
      <w:r w:rsidRPr="007D0D9A">
        <w:tab/>
        <w:t>Международная система страхования автотранспортных средств (</w:t>
      </w:r>
      <w:r>
        <w:t>«</w:t>
      </w:r>
      <w:r w:rsidRPr="007D0D9A">
        <w:t>Зеленая карта</w:t>
      </w:r>
      <w:r>
        <w:t>»</w:t>
      </w:r>
      <w:r w:rsidRPr="007D0D9A">
        <w:t>)</w:t>
      </w:r>
    </w:p>
    <w:p w:rsidR="0095356A" w:rsidRPr="007D0D9A" w:rsidRDefault="0095356A" w:rsidP="0095356A">
      <w:pPr>
        <w:pStyle w:val="SingleTxtG"/>
      </w:pPr>
      <w:r w:rsidRPr="007D0D9A">
        <w:t>36.</w:t>
      </w:r>
      <w:r w:rsidRPr="007D0D9A">
        <w:tab/>
        <w:t xml:space="preserve">SC.1 была проинформирована Генеральным секретарем Совета страховых бюро (ССБ) о последних изменениях в системе </w:t>
      </w:r>
      <w:r>
        <w:t>«</w:t>
      </w:r>
      <w:r w:rsidRPr="007D0D9A">
        <w:t>Зеленая карта</w:t>
      </w:r>
      <w:r>
        <w:t>»</w:t>
      </w:r>
      <w:r w:rsidRPr="007D0D9A">
        <w:t xml:space="preserve"> (подробная информация содержится в неофициальном документе № 5).</w:t>
      </w:r>
    </w:p>
    <w:p w:rsidR="0095356A" w:rsidRPr="007D0D9A" w:rsidRDefault="0095356A" w:rsidP="0095356A">
      <w:pPr>
        <w:pStyle w:val="SingleTxtG"/>
      </w:pPr>
      <w:r w:rsidRPr="007D0D9A">
        <w:t>37.</w:t>
      </w:r>
      <w:r w:rsidRPr="007D0D9A">
        <w:tab/>
        <w:t>Генеральный секретарь также сообщил, что ССБ хотел бы упразднить требование печатать зеленые карты зеленым цветом, и хотел бы выпускать их в формате PDF в черно-белом цвете. SC.1 поддержала и одобрила эту просьбу ССБ. SC.1 также предложила ССБ, если он сочтет это необходимым, представить предложение по поправкам к приложению 1 к пересмотренной Сводной резолюции об облегчении международных автомобильных перевозок (СР.4) на следующей сессии.</w:t>
      </w:r>
    </w:p>
    <w:p w:rsidR="0095356A" w:rsidRPr="007D0D9A" w:rsidRDefault="0095356A" w:rsidP="0095356A">
      <w:pPr>
        <w:pStyle w:val="H1G"/>
      </w:pPr>
      <w:r w:rsidRPr="007D0D9A">
        <w:tab/>
        <w:t>B.</w:t>
      </w:r>
      <w:r w:rsidRPr="007D0D9A">
        <w:tab/>
        <w:t>Предложение по глобальному многостороннему соглашению о</w:t>
      </w:r>
      <w:r>
        <w:t> </w:t>
      </w:r>
      <w:r w:rsidRPr="007D0D9A">
        <w:t>международных регулярных перевозках пассажиров междугородными и городскими автобусами (ОмниБУС)</w:t>
      </w:r>
    </w:p>
    <w:p w:rsidR="0095356A" w:rsidRPr="007D0D9A" w:rsidRDefault="0095356A" w:rsidP="0095356A">
      <w:pPr>
        <w:pStyle w:val="SingleTxtG"/>
      </w:pPr>
      <w:r w:rsidRPr="007D0D9A">
        <w:t>38.</w:t>
      </w:r>
      <w:r w:rsidRPr="007D0D9A">
        <w:tab/>
        <w:t>В течение третьего дня работы своей специальной сессии (6 апреля 2018 года) SC.1 рекомендовала обсудить документ ECE/TRANS/SC.1/2015/3 с упором на статьи</w:t>
      </w:r>
      <w:r>
        <w:t> </w:t>
      </w:r>
      <w:r w:rsidRPr="007D0D9A">
        <w:t>6, 8 и 25 и на приложение VI. В статьи 6 и 8 были внесены изменения. Российская Федерация сохранила свою позицию в отношении своей оговорки по проекту текста статьи 25 и приложения VI.</w:t>
      </w:r>
    </w:p>
    <w:p w:rsidR="0095356A" w:rsidRPr="007D0D9A" w:rsidRDefault="0095356A" w:rsidP="0095356A">
      <w:pPr>
        <w:pStyle w:val="SingleTxtG"/>
      </w:pPr>
      <w:r w:rsidRPr="007D0D9A">
        <w:t>39.</w:t>
      </w:r>
      <w:r w:rsidRPr="007D0D9A">
        <w:tab/>
        <w:t xml:space="preserve">SC.1 просила Российскую Федерацию, Турцию и Швейцарию достичь согласия и внести предложение по проекту текста касательно статьи 25 и приложения VI к нынешней сессии SC.1. </w:t>
      </w:r>
    </w:p>
    <w:p w:rsidR="0095356A" w:rsidRPr="007D0D9A" w:rsidRDefault="0095356A" w:rsidP="0095356A">
      <w:pPr>
        <w:pStyle w:val="SingleTxtG"/>
      </w:pPr>
      <w:r w:rsidRPr="007D0D9A">
        <w:t>40.</w:t>
      </w:r>
      <w:r w:rsidRPr="007D0D9A">
        <w:tab/>
        <w:t>SC.1 решила отложить обсуждение этого вопроса до следующей сессии ввиду отсутствия представителей Российской Федерации, Турции и Швейцарии.</w:t>
      </w:r>
    </w:p>
    <w:p w:rsidR="0095356A" w:rsidRPr="007D0D9A" w:rsidRDefault="0095356A" w:rsidP="0095356A">
      <w:pPr>
        <w:pStyle w:val="SingleTxtG"/>
      </w:pPr>
      <w:r w:rsidRPr="007D0D9A">
        <w:lastRenderedPageBreak/>
        <w:t>41.</w:t>
      </w:r>
      <w:r w:rsidRPr="007D0D9A">
        <w:tab/>
        <w:t xml:space="preserve">Европейская комиссия проинформировала о том, что 16 июля 2018 года Совет принял два протокола к Соглашению ИнтерБус (один – для расширения сферы охвата регулярных сообщений, а второй – с целью обеспечить возможность присоединения к Соглашению ИнтерБус для Марокко), а также соответствующий проект решения Объединенного Комитета. С проектом решения Объединенного Комитета можно ознакомиться по адресу </w:t>
      </w:r>
      <w:hyperlink r:id="rId8" w:history="1">
        <w:r w:rsidRPr="00445E0A">
          <w:rPr>
            <w:rStyle w:val="Hyperlink"/>
          </w:rPr>
          <w:t>https://eurlex.europa.eu/legalcontent/EN/TXT/?uri=uriserv:</w:t>
        </w:r>
        <w:r w:rsidRPr="00445E0A">
          <w:rPr>
            <w:rStyle w:val="Hyperlink"/>
          </w:rPr>
          <w:br/>
          <w:t>OJ.L_.2018.185.01.0016.01.ENG&amp;toc=OJ:L:2018:185:TOC</w:t>
        </w:r>
      </w:hyperlink>
      <w:r>
        <w:t>.</w:t>
      </w:r>
      <w:r w:rsidRPr="007D0D9A">
        <w:t xml:space="preserve"> Эти два протокола открыты для подписания начиная со дня их принятия в течение девяти месяцев. </w:t>
      </w:r>
    </w:p>
    <w:p w:rsidR="0095356A" w:rsidRPr="007D0D9A" w:rsidRDefault="0095356A" w:rsidP="0095356A">
      <w:pPr>
        <w:pStyle w:val="H1G"/>
      </w:pPr>
      <w:r w:rsidRPr="007D0D9A">
        <w:tab/>
        <w:t>C.</w:t>
      </w:r>
      <w:r w:rsidRPr="007D0D9A">
        <w:tab/>
        <w:t>Количественные ограничения на международные автомобильные перевозки грузов</w:t>
      </w:r>
    </w:p>
    <w:p w:rsidR="0095356A" w:rsidRPr="007D0D9A" w:rsidRDefault="0095356A" w:rsidP="0095356A">
      <w:pPr>
        <w:pStyle w:val="SingleTxtG"/>
      </w:pPr>
      <w:r w:rsidRPr="007D0D9A">
        <w:t>42.</w:t>
      </w:r>
      <w:r w:rsidRPr="007D0D9A">
        <w:tab/>
        <w:t xml:space="preserve">На прошлой сессии SC.1 обсудила исследование Европейской комиссии (ЕК) по экономическому анализу соглашения между Европейским союзом и Турцией, в котором сделан вывод о том, что Турция и Европейский союз понесли большие финансовые потери из-за транспортных квот и ограничений. </w:t>
      </w:r>
    </w:p>
    <w:p w:rsidR="0095356A" w:rsidRPr="007D0D9A" w:rsidRDefault="0095356A" w:rsidP="0095356A">
      <w:pPr>
        <w:pStyle w:val="SingleTxtG"/>
      </w:pPr>
      <w:r w:rsidRPr="007D0D9A">
        <w:t>43.</w:t>
      </w:r>
      <w:r w:rsidRPr="007D0D9A">
        <w:tab/>
        <w:t xml:space="preserve">SC.1 приняла к сведению представленную ЕК информацию о том, что вопрос о продлении действия Таможенного соглашения находится на рассмотрении Совета и что службой, отвечающей в ЕК за это направление, является ГД по торговле. Правительство Турции обратилось к ГД по мобильности и транспорту с просьбой продолжить обсуждение этого вопроса в рамках ЕК. </w:t>
      </w:r>
    </w:p>
    <w:p w:rsidR="0095356A" w:rsidRPr="007D0D9A" w:rsidRDefault="0095356A" w:rsidP="0095356A">
      <w:pPr>
        <w:pStyle w:val="SingleTxtG"/>
      </w:pPr>
      <w:r w:rsidRPr="007D0D9A">
        <w:t>44.</w:t>
      </w:r>
      <w:r w:rsidRPr="007D0D9A">
        <w:tab/>
        <w:t>SC.1 решила отложить обсуждение этого вопроса до следующей сессии ввиду отсутствия представителя Турции.</w:t>
      </w:r>
    </w:p>
    <w:p w:rsidR="0095356A" w:rsidRPr="007D0D9A" w:rsidRDefault="0095356A" w:rsidP="0095356A">
      <w:pPr>
        <w:pStyle w:val="H1G"/>
      </w:pPr>
      <w:r w:rsidRPr="007D0D9A">
        <w:tab/>
        <w:t>D.</w:t>
      </w:r>
      <w:r w:rsidRPr="007D0D9A">
        <w:tab/>
        <w:t>Связь между происхождением товаров и транспортными операциями</w:t>
      </w:r>
      <w:bookmarkStart w:id="3" w:name="_Hlk521317391"/>
    </w:p>
    <w:bookmarkEnd w:id="3"/>
    <w:p w:rsidR="0095356A" w:rsidRPr="007D0D9A" w:rsidRDefault="0095356A" w:rsidP="0095356A">
      <w:pPr>
        <w:pStyle w:val="SingleTxtG"/>
      </w:pPr>
      <w:r w:rsidRPr="007D0D9A">
        <w:t>45.</w:t>
      </w:r>
      <w:r w:rsidRPr="007D0D9A">
        <w:tab/>
        <w:t xml:space="preserve">Польша представила неофициальный документ № 6, учитывающий замечания, которые были получены на предыдущей сессии в отношении предложения Польши о внесении поправок в пересмотренную Сводную резолюцию об облегчении международных автомобильных перевозок (СР.4) для включения в нее определения </w:t>
      </w:r>
      <w:r>
        <w:t>«</w:t>
      </w:r>
      <w:r w:rsidRPr="007D0D9A">
        <w:t>двусторонних перевозок</w:t>
      </w:r>
      <w:r>
        <w:t>»</w:t>
      </w:r>
      <w:r w:rsidRPr="007D0D9A">
        <w:t xml:space="preserve"> в качестве нового подпункта 4.1.9 (ECE/TRANS/</w:t>
      </w:r>
      <w:r>
        <w:br/>
      </w:r>
      <w:r w:rsidRPr="007D0D9A">
        <w:t xml:space="preserve">SC.1/2017/4). Ранее аналогичное предложение уже было поддержано Латвией, и на этой сессии о поддержке предлагаемого определения заявили Нидерланды. </w:t>
      </w:r>
    </w:p>
    <w:p w:rsidR="0095356A" w:rsidRPr="007D0D9A" w:rsidRDefault="0095356A" w:rsidP="0095356A">
      <w:pPr>
        <w:pStyle w:val="SingleTxtG"/>
      </w:pPr>
      <w:r w:rsidRPr="007D0D9A">
        <w:t>46.</w:t>
      </w:r>
      <w:r w:rsidRPr="007D0D9A">
        <w:tab/>
        <w:t>SC.1 просила Польшу представить соответствующее предложение по поправкам для принятия на следующей сессии:</w:t>
      </w:r>
    </w:p>
    <w:p w:rsidR="0095356A" w:rsidRPr="007D0D9A" w:rsidRDefault="0095356A" w:rsidP="0095356A">
      <w:pPr>
        <w:pStyle w:val="SingleTxtG"/>
        <w:tabs>
          <w:tab w:val="left" w:pos="1736"/>
        </w:tabs>
      </w:pPr>
      <w:r>
        <w:t>«</w:t>
      </w:r>
      <w:r w:rsidRPr="007D0D9A">
        <w:t>4.1.9</w:t>
      </w:r>
      <w:r>
        <w:tab/>
      </w:r>
      <w:r w:rsidRPr="007D0D9A">
        <w:t xml:space="preserve">Под </w:t>
      </w:r>
      <w:r w:rsidR="00C033D6">
        <w:t>"</w:t>
      </w:r>
      <w:r w:rsidRPr="007D0D9A">
        <w:t>двусторонней перевозкой</w:t>
      </w:r>
      <w:r>
        <w:t>"</w:t>
      </w:r>
      <w:r w:rsidRPr="007D0D9A">
        <w:t xml:space="preserve"> подразумевается транспортная операция, осуществляемая транспортным средством с грузом или без груза, зарегистрированным в одной стране, пункт отправления которого находится на территории регистрации транспортного средства, а пункт назначения которого находится на территории другой стороны или наоборот. Страна происхождения груза и страна получателя груза могут быть любыми странами, но по крайней мере одна из них должна быть государством</w:t>
      </w:r>
      <w:r>
        <w:t xml:space="preserve"> – </w:t>
      </w:r>
      <w:r w:rsidRPr="007D0D9A">
        <w:t>членом ЕЭК ООН</w:t>
      </w:r>
      <w:r>
        <w:t>»</w:t>
      </w:r>
      <w:r w:rsidRPr="007D0D9A">
        <w:t xml:space="preserve">. </w:t>
      </w:r>
    </w:p>
    <w:p w:rsidR="0095356A" w:rsidRPr="007D0D9A" w:rsidRDefault="0095356A" w:rsidP="0095356A">
      <w:pPr>
        <w:pStyle w:val="HChG"/>
      </w:pPr>
      <w:r w:rsidRPr="007D0D9A">
        <w:tab/>
        <w:t>IX.</w:t>
      </w:r>
      <w:r w:rsidRPr="007D0D9A">
        <w:tab/>
        <w:t>Группа экспертов по безопасности на железнодорожных переездах</w:t>
      </w:r>
    </w:p>
    <w:p w:rsidR="0095356A" w:rsidRPr="007D0D9A" w:rsidRDefault="0095356A" w:rsidP="0095356A">
      <w:pPr>
        <w:pStyle w:val="SingleTxtG"/>
      </w:pPr>
      <w:r w:rsidRPr="007D0D9A">
        <w:t>47.</w:t>
      </w:r>
      <w:r w:rsidRPr="007D0D9A">
        <w:tab/>
        <w:t xml:space="preserve">Секретариат сообщил о том, что ввиду отсутствия положительных ответов от Международного союза железных дорог (МСЖД) и Европейского железнодорожного агентства (ЕЖДА) данный пункт следует исключить из повестки дня SC.1 до тех пор, пока вновь не будет выражена заинтересованность в его обсуждении. Секретариат также представил </w:t>
      </w:r>
      <w:r>
        <w:t>«</w:t>
      </w:r>
      <w:r w:rsidRPr="007D0D9A">
        <w:t>знак, обозначающий необходимость сбивать шлагбаум (барьер)</w:t>
      </w:r>
      <w:r>
        <w:t>»</w:t>
      </w:r>
      <w:r w:rsidRPr="007D0D9A">
        <w:t>, который был разработан Группой экспертов по дорожным знакам и сигналам Глобального форума по безопасности дорожного движения.</w:t>
      </w:r>
    </w:p>
    <w:p w:rsidR="0095356A" w:rsidRPr="007D0D9A" w:rsidRDefault="0095356A" w:rsidP="0095356A">
      <w:pPr>
        <w:pStyle w:val="HChG"/>
      </w:pPr>
      <w:r w:rsidRPr="007D0D9A">
        <w:lastRenderedPageBreak/>
        <w:tab/>
        <w:t>X.</w:t>
      </w:r>
      <w:r w:rsidRPr="007D0D9A">
        <w:tab/>
        <w:t>Пересмотр круга ведения и правил процедуры SC.1</w:t>
      </w:r>
    </w:p>
    <w:p w:rsidR="0095356A" w:rsidRPr="007D0D9A" w:rsidRDefault="0095356A" w:rsidP="0095356A">
      <w:pPr>
        <w:pStyle w:val="SingleTxtG"/>
      </w:pPr>
      <w:r w:rsidRPr="007D0D9A">
        <w:t>48.</w:t>
      </w:r>
      <w:r w:rsidRPr="007D0D9A">
        <w:tab/>
        <w:t xml:space="preserve">В 2016 году Бельгия и Германия внесли предложение об изменениях к кругу ведения и правилам процедуры SC.1 (неофициальные документы № 3 и 4 (2016 год)). </w:t>
      </w:r>
    </w:p>
    <w:p w:rsidR="0095356A" w:rsidRPr="007D0D9A" w:rsidRDefault="0095356A" w:rsidP="0095356A">
      <w:pPr>
        <w:pStyle w:val="SingleTxtG"/>
      </w:pPr>
      <w:r w:rsidRPr="007D0D9A">
        <w:t>49.</w:t>
      </w:r>
      <w:r w:rsidRPr="007D0D9A">
        <w:tab/>
        <w:t>SC.1 решила отложить обсуждение этого вопроса до принятия Глобальным форумом по безопасности дорожного движения (WP.1) нового круга ведения и новых правил процедуры, которые можно было бы использовать в качестве основы для будущего круга ведения SC.1.</w:t>
      </w:r>
    </w:p>
    <w:p w:rsidR="0095356A" w:rsidRPr="007D0D9A" w:rsidRDefault="0095356A" w:rsidP="0095356A">
      <w:pPr>
        <w:pStyle w:val="HChG"/>
      </w:pPr>
      <w:r w:rsidRPr="007D0D9A">
        <w:tab/>
        <w:t>XI.</w:t>
      </w:r>
      <w:r w:rsidRPr="007D0D9A">
        <w:tab/>
        <w:t>Прочие вопросы</w:t>
      </w:r>
    </w:p>
    <w:p w:rsidR="0095356A" w:rsidRPr="007D0D9A" w:rsidRDefault="0095356A" w:rsidP="0095356A">
      <w:pPr>
        <w:pStyle w:val="SingleTxtG"/>
      </w:pPr>
      <w:r w:rsidRPr="007D0D9A">
        <w:t>50.</w:t>
      </w:r>
      <w:r w:rsidRPr="007D0D9A">
        <w:tab/>
        <w:t>По этому пункту повестки дня никакие вопросы не рассматривались.</w:t>
      </w:r>
    </w:p>
    <w:p w:rsidR="0095356A" w:rsidRPr="007D0D9A" w:rsidRDefault="0095356A" w:rsidP="0095356A">
      <w:pPr>
        <w:pStyle w:val="HChG"/>
      </w:pPr>
      <w:r w:rsidRPr="007D0D9A">
        <w:tab/>
        <w:t>XII.</w:t>
      </w:r>
      <w:r w:rsidRPr="007D0D9A">
        <w:tab/>
        <w:t>Сроки проведения следующей сессии</w:t>
      </w:r>
    </w:p>
    <w:p w:rsidR="0095356A" w:rsidRPr="007D0D9A" w:rsidRDefault="0095356A" w:rsidP="0095356A">
      <w:pPr>
        <w:pStyle w:val="SingleTxtG"/>
      </w:pPr>
      <w:r w:rsidRPr="007D0D9A">
        <w:t>51.</w:t>
      </w:r>
      <w:r w:rsidRPr="007D0D9A">
        <w:tab/>
        <w:t>Следующая сессия состоится 16–18 октября 2019 года в Женеве.</w:t>
      </w:r>
    </w:p>
    <w:p w:rsidR="0095356A" w:rsidRPr="007D0D9A" w:rsidRDefault="0095356A" w:rsidP="0095356A">
      <w:pPr>
        <w:pStyle w:val="HChG"/>
      </w:pPr>
      <w:r w:rsidRPr="007D0D9A">
        <w:tab/>
        <w:t>XIII.</w:t>
      </w:r>
      <w:r w:rsidRPr="007D0D9A">
        <w:tab/>
        <w:t>Выборы должностных лиц</w:t>
      </w:r>
    </w:p>
    <w:p w:rsidR="0095356A" w:rsidRPr="007D0D9A" w:rsidRDefault="0095356A" w:rsidP="0095356A">
      <w:pPr>
        <w:pStyle w:val="SingleTxtG"/>
      </w:pPr>
      <w:r w:rsidRPr="007D0D9A">
        <w:t>52.</w:t>
      </w:r>
      <w:r w:rsidRPr="007D0D9A">
        <w:tab/>
        <w:t xml:space="preserve">Рабочая группа избрала своих должностных лиц на период с ноября 2018 года по октябрь 2020 года: г-н Р. Симоненко из Украины (Председатель), г-н К. Левчак из Польши (заместитель Председателя) и г-н Д. де Грот из Нидерландов (заместитель Председателя). </w:t>
      </w:r>
    </w:p>
    <w:p w:rsidR="0095356A" w:rsidRPr="007D0D9A" w:rsidRDefault="0095356A" w:rsidP="0095356A">
      <w:pPr>
        <w:pStyle w:val="HChG"/>
      </w:pPr>
      <w:r w:rsidRPr="007D0D9A">
        <w:tab/>
        <w:t>XIV.</w:t>
      </w:r>
      <w:r w:rsidRPr="007D0D9A">
        <w:tab/>
        <w:t>Утверждение доклада</w:t>
      </w:r>
    </w:p>
    <w:p w:rsidR="0095356A" w:rsidRPr="007D0D9A" w:rsidRDefault="0095356A" w:rsidP="0095356A">
      <w:pPr>
        <w:pStyle w:val="SingleTxtG"/>
      </w:pPr>
      <w:r w:rsidRPr="007D0D9A">
        <w:t>53.</w:t>
      </w:r>
      <w:r w:rsidRPr="007D0D9A">
        <w:tab/>
        <w:t>Рабочая группа утвердила доклад о работе нынешней сессии.</w:t>
      </w:r>
    </w:p>
    <w:p w:rsidR="0095356A" w:rsidRPr="007D0D9A" w:rsidRDefault="0095356A" w:rsidP="0095356A">
      <w:pPr>
        <w:pStyle w:val="SingleTxtG"/>
        <w:rPr>
          <w:b/>
        </w:rPr>
      </w:pPr>
      <w:r w:rsidRPr="007D0D9A">
        <w:rPr>
          <w:b/>
        </w:rPr>
        <w:br w:type="page"/>
      </w:r>
    </w:p>
    <w:p w:rsidR="0095356A" w:rsidRPr="007D0D9A" w:rsidRDefault="0095356A" w:rsidP="0095356A">
      <w:pPr>
        <w:pStyle w:val="HChG"/>
      </w:pPr>
      <w:r w:rsidRPr="007D0D9A">
        <w:lastRenderedPageBreak/>
        <w:t xml:space="preserve">Приложение </w:t>
      </w:r>
    </w:p>
    <w:p w:rsidR="0095356A" w:rsidRPr="007D0D9A" w:rsidRDefault="0095356A" w:rsidP="0095356A">
      <w:pPr>
        <w:pStyle w:val="HChG"/>
      </w:pPr>
      <w:r w:rsidRPr="007D0D9A">
        <w:tab/>
      </w:r>
      <w:r w:rsidRPr="007D0D9A">
        <w:tab/>
        <w:t xml:space="preserve">Стратегия КВТ до 2030 года </w:t>
      </w:r>
    </w:p>
    <w:p w:rsidR="0095356A" w:rsidRPr="007D0D9A" w:rsidRDefault="0095356A" w:rsidP="0095356A">
      <w:pPr>
        <w:pStyle w:val="SingleTxtG"/>
      </w:pPr>
      <w:r w:rsidRPr="007D0D9A">
        <w:t>Рабочая группа по автомобильному транспорту (SC.1) поддерживает предлагаемую стратегию, которая изложена в документе ECE/TRANS/2019/R.1 (нулевой проект стратегии КВТ). SC.1 также приветствует возможность представить следующие замечания по этой стратегии:</w:t>
      </w:r>
    </w:p>
    <w:p w:rsidR="0095356A" w:rsidRPr="007D0D9A" w:rsidRDefault="0095356A" w:rsidP="0095356A">
      <w:pPr>
        <w:pStyle w:val="Bullet1G"/>
        <w:numPr>
          <w:ilvl w:val="0"/>
          <w:numId w:val="16"/>
        </w:numPr>
      </w:pPr>
      <w:r w:rsidRPr="007D0D9A">
        <w:t>Стратегия надлежащим образом учитывает современные транспортные сценарии и новые возникающие проблемы и отражает роль ЕЭК ООН в деле оказания государствам-членам содействия для их решения;</w:t>
      </w:r>
    </w:p>
    <w:p w:rsidR="0095356A" w:rsidRPr="007D0D9A" w:rsidRDefault="0095356A" w:rsidP="0095356A">
      <w:pPr>
        <w:pStyle w:val="Bullet1G"/>
        <w:numPr>
          <w:ilvl w:val="0"/>
          <w:numId w:val="16"/>
        </w:numPr>
      </w:pPr>
      <w:r w:rsidRPr="007D0D9A">
        <w:t>SC.1 поддерживает переход к цифровым транспортным системам и цифровому документообороту и подчеркивает важность этого перехода для обеспечения безопасности дорожного движения и повышения уровней охраны окружающей среды, эффективности и безопасности;</w:t>
      </w:r>
    </w:p>
    <w:p w:rsidR="0095356A" w:rsidRPr="007D0D9A" w:rsidRDefault="0095356A" w:rsidP="0095356A">
      <w:pPr>
        <w:pStyle w:val="Bullet1G"/>
        <w:numPr>
          <w:ilvl w:val="0"/>
          <w:numId w:val="16"/>
        </w:numPr>
      </w:pPr>
      <w:r w:rsidRPr="007D0D9A">
        <w:t>SC.1 поддерживает и подчеркивает необходимость развития существующих транспортных (дорожных) коридоров;</w:t>
      </w:r>
    </w:p>
    <w:p w:rsidR="0095356A" w:rsidRPr="007D0D9A" w:rsidRDefault="0095356A" w:rsidP="0095356A">
      <w:pPr>
        <w:pStyle w:val="Bullet1G"/>
        <w:numPr>
          <w:ilvl w:val="0"/>
          <w:numId w:val="16"/>
        </w:numPr>
      </w:pPr>
      <w:r w:rsidRPr="007D0D9A">
        <w:t>SC.1 поддерживает и подчеркивает необходимость устранения узких мест и препятствий путем более эффективного осуществления нормативно-правовых рамок Организации Объединенных Наций, создаваемых международными конвенциями и соглашениями в области транспорта;</w:t>
      </w:r>
    </w:p>
    <w:p w:rsidR="0095356A" w:rsidRPr="007D0D9A" w:rsidRDefault="0095356A" w:rsidP="0095356A">
      <w:pPr>
        <w:pStyle w:val="Bullet1G"/>
        <w:numPr>
          <w:ilvl w:val="0"/>
          <w:numId w:val="16"/>
        </w:numPr>
      </w:pPr>
      <w:r w:rsidRPr="007D0D9A">
        <w:t xml:space="preserve">SC.1 рекомендует, чтобы стратегия учитывала и включала выгоды от поощрения использования экологичных, или </w:t>
      </w:r>
      <w:r>
        <w:t>«</w:t>
      </w:r>
      <w:r w:rsidRPr="007D0D9A">
        <w:t>зеленых</w:t>
      </w:r>
      <w:r>
        <w:t>»</w:t>
      </w:r>
      <w:r w:rsidRPr="007D0D9A">
        <w:t xml:space="preserve">, видов топлива в автотранспортных средствах, что, в свою очередь, сократит выбросы двуокиси углерода и других парниковых газов;  </w:t>
      </w:r>
    </w:p>
    <w:p w:rsidR="0095356A" w:rsidRPr="007D0D9A" w:rsidRDefault="0095356A" w:rsidP="0095356A">
      <w:pPr>
        <w:pStyle w:val="Bullet1G"/>
        <w:numPr>
          <w:ilvl w:val="0"/>
          <w:numId w:val="16"/>
        </w:numPr>
      </w:pPr>
      <w:r w:rsidRPr="007D0D9A">
        <w:t>SC.1 поддерживает и рекомендует, чтобы стратегия отражала необходимость обеспечения доступных транспортных систем.</w:t>
      </w:r>
    </w:p>
    <w:p w:rsidR="0095356A" w:rsidRPr="007D0D9A" w:rsidRDefault="0095356A" w:rsidP="0095356A">
      <w:pPr>
        <w:pStyle w:val="SingleTxtG"/>
        <w:spacing w:before="240" w:after="0"/>
        <w:jc w:val="center"/>
        <w:rPr>
          <w:u w:val="single"/>
        </w:rPr>
      </w:pPr>
      <w:r w:rsidRPr="007D0D9A">
        <w:rPr>
          <w:u w:val="single"/>
        </w:rPr>
        <w:tab/>
      </w:r>
      <w:r w:rsidRPr="007D0D9A">
        <w:rPr>
          <w:u w:val="single"/>
        </w:rPr>
        <w:tab/>
      </w:r>
      <w:r w:rsidRPr="007D0D9A"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D9145B"/>
    <w:sectPr w:rsidR="00E12C5F" w:rsidRPr="008D53B6" w:rsidSect="00953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B61" w:rsidRPr="00A312BC" w:rsidRDefault="00500B61" w:rsidP="00A312BC"/>
  </w:endnote>
  <w:endnote w:type="continuationSeparator" w:id="0">
    <w:p w:rsidR="00500B61" w:rsidRPr="00A312BC" w:rsidRDefault="00500B6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6A" w:rsidRPr="0095356A" w:rsidRDefault="0095356A">
    <w:pPr>
      <w:pStyle w:val="Footer"/>
    </w:pPr>
    <w:r w:rsidRPr="0095356A">
      <w:rPr>
        <w:b/>
        <w:sz w:val="18"/>
      </w:rPr>
      <w:fldChar w:fldCharType="begin"/>
    </w:r>
    <w:r w:rsidRPr="0095356A">
      <w:rPr>
        <w:b/>
        <w:sz w:val="18"/>
      </w:rPr>
      <w:instrText xml:space="preserve"> PAGE  \* MERGEFORMAT </w:instrText>
    </w:r>
    <w:r w:rsidRPr="0095356A">
      <w:rPr>
        <w:b/>
        <w:sz w:val="18"/>
      </w:rPr>
      <w:fldChar w:fldCharType="separate"/>
    </w:r>
    <w:r w:rsidR="002C5382">
      <w:rPr>
        <w:b/>
        <w:noProof/>
        <w:sz w:val="18"/>
      </w:rPr>
      <w:t>8</w:t>
    </w:r>
    <w:r w:rsidRPr="0095356A">
      <w:rPr>
        <w:b/>
        <w:sz w:val="18"/>
      </w:rPr>
      <w:fldChar w:fldCharType="end"/>
    </w:r>
    <w:r>
      <w:rPr>
        <w:b/>
        <w:sz w:val="18"/>
      </w:rPr>
      <w:tab/>
    </w:r>
    <w:r>
      <w:t>GE.18-18782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6A" w:rsidRPr="0095356A" w:rsidRDefault="0095356A" w:rsidP="0095356A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GE.18-18782</w:t>
    </w:r>
    <w:r>
      <w:tab/>
    </w:r>
    <w:r w:rsidRPr="0095356A">
      <w:rPr>
        <w:b/>
        <w:sz w:val="18"/>
      </w:rPr>
      <w:fldChar w:fldCharType="begin"/>
    </w:r>
    <w:r w:rsidRPr="0095356A">
      <w:rPr>
        <w:b/>
        <w:sz w:val="18"/>
      </w:rPr>
      <w:instrText xml:space="preserve"> PAGE  \* MERGEFORMAT </w:instrText>
    </w:r>
    <w:r w:rsidRPr="0095356A">
      <w:rPr>
        <w:b/>
        <w:sz w:val="18"/>
      </w:rPr>
      <w:fldChar w:fldCharType="separate"/>
    </w:r>
    <w:r w:rsidR="002C5382">
      <w:rPr>
        <w:b/>
        <w:noProof/>
        <w:sz w:val="18"/>
      </w:rPr>
      <w:t>9</w:t>
    </w:r>
    <w:r w:rsidRPr="009535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5356A" w:rsidRDefault="0095356A" w:rsidP="0095356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18-18782  (R)</w:t>
    </w:r>
    <w:r>
      <w:rPr>
        <w:lang w:val="en-US"/>
      </w:rPr>
      <w:t xml:space="preserve">  230119  240119</w:t>
    </w:r>
    <w:r>
      <w:br/>
    </w:r>
    <w:r w:rsidRPr="0095356A">
      <w:rPr>
        <w:rFonts w:ascii="C39T30Lfz" w:hAnsi="C39T30Lfz"/>
        <w:kern w:val="14"/>
        <w:sz w:val="56"/>
      </w:rPr>
      <w:t></w:t>
    </w:r>
    <w:r w:rsidRPr="0095356A">
      <w:rPr>
        <w:rFonts w:ascii="C39T30Lfz" w:hAnsi="C39T30Lfz"/>
        <w:kern w:val="14"/>
        <w:sz w:val="56"/>
      </w:rPr>
      <w:t></w:t>
    </w:r>
    <w:r w:rsidRPr="0095356A">
      <w:rPr>
        <w:rFonts w:ascii="C39T30Lfz" w:hAnsi="C39T30Lfz"/>
        <w:kern w:val="14"/>
        <w:sz w:val="56"/>
      </w:rPr>
      <w:t></w:t>
    </w:r>
    <w:r w:rsidRPr="0095356A">
      <w:rPr>
        <w:rFonts w:ascii="C39T30Lfz" w:hAnsi="C39T30Lfz"/>
        <w:kern w:val="14"/>
        <w:sz w:val="56"/>
      </w:rPr>
      <w:t></w:t>
    </w:r>
    <w:r w:rsidRPr="0095356A">
      <w:rPr>
        <w:rFonts w:ascii="C39T30Lfz" w:hAnsi="C39T30Lfz"/>
        <w:kern w:val="14"/>
        <w:sz w:val="56"/>
      </w:rPr>
      <w:t></w:t>
    </w:r>
    <w:r w:rsidRPr="0095356A">
      <w:rPr>
        <w:rFonts w:ascii="C39T30Lfz" w:hAnsi="C39T30Lfz"/>
        <w:kern w:val="14"/>
        <w:sz w:val="56"/>
      </w:rPr>
      <w:t></w:t>
    </w:r>
    <w:r w:rsidRPr="0095356A">
      <w:rPr>
        <w:rFonts w:ascii="C39T30Lfz" w:hAnsi="C39T30Lfz"/>
        <w:kern w:val="14"/>
        <w:sz w:val="56"/>
      </w:rPr>
      <w:t></w:t>
    </w:r>
    <w:r w:rsidRPr="0095356A">
      <w:rPr>
        <w:rFonts w:ascii="C39T30Lfz" w:hAnsi="C39T30Lfz"/>
        <w:kern w:val="14"/>
        <w:sz w:val="56"/>
      </w:rPr>
      <w:t></w:t>
    </w:r>
    <w:r w:rsidRPr="0095356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SC.1/4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SC.1/4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B61" w:rsidRPr="001075E9" w:rsidRDefault="00500B6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0B61" w:rsidRDefault="00500B6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6A" w:rsidRPr="0095356A" w:rsidRDefault="002C5382">
    <w:pPr>
      <w:pStyle w:val="Header"/>
    </w:pPr>
    <w:fldSimple w:instr=" TITLE  \* MERGEFORMAT ">
      <w:r>
        <w:t>ECE/TRANS/SC.1/410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6A" w:rsidRPr="0095356A" w:rsidRDefault="002C5382" w:rsidP="0095356A">
    <w:pPr>
      <w:pStyle w:val="Header"/>
      <w:jc w:val="right"/>
    </w:pPr>
    <w:fldSimple w:instr=" TITLE  \* MERGEFORMAT ">
      <w:r>
        <w:t>ECE/TRANS/SC.1/410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6A" w:rsidRDefault="0095356A" w:rsidP="009535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61"/>
    <w:rsid w:val="00033EE1"/>
    <w:rsid w:val="0004247D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3042"/>
    <w:rsid w:val="00255343"/>
    <w:rsid w:val="0027151D"/>
    <w:rsid w:val="002A2EFC"/>
    <w:rsid w:val="002B0106"/>
    <w:rsid w:val="002B74B1"/>
    <w:rsid w:val="002C0E18"/>
    <w:rsid w:val="002C5382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27D9"/>
    <w:rsid w:val="00381C24"/>
    <w:rsid w:val="00387CD4"/>
    <w:rsid w:val="00394FD0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0B61"/>
    <w:rsid w:val="0050108D"/>
    <w:rsid w:val="00513081"/>
    <w:rsid w:val="00517901"/>
    <w:rsid w:val="00526683"/>
    <w:rsid w:val="005329A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65F"/>
    <w:rsid w:val="00757357"/>
    <w:rsid w:val="00792497"/>
    <w:rsid w:val="00796FB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356A"/>
    <w:rsid w:val="009608F3"/>
    <w:rsid w:val="009A24AC"/>
    <w:rsid w:val="009B4805"/>
    <w:rsid w:val="009C59D7"/>
    <w:rsid w:val="009C6FE6"/>
    <w:rsid w:val="009D7E7D"/>
    <w:rsid w:val="009E1BD0"/>
    <w:rsid w:val="00A14DA8"/>
    <w:rsid w:val="00A312BC"/>
    <w:rsid w:val="00A664A5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33D6"/>
    <w:rsid w:val="00C106D6"/>
    <w:rsid w:val="00C119AE"/>
    <w:rsid w:val="00C60F0C"/>
    <w:rsid w:val="00C71E84"/>
    <w:rsid w:val="00C805C9"/>
    <w:rsid w:val="00C92939"/>
    <w:rsid w:val="00CA1679"/>
    <w:rsid w:val="00CB151C"/>
    <w:rsid w:val="00CE0C09"/>
    <w:rsid w:val="00CE5A1A"/>
    <w:rsid w:val="00CF4873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3F17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3C8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4F76FB-2A0C-4AB4-B02F-7BBEE6A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lex.europa.eu/legalcontent/EN/TXT/?uri=uriserv:OJ.L_.2018.185.01.0016.01.ENG&amp;toc=OJ:L:2018:185:T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3458</Words>
  <Characters>19717</Characters>
  <Application>Microsoft Office Word</Application>
  <DocSecurity>4</DocSecurity>
  <Lines>164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ECE/TRANS/SC.1/410</vt:lpstr>
      <vt:lpstr>ECE/TRANS/SC.1/410</vt:lpstr>
      <vt:lpstr>A/</vt:lpstr>
    </vt:vector>
  </TitlesOfParts>
  <Company>DCM</Company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ECE/TRANS/SC.1/410</dc:title>
  <dc:subject/>
  <dc:creator>Olga OVTCHINNIKOVA</dc:creator>
  <cp:keywords/>
  <cp:lastModifiedBy>Josephine Ayiku</cp:lastModifiedBy>
  <cp:revision>2</cp:revision>
  <cp:lastPrinted>2019-01-24T14:07:00Z</cp:lastPrinted>
  <dcterms:created xsi:type="dcterms:W3CDTF">2019-01-25T13:55:00Z</dcterms:created>
  <dcterms:modified xsi:type="dcterms:W3CDTF">2019-01-25T13:55:00Z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