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4366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43669" w:rsidP="00F43669">
            <w:pPr>
              <w:jc w:val="right"/>
            </w:pPr>
            <w:r w:rsidRPr="00F43669">
              <w:rPr>
                <w:sz w:val="40"/>
              </w:rPr>
              <w:t>ECE</w:t>
            </w:r>
            <w:r>
              <w:t>/TRANS/SC.1/410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43669" w:rsidP="00C97039">
            <w:pPr>
              <w:spacing w:before="240"/>
            </w:pPr>
            <w:proofErr w:type="spellStart"/>
            <w:r>
              <w:t>Distr</w:t>
            </w:r>
            <w:proofErr w:type="spellEnd"/>
            <w:r>
              <w:t xml:space="preserve">. </w:t>
            </w:r>
            <w:proofErr w:type="gramStart"/>
            <w:r>
              <w:t>générale</w:t>
            </w:r>
            <w:proofErr w:type="gramEnd"/>
          </w:p>
          <w:p w:rsidR="00F43669" w:rsidRDefault="00F43669" w:rsidP="00F43669">
            <w:pPr>
              <w:spacing w:line="240" w:lineRule="exact"/>
            </w:pPr>
            <w:r>
              <w:t>7 novembre 2018</w:t>
            </w:r>
          </w:p>
          <w:p w:rsidR="00F43669" w:rsidRDefault="00F43669" w:rsidP="00F43669">
            <w:pPr>
              <w:spacing w:line="240" w:lineRule="exact"/>
            </w:pPr>
            <w:r>
              <w:t>Français</w:t>
            </w:r>
          </w:p>
          <w:p w:rsidR="00F43669" w:rsidRPr="00DB58B5" w:rsidRDefault="00F43669" w:rsidP="00F4366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4366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43669" w:rsidRPr="00685843" w:rsidRDefault="00F43669" w:rsidP="003916DE">
      <w:pPr>
        <w:spacing w:before="120"/>
        <w:rPr>
          <w:b/>
          <w:sz w:val="24"/>
          <w:szCs w:val="24"/>
        </w:rPr>
      </w:pPr>
      <w:r>
        <w:rPr>
          <w:b/>
          <w:sz w:val="24"/>
          <w:szCs w:val="24"/>
        </w:rPr>
        <w:t>Groupe de travail des transports routiers</w:t>
      </w:r>
    </w:p>
    <w:p w:rsidR="00F43669" w:rsidRPr="00F30D47" w:rsidRDefault="00F43669" w:rsidP="003916DE">
      <w:pPr>
        <w:spacing w:before="120"/>
        <w:rPr>
          <w:b/>
        </w:rPr>
      </w:pPr>
      <w:r>
        <w:rPr>
          <w:b/>
          <w:bCs/>
          <w:lang w:val="fr-FR"/>
        </w:rPr>
        <w:t>113</w:t>
      </w:r>
      <w:r w:rsidRPr="002E7F82">
        <w:rPr>
          <w:b/>
          <w:bCs/>
          <w:vertAlign w:val="superscript"/>
          <w:lang w:val="fr-FR"/>
        </w:rPr>
        <w:t>e</w:t>
      </w:r>
      <w:r>
        <w:rPr>
          <w:b/>
        </w:rPr>
        <w:t> s</w:t>
      </w:r>
      <w:r w:rsidRPr="00F30D47">
        <w:rPr>
          <w:b/>
        </w:rPr>
        <w:t>ession</w:t>
      </w:r>
    </w:p>
    <w:p w:rsidR="00F43669" w:rsidRDefault="00F43669" w:rsidP="003916DE">
      <w:r>
        <w:t xml:space="preserve">Genève, </w:t>
      </w:r>
      <w:r>
        <w:rPr>
          <w:lang w:val="fr-FR"/>
        </w:rPr>
        <w:t>16-18 octobre 2018</w:t>
      </w:r>
    </w:p>
    <w:p w:rsidR="00F43669" w:rsidRDefault="00F43669" w:rsidP="00F43669">
      <w:pPr>
        <w:pStyle w:val="HChG"/>
        <w:rPr>
          <w:lang w:val="fr-FR"/>
        </w:rPr>
      </w:pPr>
      <w:r>
        <w:rPr>
          <w:lang w:val="fr-FR"/>
        </w:rPr>
        <w:tab/>
      </w:r>
      <w:r>
        <w:rPr>
          <w:lang w:val="fr-FR"/>
        </w:rPr>
        <w:tab/>
        <w:t xml:space="preserve">Rapport du Groupe de travail des transports routiers </w:t>
      </w:r>
      <w:r>
        <w:rPr>
          <w:lang w:val="fr-FR"/>
        </w:rPr>
        <w:br/>
        <w:t>sur sa 113</w:t>
      </w:r>
      <w:r w:rsidRPr="002E7F82">
        <w:rPr>
          <w:vertAlign w:val="superscript"/>
          <w:lang w:val="fr-FR"/>
        </w:rPr>
        <w:t>e</w:t>
      </w:r>
      <w:r>
        <w:rPr>
          <w:lang w:val="fr-FR"/>
        </w:rPr>
        <w:t> session</w:t>
      </w:r>
    </w:p>
    <w:p w:rsidR="00F43669" w:rsidRPr="00F43669" w:rsidRDefault="00F43669" w:rsidP="00F43669">
      <w:pPr>
        <w:spacing w:after="120"/>
        <w:rPr>
          <w:sz w:val="28"/>
        </w:rPr>
      </w:pPr>
      <w:r w:rsidRPr="00F43669">
        <w:rPr>
          <w:sz w:val="28"/>
        </w:rPr>
        <w:t>Table des matières</w:t>
      </w:r>
    </w:p>
    <w:p w:rsidR="00F43669" w:rsidRPr="00F43669" w:rsidRDefault="00F43669" w:rsidP="00F43669">
      <w:pPr>
        <w:tabs>
          <w:tab w:val="right" w:pos="8929"/>
          <w:tab w:val="right" w:pos="9638"/>
        </w:tabs>
        <w:spacing w:after="120"/>
        <w:ind w:left="283"/>
        <w:rPr>
          <w:i/>
          <w:sz w:val="18"/>
        </w:rPr>
      </w:pPr>
      <w:r w:rsidRPr="00F43669">
        <w:rPr>
          <w:i/>
          <w:sz w:val="18"/>
        </w:rPr>
        <w:tab/>
        <w:t>Paragraphes</w:t>
      </w:r>
      <w:r w:rsidRPr="00F43669">
        <w:rPr>
          <w:i/>
          <w:sz w:val="18"/>
        </w:rPr>
        <w:tab/>
        <w:t>Page</w:t>
      </w:r>
    </w:p>
    <w:p w:rsidR="00F43669" w:rsidRDefault="00F43669" w:rsidP="00F43669">
      <w:pPr>
        <w:tabs>
          <w:tab w:val="right" w:pos="850"/>
          <w:tab w:val="right" w:leader="dot" w:pos="7654"/>
          <w:tab w:val="right" w:pos="8929"/>
          <w:tab w:val="right" w:pos="9638"/>
        </w:tabs>
        <w:spacing w:after="120"/>
        <w:ind w:left="1134" w:hanging="1134"/>
      </w:pPr>
      <w:r>
        <w:tab/>
      </w:r>
      <w:r w:rsidR="00027577">
        <w:t>I.</w:t>
      </w:r>
      <w:r w:rsidR="00027577">
        <w:tab/>
      </w:r>
      <w:r w:rsidR="00027577" w:rsidRPr="004D54AB">
        <w:rPr>
          <w:lang w:val="fr-FR"/>
        </w:rPr>
        <w:t>Participation</w:t>
      </w:r>
      <w:r>
        <w:tab/>
      </w:r>
      <w:r>
        <w:tab/>
      </w:r>
      <w:r w:rsidR="006D2276">
        <w:t>1−2</w:t>
      </w:r>
      <w:r>
        <w:tab/>
      </w:r>
      <w:r w:rsidR="006D2276">
        <w:t>3</w:t>
      </w:r>
      <w:r>
        <w:tab/>
      </w:r>
    </w:p>
    <w:p w:rsidR="00F43669" w:rsidRDefault="00F43669" w:rsidP="00F43669">
      <w:pPr>
        <w:tabs>
          <w:tab w:val="right" w:pos="850"/>
          <w:tab w:val="right" w:leader="dot" w:pos="7654"/>
          <w:tab w:val="right" w:pos="8929"/>
          <w:tab w:val="right" w:pos="9638"/>
        </w:tabs>
        <w:spacing w:after="120"/>
        <w:ind w:left="1134" w:hanging="1134"/>
      </w:pPr>
      <w:r>
        <w:tab/>
        <w:t>II.</w:t>
      </w:r>
      <w:r>
        <w:tab/>
      </w:r>
      <w:r w:rsidR="00027577" w:rsidRPr="004D54AB">
        <w:rPr>
          <w:lang w:val="fr-FR"/>
        </w:rPr>
        <w:t>Adoption de l’ordre du jour</w:t>
      </w:r>
      <w:r>
        <w:tab/>
      </w:r>
      <w:r>
        <w:tab/>
      </w:r>
      <w:r w:rsidR="006D2276">
        <w:t>3</w:t>
      </w:r>
      <w:r>
        <w:tab/>
      </w:r>
      <w:r w:rsidR="006D2276">
        <w:t>3</w:t>
      </w:r>
    </w:p>
    <w:p w:rsidR="00F43669" w:rsidRDefault="00F43669" w:rsidP="00F43669">
      <w:pPr>
        <w:tabs>
          <w:tab w:val="right" w:pos="850"/>
          <w:tab w:val="right" w:leader="dot" w:pos="7654"/>
          <w:tab w:val="right" w:pos="8929"/>
          <w:tab w:val="right" w:pos="9638"/>
        </w:tabs>
        <w:spacing w:after="120"/>
        <w:ind w:left="1134" w:hanging="1134"/>
      </w:pPr>
      <w:r>
        <w:tab/>
        <w:t>III.</w:t>
      </w:r>
      <w:r>
        <w:tab/>
      </w:r>
      <w:r w:rsidR="00027577" w:rsidRPr="004D54AB">
        <w:rPr>
          <w:lang w:val="fr-FR"/>
        </w:rPr>
        <w:t>Activités présentant un intérêt pour le Groupe de travail</w:t>
      </w:r>
      <w:r>
        <w:tab/>
      </w:r>
      <w:r>
        <w:tab/>
      </w:r>
      <w:r w:rsidR="006D2276">
        <w:t>4−12</w:t>
      </w:r>
      <w:r>
        <w:tab/>
      </w:r>
      <w:r w:rsidR="006D2276">
        <w:t>3</w:t>
      </w:r>
    </w:p>
    <w:p w:rsidR="00F43669" w:rsidRDefault="00F43669" w:rsidP="00F43669">
      <w:pPr>
        <w:tabs>
          <w:tab w:val="right" w:leader="dot" w:pos="7654"/>
          <w:tab w:val="right" w:pos="8929"/>
          <w:tab w:val="right" w:pos="9638"/>
        </w:tabs>
        <w:spacing w:after="120"/>
        <w:ind w:left="1559" w:hanging="425"/>
      </w:pPr>
      <w:r>
        <w:t>A.</w:t>
      </w:r>
      <w:r>
        <w:tab/>
      </w:r>
      <w:r w:rsidR="00027577" w:rsidRPr="004D54AB">
        <w:rPr>
          <w:lang w:val="fr-FR"/>
        </w:rPr>
        <w:t>Délégations nationales</w:t>
      </w:r>
      <w:r>
        <w:tab/>
      </w:r>
      <w:r>
        <w:tab/>
      </w:r>
      <w:r w:rsidR="006D2276">
        <w:t>4</w:t>
      </w:r>
      <w:r>
        <w:tab/>
      </w:r>
      <w:r w:rsidR="006D2276">
        <w:t>3</w:t>
      </w:r>
    </w:p>
    <w:p w:rsidR="00F43669" w:rsidRDefault="00F43669" w:rsidP="00F43669">
      <w:pPr>
        <w:tabs>
          <w:tab w:val="right" w:leader="dot" w:pos="7654"/>
          <w:tab w:val="right" w:pos="8929"/>
          <w:tab w:val="right" w:pos="9638"/>
        </w:tabs>
        <w:spacing w:after="120"/>
        <w:ind w:left="1559" w:hanging="425"/>
      </w:pPr>
      <w:r>
        <w:t>B.</w:t>
      </w:r>
      <w:r>
        <w:tab/>
      </w:r>
      <w:r w:rsidR="007A7A30" w:rsidRPr="004D54AB">
        <w:rPr>
          <w:lang w:val="fr-FR"/>
        </w:rPr>
        <w:t>Organisations internationales</w:t>
      </w:r>
      <w:r>
        <w:tab/>
      </w:r>
      <w:r>
        <w:tab/>
      </w:r>
      <w:r w:rsidR="006D2276">
        <w:t>5−6</w:t>
      </w:r>
      <w:r>
        <w:tab/>
      </w:r>
      <w:r w:rsidR="006D2276">
        <w:t>3</w:t>
      </w:r>
    </w:p>
    <w:p w:rsidR="00F43669" w:rsidRDefault="00F43669" w:rsidP="00F43669">
      <w:pPr>
        <w:tabs>
          <w:tab w:val="right" w:leader="dot" w:pos="7654"/>
          <w:tab w:val="right" w:pos="8929"/>
          <w:tab w:val="right" w:pos="9638"/>
        </w:tabs>
        <w:spacing w:after="120"/>
        <w:ind w:left="1559" w:hanging="425"/>
      </w:pPr>
      <w:r>
        <w:t>C.</w:t>
      </w:r>
      <w:r>
        <w:tab/>
      </w:r>
      <w:r w:rsidR="007A7A30" w:rsidRPr="004D54AB">
        <w:rPr>
          <w:lang w:val="fr-FR"/>
        </w:rPr>
        <w:t>Activités d’organes de la CEE et d’autres organismes de l’ONU</w:t>
      </w:r>
      <w:r>
        <w:tab/>
      </w:r>
      <w:r>
        <w:tab/>
      </w:r>
      <w:r w:rsidR="006D2276">
        <w:t>7−8</w:t>
      </w:r>
      <w:r>
        <w:tab/>
      </w:r>
      <w:r w:rsidR="006D2276">
        <w:t>3</w:t>
      </w:r>
    </w:p>
    <w:p w:rsidR="00F43669" w:rsidRDefault="00F43669" w:rsidP="00F43669">
      <w:pPr>
        <w:tabs>
          <w:tab w:val="right" w:leader="dot" w:pos="7654"/>
          <w:tab w:val="right" w:pos="8929"/>
          <w:tab w:val="right" w:pos="9638"/>
        </w:tabs>
        <w:spacing w:after="120"/>
        <w:ind w:left="1559" w:hanging="425"/>
      </w:pPr>
      <w:r>
        <w:t>D.</w:t>
      </w:r>
      <w:r>
        <w:tab/>
      </w:r>
      <w:r w:rsidR="007A7A30" w:rsidRPr="004D54AB">
        <w:rPr>
          <w:lang w:val="fr-FR"/>
        </w:rPr>
        <w:t>Infrastructures numériques/intelligentes</w:t>
      </w:r>
      <w:r>
        <w:tab/>
      </w:r>
      <w:r>
        <w:tab/>
      </w:r>
      <w:r w:rsidR="006D2276">
        <w:t>9−12</w:t>
      </w:r>
      <w:r>
        <w:tab/>
      </w:r>
      <w:r w:rsidR="006D2276">
        <w:t>4</w:t>
      </w:r>
    </w:p>
    <w:p w:rsidR="00F43669" w:rsidRDefault="00F43669" w:rsidP="00F43669">
      <w:pPr>
        <w:tabs>
          <w:tab w:val="right" w:pos="850"/>
          <w:tab w:val="right" w:leader="dot" w:pos="7654"/>
          <w:tab w:val="right" w:pos="8929"/>
          <w:tab w:val="right" w:pos="9638"/>
        </w:tabs>
        <w:spacing w:after="120"/>
        <w:ind w:left="1134" w:hanging="1134"/>
      </w:pPr>
      <w:r>
        <w:tab/>
        <w:t>IV.</w:t>
      </w:r>
      <w:r>
        <w:tab/>
      </w:r>
      <w:r w:rsidR="007A7A30" w:rsidRPr="004D54AB">
        <w:rPr>
          <w:lang w:val="fr-FR"/>
        </w:rPr>
        <w:t>Accord européen relatif au travail des équipages des</w:t>
      </w:r>
      <w:r w:rsidR="007A7A30" w:rsidRPr="007A7A30">
        <w:rPr>
          <w:lang w:val="fr-FR"/>
        </w:rPr>
        <w:t xml:space="preserve"> </w:t>
      </w:r>
      <w:r w:rsidR="007A7A30" w:rsidRPr="004D54AB">
        <w:rPr>
          <w:lang w:val="fr-FR"/>
        </w:rPr>
        <w:t xml:space="preserve">véhicules effectuant </w:t>
      </w:r>
      <w:r w:rsidR="007A7A30">
        <w:rPr>
          <w:lang w:val="fr-FR"/>
        </w:rPr>
        <w:br/>
      </w:r>
      <w:r w:rsidR="007A7A30" w:rsidRPr="004D54AB">
        <w:rPr>
          <w:lang w:val="fr-FR"/>
        </w:rPr>
        <w:t>des transports internationaux</w:t>
      </w:r>
      <w:r w:rsidR="007A7A30">
        <w:rPr>
          <w:lang w:val="fr-FR"/>
        </w:rPr>
        <w:t xml:space="preserve"> </w:t>
      </w:r>
      <w:r w:rsidR="007A7A30" w:rsidRPr="004D54AB">
        <w:rPr>
          <w:lang w:val="fr-FR"/>
        </w:rPr>
        <w:t>par route (AETR)</w:t>
      </w:r>
      <w:r>
        <w:tab/>
      </w:r>
      <w:r>
        <w:tab/>
      </w:r>
      <w:r w:rsidR="006D2276">
        <w:t>13−19</w:t>
      </w:r>
      <w:r>
        <w:tab/>
      </w:r>
      <w:r w:rsidR="006D2276">
        <w:t>4</w:t>
      </w:r>
    </w:p>
    <w:p w:rsidR="00F43669" w:rsidRDefault="00F43669" w:rsidP="00F43669">
      <w:pPr>
        <w:tabs>
          <w:tab w:val="right" w:leader="dot" w:pos="7654"/>
          <w:tab w:val="right" w:pos="8929"/>
          <w:tab w:val="right" w:pos="9638"/>
        </w:tabs>
        <w:spacing w:after="120"/>
        <w:ind w:left="1559" w:hanging="425"/>
      </w:pPr>
      <w:r>
        <w:t>A.</w:t>
      </w:r>
      <w:r>
        <w:tab/>
      </w:r>
      <w:r w:rsidR="007A7A30" w:rsidRPr="004D54AB">
        <w:rPr>
          <w:lang w:val="fr-FR"/>
        </w:rPr>
        <w:t>État de l’Accord</w:t>
      </w:r>
      <w:r>
        <w:tab/>
      </w:r>
      <w:r>
        <w:tab/>
      </w:r>
      <w:r w:rsidR="006D2276">
        <w:t>13−15</w:t>
      </w:r>
      <w:r>
        <w:tab/>
      </w:r>
      <w:r w:rsidR="006D2276">
        <w:t>4</w:t>
      </w:r>
    </w:p>
    <w:p w:rsidR="00F43669" w:rsidRDefault="00F43669" w:rsidP="00F43669">
      <w:pPr>
        <w:tabs>
          <w:tab w:val="right" w:leader="dot" w:pos="7654"/>
          <w:tab w:val="right" w:pos="8929"/>
          <w:tab w:val="right" w:pos="9638"/>
        </w:tabs>
        <w:spacing w:after="120"/>
        <w:ind w:left="1559" w:hanging="425"/>
      </w:pPr>
      <w:r>
        <w:t>B.</w:t>
      </w:r>
      <w:r>
        <w:tab/>
      </w:r>
      <w:r w:rsidR="007A7A30" w:rsidRPr="004D54AB">
        <w:rPr>
          <w:lang w:val="fr-FR"/>
        </w:rPr>
        <w:t>Groupe d’experts de l’AETR</w:t>
      </w:r>
      <w:r>
        <w:tab/>
      </w:r>
      <w:r>
        <w:tab/>
      </w:r>
      <w:r w:rsidR="006D2276">
        <w:t>16−19</w:t>
      </w:r>
      <w:r>
        <w:tab/>
      </w:r>
      <w:r w:rsidR="006D2276">
        <w:t>4</w:t>
      </w:r>
    </w:p>
    <w:p w:rsidR="00F43669" w:rsidRDefault="00F43669" w:rsidP="00F43669">
      <w:pPr>
        <w:tabs>
          <w:tab w:val="right" w:pos="850"/>
          <w:tab w:val="right" w:leader="dot" w:pos="7654"/>
          <w:tab w:val="right" w:pos="8929"/>
          <w:tab w:val="right" w:pos="9638"/>
        </w:tabs>
        <w:spacing w:after="120"/>
        <w:ind w:left="1134" w:hanging="1134"/>
      </w:pPr>
      <w:r>
        <w:tab/>
        <w:t>V.</w:t>
      </w:r>
      <w:r>
        <w:tab/>
      </w:r>
      <w:r w:rsidR="007A7A30" w:rsidRPr="004D54AB">
        <w:rPr>
          <w:lang w:val="fr-FR"/>
        </w:rPr>
        <w:t>Accord européen sur les grandes routes de trafic international (AGR)</w:t>
      </w:r>
      <w:r>
        <w:tab/>
      </w:r>
      <w:r>
        <w:tab/>
      </w:r>
      <w:r w:rsidR="006D2276">
        <w:t>20</w:t>
      </w:r>
      <w:r>
        <w:tab/>
      </w:r>
      <w:r w:rsidR="006D2276">
        <w:t>5</w:t>
      </w:r>
    </w:p>
    <w:p w:rsidR="00F43669" w:rsidRDefault="00F43669" w:rsidP="00F43669">
      <w:pPr>
        <w:tabs>
          <w:tab w:val="right" w:pos="850"/>
          <w:tab w:val="right" w:leader="dot" w:pos="7654"/>
          <w:tab w:val="right" w:pos="8929"/>
          <w:tab w:val="right" w:pos="9638"/>
        </w:tabs>
        <w:spacing w:after="120"/>
        <w:ind w:left="1134" w:hanging="1134"/>
      </w:pPr>
      <w:r>
        <w:tab/>
      </w:r>
      <w:r>
        <w:tab/>
      </w:r>
      <w:r w:rsidR="007A7A30" w:rsidRPr="004D54AB">
        <w:rPr>
          <w:lang w:val="fr-FR"/>
        </w:rPr>
        <w:t>État de l’Accord</w:t>
      </w:r>
      <w:r>
        <w:tab/>
      </w:r>
      <w:r>
        <w:tab/>
      </w:r>
      <w:r w:rsidR="006D2276">
        <w:t>20</w:t>
      </w:r>
      <w:r>
        <w:tab/>
      </w:r>
      <w:r w:rsidR="006D2276">
        <w:t>5</w:t>
      </w:r>
    </w:p>
    <w:p w:rsidR="00F43669" w:rsidRDefault="00F43669" w:rsidP="00F43669">
      <w:pPr>
        <w:tabs>
          <w:tab w:val="right" w:pos="850"/>
          <w:tab w:val="right" w:leader="dot" w:pos="7654"/>
          <w:tab w:val="right" w:pos="8929"/>
          <w:tab w:val="right" w:pos="9638"/>
        </w:tabs>
        <w:spacing w:after="120"/>
        <w:ind w:left="1134" w:hanging="1134"/>
      </w:pPr>
      <w:r>
        <w:tab/>
        <w:t>VI.</w:t>
      </w:r>
      <w:r>
        <w:tab/>
      </w:r>
      <w:r w:rsidR="007A7A30" w:rsidRPr="004D54AB">
        <w:rPr>
          <w:lang w:val="fr-FR"/>
        </w:rPr>
        <w:t>Projet d’autoroute transeuropéenne Nord-Sud (TEM)</w:t>
      </w:r>
      <w:r>
        <w:tab/>
      </w:r>
      <w:r>
        <w:tab/>
      </w:r>
      <w:r w:rsidR="006D2276">
        <w:t>21</w:t>
      </w:r>
      <w:r>
        <w:tab/>
      </w:r>
      <w:r w:rsidR="006D2276">
        <w:t>5</w:t>
      </w:r>
    </w:p>
    <w:p w:rsidR="00F43669" w:rsidRDefault="00F43669" w:rsidP="00F43669">
      <w:pPr>
        <w:tabs>
          <w:tab w:val="right" w:pos="850"/>
          <w:tab w:val="right" w:leader="dot" w:pos="7654"/>
          <w:tab w:val="right" w:pos="8929"/>
          <w:tab w:val="right" w:pos="9638"/>
        </w:tabs>
        <w:spacing w:after="120"/>
        <w:ind w:left="1134" w:hanging="1134"/>
      </w:pPr>
      <w:r>
        <w:tab/>
        <w:t>VII.</w:t>
      </w:r>
      <w:r>
        <w:tab/>
      </w:r>
      <w:r w:rsidR="007A7A30" w:rsidRPr="004D54AB">
        <w:rPr>
          <w:lang w:val="fr-FR"/>
        </w:rPr>
        <w:t>Convention relative au contrat de transport international</w:t>
      </w:r>
      <w:r w:rsidR="007A7A30">
        <w:rPr>
          <w:lang w:val="fr-FR"/>
        </w:rPr>
        <w:t xml:space="preserve"> </w:t>
      </w:r>
      <w:r w:rsidR="007A7A30" w:rsidRPr="004D54AB">
        <w:rPr>
          <w:lang w:val="fr-FR"/>
        </w:rPr>
        <w:t xml:space="preserve">de marchandises </w:t>
      </w:r>
      <w:r w:rsidR="007A7A30">
        <w:rPr>
          <w:lang w:val="fr-FR"/>
        </w:rPr>
        <w:br/>
      </w:r>
      <w:r w:rsidR="007A7A30" w:rsidRPr="004D54AB">
        <w:rPr>
          <w:lang w:val="fr-FR"/>
        </w:rPr>
        <w:t>par route (CMR)</w:t>
      </w:r>
      <w:r>
        <w:tab/>
      </w:r>
      <w:r>
        <w:tab/>
      </w:r>
      <w:r w:rsidR="006D2276">
        <w:t>22−35</w:t>
      </w:r>
      <w:r>
        <w:tab/>
      </w:r>
      <w:r w:rsidR="006D2276">
        <w:t>5</w:t>
      </w:r>
    </w:p>
    <w:p w:rsidR="00F43669" w:rsidRDefault="00F43669" w:rsidP="00F43669">
      <w:pPr>
        <w:tabs>
          <w:tab w:val="right" w:leader="dot" w:pos="7654"/>
          <w:tab w:val="right" w:pos="8929"/>
          <w:tab w:val="right" w:pos="9638"/>
        </w:tabs>
        <w:spacing w:after="120"/>
        <w:ind w:left="1559" w:hanging="425"/>
      </w:pPr>
      <w:r>
        <w:t>A.</w:t>
      </w:r>
      <w:r>
        <w:tab/>
      </w:r>
      <w:r w:rsidR="007A7A30" w:rsidRPr="004D54AB">
        <w:rPr>
          <w:lang w:val="fr-FR"/>
        </w:rPr>
        <w:t>État de la Convention</w:t>
      </w:r>
      <w:r>
        <w:tab/>
      </w:r>
      <w:r>
        <w:tab/>
      </w:r>
      <w:r w:rsidR="006D2276">
        <w:t>22</w:t>
      </w:r>
      <w:r>
        <w:tab/>
      </w:r>
      <w:r w:rsidR="006D2276">
        <w:t>5</w:t>
      </w:r>
    </w:p>
    <w:p w:rsidR="00F43669" w:rsidRDefault="00F43669" w:rsidP="00F43669">
      <w:pPr>
        <w:tabs>
          <w:tab w:val="right" w:leader="dot" w:pos="7654"/>
          <w:tab w:val="right" w:pos="8929"/>
          <w:tab w:val="right" w:pos="9638"/>
        </w:tabs>
        <w:spacing w:after="120"/>
        <w:ind w:left="1559" w:hanging="425"/>
      </w:pPr>
      <w:r>
        <w:t>B.</w:t>
      </w:r>
      <w:r>
        <w:tab/>
      </w:r>
      <w:r w:rsidR="007A7A30" w:rsidRPr="004D54AB">
        <w:rPr>
          <w:lang w:val="fr-FR"/>
        </w:rPr>
        <w:t xml:space="preserve">Protocole à la Convention relative au contrat de transport international </w:t>
      </w:r>
      <w:r w:rsidR="007A7A30">
        <w:rPr>
          <w:lang w:val="fr-FR"/>
        </w:rPr>
        <w:br/>
      </w:r>
      <w:r w:rsidR="007A7A30" w:rsidRPr="004D54AB">
        <w:rPr>
          <w:lang w:val="fr-FR"/>
        </w:rPr>
        <w:t>de marchandises par route (CMR)</w:t>
      </w:r>
      <w:r>
        <w:tab/>
      </w:r>
      <w:r>
        <w:tab/>
      </w:r>
      <w:r w:rsidR="006D2276">
        <w:t>23</w:t>
      </w:r>
      <w:r>
        <w:tab/>
      </w:r>
      <w:r w:rsidR="006D2276">
        <w:t>5</w:t>
      </w:r>
    </w:p>
    <w:p w:rsidR="00F43669" w:rsidRDefault="00F43669" w:rsidP="00F43669">
      <w:pPr>
        <w:tabs>
          <w:tab w:val="right" w:leader="dot" w:pos="7654"/>
          <w:tab w:val="right" w:pos="8929"/>
          <w:tab w:val="right" w:pos="9638"/>
        </w:tabs>
        <w:spacing w:after="120"/>
        <w:ind w:left="1559" w:hanging="425"/>
      </w:pPr>
      <w:r>
        <w:t>C.</w:t>
      </w:r>
      <w:r>
        <w:tab/>
      </w:r>
      <w:r w:rsidR="007A7A30" w:rsidRPr="004D54AB">
        <w:rPr>
          <w:lang w:val="fr-FR"/>
        </w:rPr>
        <w:t>Protocole additionnel à la CMR concernant la lettre de voiture électronique</w:t>
      </w:r>
      <w:r>
        <w:tab/>
      </w:r>
      <w:r>
        <w:tab/>
      </w:r>
      <w:r w:rsidR="006D2276">
        <w:t>2</w:t>
      </w:r>
      <w:r w:rsidR="008440DF">
        <w:t>4</w:t>
      </w:r>
      <w:r w:rsidR="006D2276">
        <w:t>−35</w:t>
      </w:r>
      <w:r>
        <w:tab/>
      </w:r>
      <w:r w:rsidR="006D2276">
        <w:t>5</w:t>
      </w:r>
    </w:p>
    <w:p w:rsidR="00F43669" w:rsidRDefault="00F43669" w:rsidP="00F43669">
      <w:pPr>
        <w:tabs>
          <w:tab w:val="right" w:pos="850"/>
          <w:tab w:val="right" w:leader="dot" w:pos="7654"/>
          <w:tab w:val="right" w:pos="8929"/>
          <w:tab w:val="right" w:pos="9638"/>
        </w:tabs>
        <w:spacing w:after="120"/>
        <w:ind w:left="1134" w:hanging="1134"/>
      </w:pPr>
      <w:r>
        <w:tab/>
        <w:t>VIII.</w:t>
      </w:r>
      <w:r>
        <w:tab/>
      </w:r>
      <w:r w:rsidR="007A7A30" w:rsidRPr="004D54AB">
        <w:rPr>
          <w:lang w:val="fr-FR"/>
        </w:rPr>
        <w:t>Facilitation du transport routier international</w:t>
      </w:r>
      <w:r>
        <w:tab/>
      </w:r>
      <w:r>
        <w:tab/>
      </w:r>
      <w:r w:rsidR="006D2276">
        <w:t>36−46</w:t>
      </w:r>
      <w:r>
        <w:tab/>
      </w:r>
      <w:r w:rsidR="006D2276">
        <w:t>7</w:t>
      </w:r>
    </w:p>
    <w:p w:rsidR="00F43669" w:rsidRDefault="00F43669" w:rsidP="00F43669">
      <w:pPr>
        <w:tabs>
          <w:tab w:val="right" w:leader="dot" w:pos="7654"/>
          <w:tab w:val="right" w:pos="8929"/>
          <w:tab w:val="right" w:pos="9638"/>
        </w:tabs>
        <w:spacing w:after="120"/>
        <w:ind w:left="1559" w:hanging="425"/>
      </w:pPr>
      <w:r>
        <w:lastRenderedPageBreak/>
        <w:t>A.</w:t>
      </w:r>
      <w:r>
        <w:tab/>
      </w:r>
      <w:r w:rsidR="007A7A30" w:rsidRPr="004D54AB">
        <w:rPr>
          <w:lang w:val="fr-FR"/>
        </w:rPr>
        <w:t>Carte internationale d’assurance automobile (carte verte)</w:t>
      </w:r>
      <w:r>
        <w:tab/>
      </w:r>
      <w:r>
        <w:tab/>
      </w:r>
      <w:r w:rsidR="006D2276">
        <w:t>36−37</w:t>
      </w:r>
      <w:r>
        <w:tab/>
      </w:r>
      <w:r w:rsidR="006D2276">
        <w:t>7</w:t>
      </w:r>
    </w:p>
    <w:p w:rsidR="00F43669" w:rsidRDefault="00F43669" w:rsidP="00F43669">
      <w:pPr>
        <w:tabs>
          <w:tab w:val="right" w:leader="dot" w:pos="7654"/>
          <w:tab w:val="right" w:pos="8929"/>
          <w:tab w:val="right" w:pos="9638"/>
        </w:tabs>
        <w:spacing w:after="120"/>
        <w:ind w:left="1559" w:hanging="425"/>
      </w:pPr>
      <w:r>
        <w:t>B.</w:t>
      </w:r>
      <w:r>
        <w:tab/>
      </w:r>
      <w:r w:rsidR="007A7A30" w:rsidRPr="004D54AB">
        <w:rPr>
          <w:lang w:val="fr-FR"/>
        </w:rPr>
        <w:t xml:space="preserve">Proposition d’accord multilatéral mondial relatif au transport régulier </w:t>
      </w:r>
      <w:r w:rsidR="007A7A30">
        <w:rPr>
          <w:lang w:val="fr-FR"/>
        </w:rPr>
        <w:br/>
      </w:r>
      <w:r w:rsidR="007A7A30" w:rsidRPr="004D54AB">
        <w:rPr>
          <w:lang w:val="fr-FR"/>
        </w:rPr>
        <w:t>international de voyageurs par autobus et autocar (</w:t>
      </w:r>
      <w:proofErr w:type="spellStart"/>
      <w:r w:rsidR="007A7A30" w:rsidRPr="004D54AB">
        <w:rPr>
          <w:lang w:val="fr-FR"/>
        </w:rPr>
        <w:t>OmniBUS</w:t>
      </w:r>
      <w:proofErr w:type="spellEnd"/>
      <w:r w:rsidR="007A7A30" w:rsidRPr="004D54AB">
        <w:rPr>
          <w:lang w:val="fr-FR"/>
        </w:rPr>
        <w:t>)</w:t>
      </w:r>
      <w:r>
        <w:tab/>
      </w:r>
      <w:r>
        <w:tab/>
      </w:r>
      <w:r w:rsidR="006D2276">
        <w:t>38−41</w:t>
      </w:r>
      <w:r>
        <w:tab/>
      </w:r>
      <w:r w:rsidR="006D2276">
        <w:t>7</w:t>
      </w:r>
    </w:p>
    <w:p w:rsidR="00F43669" w:rsidRDefault="00F43669" w:rsidP="00F43669">
      <w:pPr>
        <w:tabs>
          <w:tab w:val="right" w:leader="dot" w:pos="7654"/>
          <w:tab w:val="right" w:pos="8929"/>
          <w:tab w:val="right" w:pos="9638"/>
        </w:tabs>
        <w:spacing w:after="120"/>
        <w:ind w:left="1559" w:hanging="425"/>
      </w:pPr>
      <w:r>
        <w:t>C.</w:t>
      </w:r>
      <w:r>
        <w:tab/>
      </w:r>
      <w:r w:rsidR="007A7A30" w:rsidRPr="004D54AB">
        <w:rPr>
          <w:lang w:val="fr-FR"/>
        </w:rPr>
        <w:t>Restrictions quantitatives imposées au transport international</w:t>
      </w:r>
      <w:r w:rsidR="007A7A30">
        <w:rPr>
          <w:lang w:val="fr-FR"/>
        </w:rPr>
        <w:t xml:space="preserve"> </w:t>
      </w:r>
      <w:r w:rsidR="007A7A30" w:rsidRPr="004D54AB">
        <w:rPr>
          <w:lang w:val="fr-FR"/>
        </w:rPr>
        <w:t xml:space="preserve">routier </w:t>
      </w:r>
      <w:r w:rsidR="007A7A30">
        <w:rPr>
          <w:lang w:val="fr-FR"/>
        </w:rPr>
        <w:br/>
      </w:r>
      <w:r w:rsidR="007A7A30" w:rsidRPr="004D54AB">
        <w:rPr>
          <w:lang w:val="fr-FR"/>
        </w:rPr>
        <w:t>de marchandises</w:t>
      </w:r>
      <w:r>
        <w:tab/>
      </w:r>
      <w:r>
        <w:tab/>
      </w:r>
      <w:r w:rsidR="006D2276">
        <w:t>42−44</w:t>
      </w:r>
      <w:r>
        <w:tab/>
      </w:r>
      <w:r w:rsidR="006D2276">
        <w:t>7</w:t>
      </w:r>
    </w:p>
    <w:p w:rsidR="00F43669" w:rsidRDefault="00F43669" w:rsidP="00F43669">
      <w:pPr>
        <w:tabs>
          <w:tab w:val="right" w:leader="dot" w:pos="7654"/>
          <w:tab w:val="right" w:pos="8929"/>
          <w:tab w:val="right" w:pos="9638"/>
        </w:tabs>
        <w:spacing w:after="120"/>
        <w:ind w:left="1559" w:hanging="425"/>
      </w:pPr>
      <w:r>
        <w:t>D.</w:t>
      </w:r>
      <w:r>
        <w:tab/>
      </w:r>
      <w:r w:rsidR="007A7A30" w:rsidRPr="004D54AB">
        <w:rPr>
          <w:lang w:val="fr-FR"/>
        </w:rPr>
        <w:t>Relations entre l’origine des marchandises et les opérations de transport</w:t>
      </w:r>
      <w:r>
        <w:tab/>
      </w:r>
      <w:r>
        <w:tab/>
      </w:r>
      <w:r w:rsidR="006D2276">
        <w:t>45−46</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IX.</w:t>
      </w:r>
      <w:r>
        <w:tab/>
      </w:r>
      <w:r w:rsidR="007A7A30" w:rsidRPr="004D54AB">
        <w:rPr>
          <w:lang w:val="fr-FR"/>
        </w:rPr>
        <w:t>Groupe d’experts de la sécurité aux passages à niveau</w:t>
      </w:r>
      <w:r>
        <w:tab/>
      </w:r>
      <w:r>
        <w:tab/>
      </w:r>
      <w:r w:rsidR="006D2276">
        <w:t>47</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X.</w:t>
      </w:r>
      <w:r>
        <w:tab/>
      </w:r>
      <w:r w:rsidR="007A7A30" w:rsidRPr="004D54AB">
        <w:rPr>
          <w:lang w:val="fr-FR"/>
        </w:rPr>
        <w:t>Révision du mandat et du Règlement intérieur du SC.1</w:t>
      </w:r>
      <w:r>
        <w:tab/>
      </w:r>
      <w:r>
        <w:tab/>
      </w:r>
      <w:r w:rsidR="006D2276">
        <w:t>48−49</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XI.</w:t>
      </w:r>
      <w:r>
        <w:tab/>
      </w:r>
      <w:r w:rsidR="007A7A30" w:rsidRPr="004D54AB">
        <w:rPr>
          <w:lang w:val="fr-FR"/>
        </w:rPr>
        <w:t>Questions diverses</w:t>
      </w:r>
      <w:r>
        <w:tab/>
      </w:r>
      <w:r>
        <w:tab/>
      </w:r>
      <w:r w:rsidR="006D2276">
        <w:t>50</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XII.</w:t>
      </w:r>
      <w:r>
        <w:tab/>
      </w:r>
      <w:r w:rsidR="007A7A30" w:rsidRPr="004D54AB">
        <w:rPr>
          <w:lang w:val="fr-FR"/>
        </w:rPr>
        <w:t>Date de la prochaine session</w:t>
      </w:r>
      <w:r>
        <w:tab/>
      </w:r>
      <w:r>
        <w:tab/>
      </w:r>
      <w:r w:rsidR="006D2276">
        <w:t>51</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XIII.</w:t>
      </w:r>
      <w:r>
        <w:tab/>
      </w:r>
      <w:r w:rsidR="007A7A30" w:rsidRPr="004D54AB">
        <w:rPr>
          <w:lang w:val="fr-FR"/>
        </w:rPr>
        <w:t>Élection du Bureau</w:t>
      </w:r>
      <w:r>
        <w:tab/>
      </w:r>
      <w:r>
        <w:tab/>
      </w:r>
      <w:r w:rsidR="006D2276">
        <w:t>52</w:t>
      </w:r>
      <w:r>
        <w:tab/>
      </w:r>
      <w:r w:rsidR="006D2276">
        <w:t>8</w:t>
      </w:r>
    </w:p>
    <w:p w:rsidR="00F43669" w:rsidRDefault="00F43669" w:rsidP="00F43669">
      <w:pPr>
        <w:tabs>
          <w:tab w:val="right" w:pos="850"/>
          <w:tab w:val="right" w:leader="dot" w:pos="7654"/>
          <w:tab w:val="right" w:pos="8929"/>
          <w:tab w:val="right" w:pos="9638"/>
        </w:tabs>
        <w:spacing w:after="120"/>
        <w:ind w:left="1134" w:hanging="1134"/>
      </w:pPr>
      <w:r>
        <w:tab/>
        <w:t>XIV.</w:t>
      </w:r>
      <w:r>
        <w:tab/>
      </w:r>
      <w:r w:rsidR="007A7A30" w:rsidRPr="004D54AB">
        <w:rPr>
          <w:lang w:val="fr-FR"/>
        </w:rPr>
        <w:t>Adoption du rapport</w:t>
      </w:r>
      <w:r>
        <w:tab/>
      </w:r>
      <w:r>
        <w:tab/>
      </w:r>
      <w:r w:rsidR="006D2276">
        <w:t>53</w:t>
      </w:r>
      <w:r>
        <w:tab/>
      </w:r>
      <w:r w:rsidR="006D2276">
        <w:t>8</w:t>
      </w:r>
    </w:p>
    <w:p w:rsidR="00F43669" w:rsidRPr="00F43669" w:rsidRDefault="00F43669" w:rsidP="00F43669">
      <w:pPr>
        <w:tabs>
          <w:tab w:val="right" w:pos="850"/>
        </w:tabs>
        <w:spacing w:after="120"/>
      </w:pPr>
      <w:r>
        <w:tab/>
        <w:t>Annexe</w:t>
      </w:r>
    </w:p>
    <w:p w:rsidR="00F43669" w:rsidRDefault="00F43669" w:rsidP="00F43669">
      <w:pPr>
        <w:tabs>
          <w:tab w:val="right" w:pos="850"/>
          <w:tab w:val="right" w:leader="dot" w:pos="8929"/>
          <w:tab w:val="right" w:pos="9638"/>
        </w:tabs>
        <w:spacing w:after="120"/>
        <w:ind w:left="1134" w:hanging="1134"/>
      </w:pPr>
      <w:r>
        <w:tab/>
      </w:r>
      <w:r>
        <w:tab/>
      </w:r>
      <w:r w:rsidR="007A7A30" w:rsidRPr="004D54AB">
        <w:rPr>
          <w:lang w:val="fr-FR"/>
        </w:rPr>
        <w:t>Stratégie du Comité des transports intérieurs à l’horizon</w:t>
      </w:r>
      <w:r w:rsidR="006D2276">
        <w:rPr>
          <w:lang w:val="fr-FR"/>
        </w:rPr>
        <w:t xml:space="preserve"> 2030</w:t>
      </w:r>
      <w:r>
        <w:tab/>
      </w:r>
      <w:r>
        <w:tab/>
      </w:r>
      <w:r w:rsidR="006D2276">
        <w:t>9</w:t>
      </w:r>
    </w:p>
    <w:p w:rsidR="00F43669" w:rsidRPr="00F43669" w:rsidRDefault="00F43669" w:rsidP="00F43669">
      <w:pPr>
        <w:pStyle w:val="HChG"/>
      </w:pPr>
      <w:r>
        <w:rPr>
          <w:lang w:val="fr-FR"/>
        </w:rPr>
        <w:br w:type="page"/>
      </w:r>
      <w:r>
        <w:rPr>
          <w:lang w:val="fr-FR"/>
        </w:rPr>
        <w:lastRenderedPageBreak/>
        <w:tab/>
      </w:r>
      <w:r w:rsidRPr="00F43669">
        <w:rPr>
          <w:lang w:val="fr-FR"/>
        </w:rPr>
        <w:t>I.</w:t>
      </w:r>
      <w:r w:rsidRPr="00F43669">
        <w:rPr>
          <w:lang w:val="fr-FR"/>
        </w:rPr>
        <w:tab/>
        <w:t>Participation</w:t>
      </w:r>
    </w:p>
    <w:p w:rsidR="00F43669" w:rsidRPr="00F43669" w:rsidRDefault="00F43669" w:rsidP="00F43669">
      <w:pPr>
        <w:pStyle w:val="SingleTxtG"/>
      </w:pPr>
      <w:r w:rsidRPr="00F43669">
        <w:rPr>
          <w:lang w:val="fr-FR"/>
        </w:rPr>
        <w:t>1.</w:t>
      </w:r>
      <w:r w:rsidRPr="00F43669">
        <w:rPr>
          <w:lang w:val="fr-FR"/>
        </w:rPr>
        <w:tab/>
        <w:t>Le Groupe de travail des transports routiers (SC.1) a tenu sa 113</w:t>
      </w:r>
      <w:r w:rsidRPr="00F43669">
        <w:rPr>
          <w:vertAlign w:val="superscript"/>
          <w:lang w:val="fr-FR"/>
        </w:rPr>
        <w:t>e</w:t>
      </w:r>
      <w:r>
        <w:rPr>
          <w:lang w:val="fr-FR"/>
        </w:rPr>
        <w:t> </w:t>
      </w:r>
      <w:r w:rsidRPr="00F43669">
        <w:rPr>
          <w:lang w:val="fr-FR"/>
        </w:rPr>
        <w:t>session du 16 au 18</w:t>
      </w:r>
      <w:r>
        <w:rPr>
          <w:lang w:val="fr-FR"/>
        </w:rPr>
        <w:t> </w:t>
      </w:r>
      <w:r w:rsidRPr="00F43669">
        <w:rPr>
          <w:lang w:val="fr-FR"/>
        </w:rPr>
        <w:t>octobre 2018 sous la présidence de M.</w:t>
      </w:r>
      <w:r>
        <w:rPr>
          <w:lang w:val="fr-FR"/>
        </w:rPr>
        <w:t> </w:t>
      </w:r>
      <w:r w:rsidRPr="00F43669">
        <w:rPr>
          <w:lang w:val="fr-FR"/>
        </w:rPr>
        <w:t>R.</w:t>
      </w:r>
      <w:r>
        <w:rPr>
          <w:lang w:val="fr-FR"/>
        </w:rPr>
        <w:t> </w:t>
      </w:r>
      <w:proofErr w:type="spellStart"/>
      <w:r w:rsidRPr="00F43669">
        <w:rPr>
          <w:lang w:val="fr-FR"/>
        </w:rPr>
        <w:t>Symonenko</w:t>
      </w:r>
      <w:proofErr w:type="spellEnd"/>
      <w:r w:rsidRPr="00F43669">
        <w:rPr>
          <w:lang w:val="fr-FR"/>
        </w:rPr>
        <w:t xml:space="preserve"> (Ukraine). Y ont participé les représentants des États membres de la Commission économique pour l</w:t>
      </w:r>
      <w:r>
        <w:rPr>
          <w:lang w:val="fr-FR"/>
        </w:rPr>
        <w:t>’</w:t>
      </w:r>
      <w:r w:rsidRPr="00F43669">
        <w:rPr>
          <w:lang w:val="fr-FR"/>
        </w:rPr>
        <w:t>Europe (CEE) ci</w:t>
      </w:r>
      <w:r>
        <w:rPr>
          <w:lang w:val="fr-FR"/>
        </w:rPr>
        <w:noBreakHyphen/>
      </w:r>
      <w:r w:rsidRPr="00F43669">
        <w:rPr>
          <w:lang w:val="fr-FR"/>
        </w:rPr>
        <w:t>après</w:t>
      </w:r>
      <w:r>
        <w:rPr>
          <w:lang w:val="fr-FR"/>
        </w:rPr>
        <w:t> </w:t>
      </w:r>
      <w:r w:rsidRPr="00F43669">
        <w:rPr>
          <w:lang w:val="fr-FR"/>
        </w:rPr>
        <w:t>: Allemagne, Fédération de Russie, Finlande, Norvège, Pays-Bas, Pologne, République tchèque, Roumanie, Slovénie, Turquie et Ukraine.</w:t>
      </w:r>
    </w:p>
    <w:p w:rsidR="00F43669" w:rsidRPr="00F43669" w:rsidRDefault="00F43669" w:rsidP="00F43669">
      <w:pPr>
        <w:pStyle w:val="SingleTxtG"/>
      </w:pPr>
      <w:bookmarkStart w:id="1" w:name="_Hlk528581737"/>
      <w:r w:rsidRPr="00F43669">
        <w:rPr>
          <w:lang w:val="fr-FR"/>
        </w:rPr>
        <w:t>2.</w:t>
      </w:r>
      <w:r w:rsidRPr="00F43669">
        <w:rPr>
          <w:lang w:val="fr-FR"/>
        </w:rPr>
        <w:tab/>
        <w:t>L</w:t>
      </w:r>
      <w:r>
        <w:rPr>
          <w:lang w:val="fr-FR"/>
        </w:rPr>
        <w:t>’</w:t>
      </w:r>
      <w:r w:rsidRPr="00F43669">
        <w:rPr>
          <w:lang w:val="fr-FR"/>
        </w:rPr>
        <w:t>Union européenne et l</w:t>
      </w:r>
      <w:r>
        <w:rPr>
          <w:lang w:val="fr-FR"/>
        </w:rPr>
        <w:t>’</w:t>
      </w:r>
      <w:r w:rsidRPr="00F43669">
        <w:rPr>
          <w:lang w:val="fr-FR"/>
        </w:rPr>
        <w:t>Organisation intergouvernementale pour les transports internationaux ferroviaires (OTIF) étaient également représentées. Les organisations non gouvernementales ci-après étaient représentées</w:t>
      </w:r>
      <w:r>
        <w:rPr>
          <w:lang w:val="fr-FR"/>
        </w:rPr>
        <w:t> </w:t>
      </w:r>
      <w:r w:rsidRPr="00F43669">
        <w:rPr>
          <w:lang w:val="fr-FR"/>
        </w:rPr>
        <w:t>: l</w:t>
      </w:r>
      <w:r>
        <w:rPr>
          <w:lang w:val="fr-FR"/>
        </w:rPr>
        <w:t>’</w:t>
      </w:r>
      <w:r w:rsidRPr="00F43669">
        <w:rPr>
          <w:lang w:val="fr-FR"/>
        </w:rPr>
        <w:t>Association des transporteurs routiers internationaux (ASMAP), le Conseil des Bureaux (CB), le projet euro-méditerranéen de soutien aux transports, le Programme international d</w:t>
      </w:r>
      <w:r>
        <w:rPr>
          <w:lang w:val="fr-FR"/>
        </w:rPr>
        <w:t>’</w:t>
      </w:r>
      <w:r w:rsidRPr="00F43669">
        <w:rPr>
          <w:lang w:val="fr-FR"/>
        </w:rPr>
        <w:t>évaluation des routes (</w:t>
      </w:r>
      <w:proofErr w:type="spellStart"/>
      <w:r w:rsidRPr="00F43669">
        <w:rPr>
          <w:lang w:val="fr-FR"/>
        </w:rPr>
        <w:t>iRAP</w:t>
      </w:r>
      <w:proofErr w:type="spellEnd"/>
      <w:r w:rsidRPr="00F43669">
        <w:rPr>
          <w:lang w:val="fr-FR"/>
        </w:rPr>
        <w:t>), l</w:t>
      </w:r>
      <w:r>
        <w:rPr>
          <w:lang w:val="fr-FR"/>
        </w:rPr>
        <w:t>’</w:t>
      </w:r>
      <w:r w:rsidRPr="00F43669">
        <w:rPr>
          <w:lang w:val="fr-FR"/>
        </w:rPr>
        <w:t>Union internationale des transports routiers (IRU) et la Chambre de Commerce et d</w:t>
      </w:r>
      <w:r>
        <w:rPr>
          <w:lang w:val="fr-FR"/>
        </w:rPr>
        <w:t>’</w:t>
      </w:r>
      <w:r w:rsidRPr="00F43669">
        <w:rPr>
          <w:lang w:val="fr-FR"/>
        </w:rPr>
        <w:t>industrie de Moscou.</w:t>
      </w:r>
    </w:p>
    <w:bookmarkEnd w:id="1"/>
    <w:p w:rsidR="00F43669" w:rsidRPr="00F43669" w:rsidRDefault="00F43669" w:rsidP="00F43669">
      <w:pPr>
        <w:pStyle w:val="HChG"/>
      </w:pPr>
      <w:r>
        <w:rPr>
          <w:lang w:val="fr-FR"/>
        </w:rPr>
        <w:tab/>
      </w:r>
      <w:r w:rsidRPr="00F43669">
        <w:rPr>
          <w:lang w:val="fr-FR"/>
        </w:rPr>
        <w:t>II.</w:t>
      </w:r>
      <w:r w:rsidRPr="00F43669">
        <w:rPr>
          <w:lang w:val="fr-FR"/>
        </w:rPr>
        <w:tab/>
        <w:t>Adoption de l</w:t>
      </w:r>
      <w:r>
        <w:rPr>
          <w:lang w:val="fr-FR"/>
        </w:rPr>
        <w:t>’</w:t>
      </w:r>
      <w:r w:rsidRPr="00F43669">
        <w:rPr>
          <w:lang w:val="fr-FR"/>
        </w:rPr>
        <w:t>ordre du jour</w:t>
      </w:r>
    </w:p>
    <w:p w:rsidR="00F43669" w:rsidRPr="00F43669" w:rsidRDefault="00F43669" w:rsidP="00F43669">
      <w:pPr>
        <w:pStyle w:val="SingleTxtG"/>
      </w:pPr>
      <w:r w:rsidRPr="00F43669">
        <w:rPr>
          <w:lang w:val="fr-FR"/>
        </w:rPr>
        <w:t>3.</w:t>
      </w:r>
      <w:r w:rsidRPr="00F43669">
        <w:rPr>
          <w:lang w:val="fr-FR"/>
        </w:rPr>
        <w:tab/>
        <w:t>Le SC.1 a adopté l</w:t>
      </w:r>
      <w:r>
        <w:rPr>
          <w:lang w:val="fr-FR"/>
        </w:rPr>
        <w:t>’</w:t>
      </w:r>
      <w:r w:rsidRPr="00F43669">
        <w:rPr>
          <w:lang w:val="fr-FR"/>
        </w:rPr>
        <w:t>ordre du jour de la session (ECE/TRANS/SC.1/409).</w:t>
      </w:r>
    </w:p>
    <w:p w:rsidR="00F43669" w:rsidRPr="00F43669" w:rsidRDefault="00045BE9" w:rsidP="00045BE9">
      <w:pPr>
        <w:pStyle w:val="HChG"/>
      </w:pPr>
      <w:r>
        <w:rPr>
          <w:lang w:val="fr-FR"/>
        </w:rPr>
        <w:tab/>
        <w:t>III.</w:t>
      </w:r>
      <w:r w:rsidR="00F43669" w:rsidRPr="00F43669">
        <w:rPr>
          <w:lang w:val="fr-FR"/>
        </w:rPr>
        <w:tab/>
        <w:t>Activités présentant un intérêt pour le Groupe de travail</w:t>
      </w:r>
    </w:p>
    <w:p w:rsidR="00F43669" w:rsidRPr="00F43669" w:rsidRDefault="00045BE9" w:rsidP="00045BE9">
      <w:pPr>
        <w:pStyle w:val="H1G"/>
      </w:pPr>
      <w:r>
        <w:rPr>
          <w:lang w:val="fr-FR"/>
        </w:rPr>
        <w:tab/>
      </w:r>
      <w:r w:rsidR="00F43669" w:rsidRPr="00F43669">
        <w:rPr>
          <w:lang w:val="fr-FR"/>
        </w:rPr>
        <w:t>A.</w:t>
      </w:r>
      <w:r w:rsidR="00F43669" w:rsidRPr="00F43669">
        <w:rPr>
          <w:lang w:val="fr-FR"/>
        </w:rPr>
        <w:tab/>
        <w:t>Délégations nationales</w:t>
      </w:r>
    </w:p>
    <w:p w:rsidR="00F43669" w:rsidRPr="00F43669" w:rsidRDefault="00F43669" w:rsidP="00F43669">
      <w:pPr>
        <w:pStyle w:val="SingleTxtG"/>
      </w:pPr>
      <w:r w:rsidRPr="00F43669">
        <w:rPr>
          <w:lang w:val="fr-FR"/>
        </w:rPr>
        <w:t>4.</w:t>
      </w:r>
      <w:r w:rsidRPr="00F43669">
        <w:rPr>
          <w:lang w:val="fr-FR"/>
        </w:rPr>
        <w:tab/>
        <w:t>Les délégations nationales n</w:t>
      </w:r>
      <w:r>
        <w:rPr>
          <w:lang w:val="fr-FR"/>
        </w:rPr>
        <w:t>’</w:t>
      </w:r>
      <w:r w:rsidRPr="00F43669">
        <w:rPr>
          <w:lang w:val="fr-FR"/>
        </w:rPr>
        <w:t>ont fait part d</w:t>
      </w:r>
      <w:r>
        <w:rPr>
          <w:lang w:val="fr-FR"/>
        </w:rPr>
        <w:t>’</w:t>
      </w:r>
      <w:r w:rsidRPr="00F43669">
        <w:rPr>
          <w:lang w:val="fr-FR"/>
        </w:rPr>
        <w:t>aucun fait nouveau au cours de la session.</w:t>
      </w:r>
    </w:p>
    <w:p w:rsidR="00F43669" w:rsidRPr="00F43669" w:rsidRDefault="00045BE9" w:rsidP="00045BE9">
      <w:pPr>
        <w:pStyle w:val="H1G"/>
      </w:pPr>
      <w:r>
        <w:rPr>
          <w:lang w:val="fr-FR"/>
        </w:rPr>
        <w:tab/>
        <w:t>B.</w:t>
      </w:r>
      <w:r>
        <w:rPr>
          <w:lang w:val="fr-FR"/>
        </w:rPr>
        <w:tab/>
      </w:r>
      <w:r w:rsidR="00F43669" w:rsidRPr="00F43669">
        <w:rPr>
          <w:lang w:val="fr-FR"/>
        </w:rPr>
        <w:t>Organisations internationales</w:t>
      </w:r>
    </w:p>
    <w:p w:rsidR="00F43669" w:rsidRPr="00F43669" w:rsidRDefault="00F43669" w:rsidP="00F43669">
      <w:pPr>
        <w:pStyle w:val="SingleTxtG"/>
      </w:pPr>
      <w:r w:rsidRPr="00F43669">
        <w:rPr>
          <w:lang w:val="fr-FR"/>
        </w:rPr>
        <w:t>5.</w:t>
      </w:r>
      <w:r w:rsidRPr="00F43669">
        <w:rPr>
          <w:lang w:val="fr-FR"/>
        </w:rPr>
        <w:tab/>
        <w:t>L</w:t>
      </w:r>
      <w:r>
        <w:rPr>
          <w:lang w:val="fr-FR"/>
        </w:rPr>
        <w:t>’</w:t>
      </w:r>
      <w:r w:rsidRPr="00F43669">
        <w:rPr>
          <w:lang w:val="fr-FR"/>
        </w:rPr>
        <w:t>IRU a informé le SC.1 de ses initiatives concernant la décarburation, la pénurie de conducteurs, l</w:t>
      </w:r>
      <w:r>
        <w:rPr>
          <w:lang w:val="fr-FR"/>
        </w:rPr>
        <w:t>’</w:t>
      </w:r>
      <w:r w:rsidRPr="00F43669">
        <w:rPr>
          <w:lang w:val="fr-FR"/>
        </w:rPr>
        <w:t>innovation, la convention TIR et le Brexit.</w:t>
      </w:r>
    </w:p>
    <w:p w:rsidR="00F43669" w:rsidRPr="00F43669" w:rsidRDefault="00F43669" w:rsidP="00F43669">
      <w:pPr>
        <w:pStyle w:val="SingleTxtG"/>
      </w:pPr>
      <w:r w:rsidRPr="00F43669">
        <w:rPr>
          <w:lang w:val="fr-FR"/>
        </w:rPr>
        <w:t>6.</w:t>
      </w:r>
      <w:r w:rsidRPr="00F43669">
        <w:rPr>
          <w:lang w:val="fr-FR"/>
        </w:rPr>
        <w:tab/>
        <w:t>Le Programme international d</w:t>
      </w:r>
      <w:r>
        <w:rPr>
          <w:lang w:val="fr-FR"/>
        </w:rPr>
        <w:t>’</w:t>
      </w:r>
      <w:r w:rsidRPr="00F43669">
        <w:rPr>
          <w:lang w:val="fr-FR"/>
        </w:rPr>
        <w:t>évaluation des routes (</w:t>
      </w:r>
      <w:proofErr w:type="spellStart"/>
      <w:r w:rsidRPr="00F43669">
        <w:rPr>
          <w:lang w:val="fr-FR"/>
        </w:rPr>
        <w:t>iRAP</w:t>
      </w:r>
      <w:proofErr w:type="spellEnd"/>
      <w:r w:rsidRPr="00F43669">
        <w:rPr>
          <w:lang w:val="fr-FR"/>
        </w:rPr>
        <w:t xml:space="preserve">) a présenté ses travaux de classement. </w:t>
      </w:r>
    </w:p>
    <w:p w:rsidR="00F43669" w:rsidRPr="00F43669" w:rsidRDefault="00045BE9" w:rsidP="00045BE9">
      <w:pPr>
        <w:pStyle w:val="H1G"/>
      </w:pPr>
      <w:r>
        <w:rPr>
          <w:lang w:val="fr-FR"/>
        </w:rPr>
        <w:tab/>
      </w:r>
      <w:r w:rsidR="00F43669" w:rsidRPr="00F43669">
        <w:rPr>
          <w:lang w:val="fr-FR"/>
        </w:rPr>
        <w:t>C.</w:t>
      </w:r>
      <w:r w:rsidR="00F43669" w:rsidRPr="00F43669">
        <w:rPr>
          <w:lang w:val="fr-FR"/>
        </w:rPr>
        <w:tab/>
        <w:t>Activités d</w:t>
      </w:r>
      <w:r w:rsidR="00F43669">
        <w:rPr>
          <w:lang w:val="fr-FR"/>
        </w:rPr>
        <w:t>’</w:t>
      </w:r>
      <w:r w:rsidR="00F43669" w:rsidRPr="00F43669">
        <w:rPr>
          <w:lang w:val="fr-FR"/>
        </w:rPr>
        <w:t>organes de la CEE et d</w:t>
      </w:r>
      <w:r w:rsidR="00F43669">
        <w:rPr>
          <w:lang w:val="fr-FR"/>
        </w:rPr>
        <w:t>’</w:t>
      </w:r>
      <w:r w:rsidR="00F43669" w:rsidRPr="00F43669">
        <w:rPr>
          <w:lang w:val="fr-FR"/>
        </w:rPr>
        <w:t>autres organismes de l</w:t>
      </w:r>
      <w:r w:rsidR="00F43669">
        <w:rPr>
          <w:lang w:val="fr-FR"/>
        </w:rPr>
        <w:t>’</w:t>
      </w:r>
      <w:r w:rsidR="00F43669" w:rsidRPr="00F43669">
        <w:rPr>
          <w:lang w:val="fr-FR"/>
        </w:rPr>
        <w:t>ONU</w:t>
      </w:r>
    </w:p>
    <w:p w:rsidR="00F43669" w:rsidRPr="00F43669" w:rsidRDefault="00F43669" w:rsidP="00F43669">
      <w:pPr>
        <w:pStyle w:val="SingleTxtG"/>
      </w:pPr>
      <w:r w:rsidRPr="00F43669">
        <w:rPr>
          <w:lang w:val="fr-FR"/>
        </w:rPr>
        <w:t>7.</w:t>
      </w:r>
      <w:r w:rsidRPr="00F43669">
        <w:rPr>
          <w:lang w:val="fr-FR"/>
        </w:rPr>
        <w:tab/>
        <w:t>Le secrétariat a informé le SC.1 des résultats des sessions pertinentes du Comité des transports intérieurs (CTI), de ses organes subsidiaires et d</w:t>
      </w:r>
      <w:r>
        <w:rPr>
          <w:lang w:val="fr-FR"/>
        </w:rPr>
        <w:t>’</w:t>
      </w:r>
      <w:r w:rsidRPr="00F43669">
        <w:rPr>
          <w:lang w:val="fr-FR"/>
        </w:rPr>
        <w:t>autres entités des Nations Unies qui présentent un intérêt pour ses travaux. Il l</w:t>
      </w:r>
      <w:r>
        <w:rPr>
          <w:lang w:val="fr-FR"/>
        </w:rPr>
        <w:t>’</w:t>
      </w:r>
      <w:r w:rsidRPr="00F43669">
        <w:rPr>
          <w:lang w:val="fr-FR"/>
        </w:rPr>
        <w:t>a notamment tenu au courant des principales décisions prises à la quatre-vingtième session annuelle du Comité d</w:t>
      </w:r>
      <w:r w:rsidR="00045BE9">
        <w:rPr>
          <w:lang w:val="fr-FR"/>
        </w:rPr>
        <w:t>es transports intérieurs (20-23 </w:t>
      </w:r>
      <w:r w:rsidRPr="00F43669">
        <w:rPr>
          <w:lang w:val="fr-FR"/>
        </w:rPr>
        <w:t>février 2018) (par.</w:t>
      </w:r>
      <w:r w:rsidR="00045BE9">
        <w:rPr>
          <w:lang w:val="fr-FR"/>
        </w:rPr>
        <w:t> </w:t>
      </w:r>
      <w:r w:rsidRPr="00F43669">
        <w:rPr>
          <w:lang w:val="fr-FR"/>
        </w:rPr>
        <w:t>25 à 27 du do</w:t>
      </w:r>
      <w:r w:rsidR="00045BE9">
        <w:rPr>
          <w:lang w:val="fr-FR"/>
        </w:rPr>
        <w:t xml:space="preserve">cument informel du CTI (2018) </w:t>
      </w:r>
      <w:r w:rsidR="00045BE9" w:rsidRPr="00045BE9">
        <w:rPr>
          <w:rFonts w:eastAsia="MS Mincho"/>
          <w:szCs w:val="22"/>
          <w:lang w:val="fr-FR"/>
        </w:rPr>
        <w:t>n</w:t>
      </w:r>
      <w:r w:rsidR="00045BE9" w:rsidRPr="00045BE9">
        <w:rPr>
          <w:rFonts w:eastAsia="MS Mincho"/>
          <w:szCs w:val="22"/>
          <w:vertAlign w:val="superscript"/>
          <w:lang w:val="fr-FR"/>
        </w:rPr>
        <w:t>o</w:t>
      </w:r>
      <w:r w:rsidR="00045BE9">
        <w:rPr>
          <w:lang w:val="fr-FR"/>
        </w:rPr>
        <w:t> </w:t>
      </w:r>
      <w:r w:rsidRPr="00F43669">
        <w:rPr>
          <w:lang w:val="fr-FR"/>
        </w:rPr>
        <w:t>13).</w:t>
      </w:r>
    </w:p>
    <w:p w:rsidR="00F43669" w:rsidRPr="00F43669" w:rsidRDefault="00F43669" w:rsidP="00045BE9">
      <w:pPr>
        <w:pStyle w:val="SingleTxtG"/>
      </w:pPr>
      <w:r w:rsidRPr="00F43669">
        <w:rPr>
          <w:lang w:val="fr-FR"/>
        </w:rPr>
        <w:t>8.</w:t>
      </w:r>
      <w:r w:rsidRPr="00F43669">
        <w:rPr>
          <w:lang w:val="fr-FR"/>
        </w:rPr>
        <w:tab/>
        <w:t>Le Bureau du Comité des transports intérieurs (CTI), soutenu par le secrétariat, a poursuivi l</w:t>
      </w:r>
      <w:r>
        <w:rPr>
          <w:lang w:val="fr-FR"/>
        </w:rPr>
        <w:t>’</w:t>
      </w:r>
      <w:r w:rsidRPr="00F43669">
        <w:rPr>
          <w:lang w:val="fr-FR"/>
        </w:rPr>
        <w:t>élaboration de son projet de stratégie à l</w:t>
      </w:r>
      <w:r>
        <w:rPr>
          <w:lang w:val="fr-FR"/>
        </w:rPr>
        <w:t>’</w:t>
      </w:r>
      <w:r w:rsidRPr="00F43669">
        <w:rPr>
          <w:lang w:val="fr-FR"/>
        </w:rPr>
        <w:t>horizon 2030 (ECE/TRANS/2019/R.1). Conformément aux décisi</w:t>
      </w:r>
      <w:r w:rsidR="00045BE9">
        <w:rPr>
          <w:lang w:val="fr-FR"/>
        </w:rPr>
        <w:t>ons du CTI (ECE/TRANS/274, par. 17), le Bureau a demandé </w:t>
      </w:r>
      <w:r w:rsidRPr="00F43669">
        <w:rPr>
          <w:lang w:val="fr-FR"/>
        </w:rPr>
        <w:t>: a)</w:t>
      </w:r>
      <w:r w:rsidR="00045BE9">
        <w:rPr>
          <w:lang w:val="fr-FR"/>
        </w:rPr>
        <w:t> </w:t>
      </w:r>
      <w:r w:rsidRPr="00F43669">
        <w:rPr>
          <w:lang w:val="fr-FR"/>
        </w:rPr>
        <w:t>que l</w:t>
      </w:r>
      <w:r>
        <w:rPr>
          <w:lang w:val="fr-FR"/>
        </w:rPr>
        <w:t>’</w:t>
      </w:r>
      <w:r w:rsidRPr="00F43669">
        <w:rPr>
          <w:lang w:val="fr-FR"/>
        </w:rPr>
        <w:t>examen de</w:t>
      </w:r>
      <w:r w:rsidR="00045BE9">
        <w:rPr>
          <w:lang w:val="fr-FR"/>
        </w:rPr>
        <w:t xml:space="preserve"> </w:t>
      </w:r>
      <w:r w:rsidRPr="00F43669">
        <w:rPr>
          <w:lang w:val="fr-FR"/>
        </w:rPr>
        <w:t xml:space="preserve">cette stratégie soit </w:t>
      </w:r>
      <w:proofErr w:type="gramStart"/>
      <w:r w:rsidRPr="00F43669">
        <w:rPr>
          <w:lang w:val="fr-FR"/>
        </w:rPr>
        <w:t>ajoutée</w:t>
      </w:r>
      <w:proofErr w:type="gramEnd"/>
      <w:r w:rsidRPr="00F43669">
        <w:rPr>
          <w:lang w:val="fr-FR"/>
        </w:rPr>
        <w:t xml:space="preserve"> à l</w:t>
      </w:r>
      <w:r>
        <w:rPr>
          <w:lang w:val="fr-FR"/>
        </w:rPr>
        <w:t>’</w:t>
      </w:r>
      <w:r w:rsidRPr="00F43669">
        <w:rPr>
          <w:lang w:val="fr-FR"/>
        </w:rPr>
        <w:t>ordre du jour des réunions des groupes de travail jusqu</w:t>
      </w:r>
      <w:r>
        <w:rPr>
          <w:lang w:val="fr-FR"/>
        </w:rPr>
        <w:t>’</w:t>
      </w:r>
      <w:r w:rsidRPr="00F43669">
        <w:rPr>
          <w:lang w:val="fr-FR"/>
        </w:rPr>
        <w:t>à la fin de l</w:t>
      </w:r>
      <w:r>
        <w:rPr>
          <w:lang w:val="fr-FR"/>
        </w:rPr>
        <w:t>’</w:t>
      </w:r>
      <w:r w:rsidRPr="00F43669">
        <w:rPr>
          <w:lang w:val="fr-FR"/>
        </w:rPr>
        <w:t>année</w:t>
      </w:r>
      <w:r w:rsidR="00045BE9">
        <w:rPr>
          <w:lang w:val="fr-FR"/>
        </w:rPr>
        <w:t> ;</w:t>
      </w:r>
      <w:r w:rsidRPr="00F43669">
        <w:rPr>
          <w:lang w:val="fr-FR"/>
        </w:rPr>
        <w:t xml:space="preserve"> et b) que le document présentant le projet de stratégie soit communiqué aux gouvernements afin d</w:t>
      </w:r>
      <w:r>
        <w:rPr>
          <w:lang w:val="fr-FR"/>
        </w:rPr>
        <w:t>’</w:t>
      </w:r>
      <w:r w:rsidRPr="00F43669">
        <w:rPr>
          <w:lang w:val="fr-FR"/>
        </w:rPr>
        <w:t>en faciliter la consultation. Les membres du SC.1 ont donc examiné le document ECE/TRANS/2019/R.1 et ont fait des observations qui figurent en annexe.</w:t>
      </w:r>
    </w:p>
    <w:p w:rsidR="00F43669" w:rsidRPr="00F43669" w:rsidRDefault="00045BE9" w:rsidP="00045BE9">
      <w:pPr>
        <w:pStyle w:val="H1G"/>
      </w:pPr>
      <w:r>
        <w:rPr>
          <w:lang w:val="fr-FR"/>
        </w:rPr>
        <w:lastRenderedPageBreak/>
        <w:tab/>
      </w:r>
      <w:r w:rsidR="00F43669" w:rsidRPr="00F43669">
        <w:rPr>
          <w:lang w:val="fr-FR"/>
        </w:rPr>
        <w:t>D.</w:t>
      </w:r>
      <w:r w:rsidR="00F43669" w:rsidRPr="00F43669">
        <w:rPr>
          <w:lang w:val="fr-FR"/>
        </w:rPr>
        <w:tab/>
        <w:t>Infrastructures numériques/intelligentes</w:t>
      </w:r>
    </w:p>
    <w:p w:rsidR="00F43669" w:rsidRPr="00F43669" w:rsidRDefault="00F43669" w:rsidP="00F43669">
      <w:pPr>
        <w:pStyle w:val="SingleTxtG"/>
      </w:pPr>
      <w:bookmarkStart w:id="2" w:name="_Hlk528748437"/>
      <w:r w:rsidRPr="00F43669">
        <w:rPr>
          <w:lang w:val="fr-FR"/>
        </w:rPr>
        <w:t>9.</w:t>
      </w:r>
      <w:r w:rsidRPr="00F43669">
        <w:rPr>
          <w:lang w:val="fr-FR"/>
        </w:rPr>
        <w:tab/>
        <w:t xml:space="preserve">Lors de sa dernière session, le SC.1 </w:t>
      </w:r>
      <w:r w:rsidR="00CC4417">
        <w:rPr>
          <w:lang w:val="fr-FR"/>
        </w:rPr>
        <w:t xml:space="preserve">a </w:t>
      </w:r>
      <w:r w:rsidRPr="00F43669">
        <w:rPr>
          <w:lang w:val="fr-FR"/>
        </w:rPr>
        <w:t>déclaré qu</w:t>
      </w:r>
      <w:r>
        <w:rPr>
          <w:lang w:val="fr-FR"/>
        </w:rPr>
        <w:t>’</w:t>
      </w:r>
      <w:r w:rsidRPr="00F43669">
        <w:rPr>
          <w:lang w:val="fr-FR"/>
        </w:rPr>
        <w:t>il s</w:t>
      </w:r>
      <w:r>
        <w:rPr>
          <w:lang w:val="fr-FR"/>
        </w:rPr>
        <w:t>’</w:t>
      </w:r>
      <w:r w:rsidRPr="00F43669">
        <w:rPr>
          <w:lang w:val="fr-FR"/>
        </w:rPr>
        <w:t>efforcerait d</w:t>
      </w:r>
      <w:r>
        <w:rPr>
          <w:lang w:val="fr-FR"/>
        </w:rPr>
        <w:t>’</w:t>
      </w:r>
      <w:r w:rsidRPr="00F43669">
        <w:rPr>
          <w:lang w:val="fr-FR"/>
        </w:rPr>
        <w:t>organiser des manifestations (ECE/TRANS/SC.1/408, par.</w:t>
      </w:r>
      <w:r w:rsidR="00045BE9">
        <w:rPr>
          <w:lang w:val="fr-FR"/>
        </w:rPr>
        <w:t> </w:t>
      </w:r>
      <w:r w:rsidRPr="00F43669">
        <w:rPr>
          <w:lang w:val="fr-FR"/>
        </w:rPr>
        <w:t>49) sur le thème des infrastructures numériques/intelligentes pour mieux s</w:t>
      </w:r>
      <w:r>
        <w:rPr>
          <w:lang w:val="fr-FR"/>
        </w:rPr>
        <w:t>’</w:t>
      </w:r>
      <w:r w:rsidRPr="00F43669">
        <w:rPr>
          <w:lang w:val="fr-FR"/>
        </w:rPr>
        <w:t>informer des questions nouvelles et réfléchirait à la façon d</w:t>
      </w:r>
      <w:r>
        <w:rPr>
          <w:lang w:val="fr-FR"/>
        </w:rPr>
        <w:t>’</w:t>
      </w:r>
      <w:r w:rsidRPr="00F43669">
        <w:rPr>
          <w:lang w:val="fr-FR"/>
        </w:rPr>
        <w:t>intégrer ces évolutions dans son programme de travail.</w:t>
      </w:r>
      <w:r w:rsidR="00045BE9">
        <w:rPr>
          <w:lang w:val="fr-FR"/>
        </w:rPr>
        <w:t xml:space="preserve"> </w:t>
      </w:r>
      <w:r w:rsidRPr="00F43669">
        <w:rPr>
          <w:lang w:val="fr-FR"/>
        </w:rPr>
        <w:t>Dans cette perspective, le secrétariat a organisé, du 4 au 6</w:t>
      </w:r>
      <w:r w:rsidR="00045BE9">
        <w:rPr>
          <w:lang w:val="fr-FR"/>
        </w:rPr>
        <w:t> </w:t>
      </w:r>
      <w:r w:rsidRPr="00F43669">
        <w:rPr>
          <w:lang w:val="fr-FR"/>
        </w:rPr>
        <w:t xml:space="preserve">avril 2018, une session extraordinaire du SC.1 avec </w:t>
      </w:r>
      <w:r w:rsidR="00045BE9">
        <w:rPr>
          <w:lang w:val="fr-FR"/>
        </w:rPr>
        <w:t>le deuxième jour (5 </w:t>
      </w:r>
      <w:r w:rsidRPr="00F43669">
        <w:rPr>
          <w:lang w:val="fr-FR"/>
        </w:rPr>
        <w:t xml:space="preserve">avril 2018) un atelier sur les infrastructures numériques/intelligentes. </w:t>
      </w:r>
    </w:p>
    <w:bookmarkEnd w:id="2"/>
    <w:p w:rsidR="00F43669" w:rsidRPr="00F43669" w:rsidRDefault="00F43669" w:rsidP="00F43669">
      <w:pPr>
        <w:pStyle w:val="SingleTxtG"/>
      </w:pPr>
      <w:r w:rsidRPr="00F43669">
        <w:rPr>
          <w:lang w:val="fr-FR"/>
        </w:rPr>
        <w:t>10.</w:t>
      </w:r>
      <w:r w:rsidRPr="00F43669">
        <w:rPr>
          <w:lang w:val="fr-FR"/>
        </w:rPr>
        <w:tab/>
        <w:t>Il est rendu compte des résultats de cette</w:t>
      </w:r>
      <w:r w:rsidR="00045BE9">
        <w:rPr>
          <w:lang w:val="fr-FR"/>
        </w:rPr>
        <w:t xml:space="preserve"> </w:t>
      </w:r>
      <w:r w:rsidRPr="00F43669">
        <w:rPr>
          <w:lang w:val="fr-FR"/>
        </w:rPr>
        <w:t>session extraordinaire dans le rapport (ECE/TRANS/SC.1/S/398), y compris pour ce qui concerne l</w:t>
      </w:r>
      <w:r>
        <w:rPr>
          <w:lang w:val="fr-FR"/>
        </w:rPr>
        <w:t>’</w:t>
      </w:r>
      <w:r w:rsidRPr="00F43669">
        <w:rPr>
          <w:lang w:val="fr-FR"/>
        </w:rPr>
        <w:t>inscription de ce thème à l</w:t>
      </w:r>
      <w:r>
        <w:rPr>
          <w:lang w:val="fr-FR"/>
        </w:rPr>
        <w:t>’</w:t>
      </w:r>
      <w:r w:rsidR="00045BE9">
        <w:rPr>
          <w:lang w:val="fr-FR"/>
        </w:rPr>
        <w:t>ordre du jour du SC.</w:t>
      </w:r>
      <w:r w:rsidRPr="00F43669">
        <w:rPr>
          <w:lang w:val="fr-FR"/>
        </w:rPr>
        <w:t>1 dans un but d</w:t>
      </w:r>
      <w:r>
        <w:rPr>
          <w:lang w:val="fr-FR"/>
        </w:rPr>
        <w:t>’</w:t>
      </w:r>
      <w:r w:rsidRPr="00F43669">
        <w:rPr>
          <w:lang w:val="fr-FR"/>
        </w:rPr>
        <w:t>information et de sensibilisation étant donné son importance pou</w:t>
      </w:r>
      <w:r w:rsidR="00045BE9">
        <w:rPr>
          <w:lang w:val="fr-FR"/>
        </w:rPr>
        <w:t>r les transports routiers (par. </w:t>
      </w:r>
      <w:r w:rsidRPr="00F43669">
        <w:rPr>
          <w:lang w:val="fr-FR"/>
        </w:rPr>
        <w:t>29). Le secrétariat a établi une compilation d</w:t>
      </w:r>
      <w:r>
        <w:rPr>
          <w:lang w:val="fr-FR"/>
        </w:rPr>
        <w:t>’</w:t>
      </w:r>
      <w:r w:rsidRPr="00F43669">
        <w:rPr>
          <w:lang w:val="fr-FR"/>
        </w:rPr>
        <w:t>études de cas ou d</w:t>
      </w:r>
      <w:r>
        <w:rPr>
          <w:lang w:val="fr-FR"/>
        </w:rPr>
        <w:t>’</w:t>
      </w:r>
      <w:r w:rsidRPr="00F43669">
        <w:rPr>
          <w:lang w:val="fr-FR"/>
        </w:rPr>
        <w:t>extraits de descriptifs de projets en s</w:t>
      </w:r>
      <w:r>
        <w:rPr>
          <w:lang w:val="fr-FR"/>
        </w:rPr>
        <w:t>’</w:t>
      </w:r>
      <w:r w:rsidRPr="00F43669">
        <w:rPr>
          <w:lang w:val="fr-FR"/>
        </w:rPr>
        <w:t>appuyant sur les contributions volontaires des orateurs de l</w:t>
      </w:r>
      <w:r>
        <w:rPr>
          <w:lang w:val="fr-FR"/>
        </w:rPr>
        <w:t>’</w:t>
      </w:r>
      <w:r w:rsidRPr="00F43669">
        <w:rPr>
          <w:lang w:val="fr-FR"/>
        </w:rPr>
        <w:t>atelier qui s</w:t>
      </w:r>
      <w:r>
        <w:rPr>
          <w:lang w:val="fr-FR"/>
        </w:rPr>
        <w:t>’</w:t>
      </w:r>
      <w:r w:rsidRPr="00F43669">
        <w:rPr>
          <w:lang w:val="fr-FR"/>
        </w:rPr>
        <w:t>est tenu dans le cadre de la session extra</w:t>
      </w:r>
      <w:r w:rsidR="00045BE9">
        <w:rPr>
          <w:lang w:val="fr-FR"/>
        </w:rPr>
        <w:t xml:space="preserve">ordinaire (document informel </w:t>
      </w:r>
      <w:r w:rsidR="00045BE9" w:rsidRPr="00045BE9">
        <w:rPr>
          <w:rFonts w:eastAsia="MS Mincho"/>
          <w:szCs w:val="22"/>
          <w:lang w:val="fr-FR"/>
        </w:rPr>
        <w:t>n</w:t>
      </w:r>
      <w:r w:rsidR="00045BE9" w:rsidRPr="00045BE9">
        <w:rPr>
          <w:rFonts w:eastAsia="MS Mincho"/>
          <w:szCs w:val="22"/>
          <w:vertAlign w:val="superscript"/>
          <w:lang w:val="fr-FR"/>
        </w:rPr>
        <w:t>o</w:t>
      </w:r>
      <w:r w:rsidR="00045BE9">
        <w:rPr>
          <w:lang w:val="fr-FR"/>
        </w:rPr>
        <w:t> </w:t>
      </w:r>
      <w:r w:rsidRPr="00F43669">
        <w:rPr>
          <w:lang w:val="fr-FR"/>
        </w:rPr>
        <w:t>7).</w:t>
      </w:r>
    </w:p>
    <w:p w:rsidR="00F43669" w:rsidRPr="00F43669" w:rsidRDefault="00F43669" w:rsidP="00F43669">
      <w:pPr>
        <w:pStyle w:val="SingleTxtG"/>
      </w:pPr>
      <w:r w:rsidRPr="00F43669">
        <w:rPr>
          <w:lang w:val="fr-FR"/>
        </w:rPr>
        <w:t>11.</w:t>
      </w:r>
      <w:r w:rsidRPr="00F43669">
        <w:rPr>
          <w:lang w:val="fr-FR"/>
        </w:rPr>
        <w:tab/>
        <w:t>Pour cette session, le représentant de la Roumanie et le fondateur d</w:t>
      </w:r>
      <w:r>
        <w:rPr>
          <w:lang w:val="fr-FR"/>
        </w:rPr>
        <w:t>’</w:t>
      </w:r>
      <w:proofErr w:type="spellStart"/>
      <w:r w:rsidRPr="00F43669">
        <w:rPr>
          <w:lang w:val="fr-FR"/>
        </w:rPr>
        <w:t>Emerging</w:t>
      </w:r>
      <w:proofErr w:type="spellEnd"/>
      <w:r w:rsidRPr="00F43669">
        <w:rPr>
          <w:lang w:val="fr-FR"/>
        </w:rPr>
        <w:t xml:space="preserve"> Transport </w:t>
      </w:r>
      <w:proofErr w:type="spellStart"/>
      <w:r w:rsidRPr="00F43669">
        <w:rPr>
          <w:lang w:val="fr-FR"/>
        </w:rPr>
        <w:t>Advisors</w:t>
      </w:r>
      <w:proofErr w:type="spellEnd"/>
      <w:r w:rsidRPr="00F43669">
        <w:rPr>
          <w:lang w:val="fr-FR"/>
        </w:rPr>
        <w:t xml:space="preserve"> ont fait des exposés. Le représentant de la Roumanie a donné des informations sur le système intelligent d</w:t>
      </w:r>
      <w:r>
        <w:rPr>
          <w:lang w:val="fr-FR"/>
        </w:rPr>
        <w:t>’</w:t>
      </w:r>
      <w:r w:rsidRPr="00F43669">
        <w:rPr>
          <w:lang w:val="fr-FR"/>
        </w:rPr>
        <w:t>alerte précoce aux risques du transport routier qui avait récemment été mis en place. Le représentant d</w:t>
      </w:r>
      <w:r>
        <w:rPr>
          <w:lang w:val="fr-FR"/>
        </w:rPr>
        <w:t>’</w:t>
      </w:r>
      <w:proofErr w:type="spellStart"/>
      <w:r w:rsidRPr="00F43669">
        <w:rPr>
          <w:lang w:val="fr-FR"/>
        </w:rPr>
        <w:t>Emerging</w:t>
      </w:r>
      <w:proofErr w:type="spellEnd"/>
      <w:r w:rsidRPr="00F43669">
        <w:rPr>
          <w:lang w:val="fr-FR"/>
        </w:rPr>
        <w:t xml:space="preserve"> Transport </w:t>
      </w:r>
      <w:proofErr w:type="spellStart"/>
      <w:r w:rsidRPr="00F43669">
        <w:rPr>
          <w:lang w:val="fr-FR"/>
        </w:rPr>
        <w:t>Advisors</w:t>
      </w:r>
      <w:proofErr w:type="spellEnd"/>
      <w:r w:rsidRPr="00F43669">
        <w:rPr>
          <w:lang w:val="fr-FR"/>
        </w:rPr>
        <w:t xml:space="preserve"> a donné des informations sur les nouvelles tendances en matière de</w:t>
      </w:r>
      <w:r w:rsidR="00045BE9">
        <w:rPr>
          <w:lang w:val="fr-FR"/>
        </w:rPr>
        <w:t xml:space="preserve"> </w:t>
      </w:r>
      <w:r w:rsidRPr="00F43669">
        <w:rPr>
          <w:lang w:val="fr-FR"/>
        </w:rPr>
        <w:t>véhicules automatisés et de</w:t>
      </w:r>
      <w:r w:rsidR="00045BE9">
        <w:rPr>
          <w:lang w:val="fr-FR"/>
        </w:rPr>
        <w:t xml:space="preserve"> </w:t>
      </w:r>
      <w:r w:rsidRPr="00F43669">
        <w:rPr>
          <w:lang w:val="fr-FR"/>
        </w:rPr>
        <w:t>covoiturage. Les deux exposés ont été bien accueillis et appréciés. En réponse aux questions posées par le SC.1, le représentant d</w:t>
      </w:r>
      <w:r>
        <w:rPr>
          <w:lang w:val="fr-FR"/>
        </w:rPr>
        <w:t>’</w:t>
      </w:r>
      <w:proofErr w:type="spellStart"/>
      <w:r w:rsidRPr="00F43669">
        <w:rPr>
          <w:lang w:val="fr-FR"/>
        </w:rPr>
        <w:t>Emerging</w:t>
      </w:r>
      <w:proofErr w:type="spellEnd"/>
      <w:r w:rsidRPr="00F43669">
        <w:rPr>
          <w:lang w:val="fr-FR"/>
        </w:rPr>
        <w:t xml:space="preserve"> Transport </w:t>
      </w:r>
      <w:proofErr w:type="spellStart"/>
      <w:r w:rsidRPr="00F43669">
        <w:rPr>
          <w:lang w:val="fr-FR"/>
        </w:rPr>
        <w:t>Advisors</w:t>
      </w:r>
      <w:proofErr w:type="spellEnd"/>
      <w:r w:rsidRPr="00F43669">
        <w:rPr>
          <w:lang w:val="fr-FR"/>
        </w:rPr>
        <w:t xml:space="preserve"> a recommandé que les gestionnaires des infrastructures routières intègrent l</w:t>
      </w:r>
      <w:r>
        <w:rPr>
          <w:lang w:val="fr-FR"/>
        </w:rPr>
        <w:t>’</w:t>
      </w:r>
      <w:r w:rsidRPr="00F43669">
        <w:rPr>
          <w:lang w:val="fr-FR"/>
        </w:rPr>
        <w:t>interopérabilité dans les investissements dans les infrastructures nationales et envisagent d</w:t>
      </w:r>
      <w:r>
        <w:rPr>
          <w:lang w:val="fr-FR"/>
        </w:rPr>
        <w:t>’</w:t>
      </w:r>
      <w:r w:rsidRPr="00F43669">
        <w:rPr>
          <w:lang w:val="fr-FR"/>
        </w:rPr>
        <w:t>élaborer des normes pour que les systèmes soient interopérables.</w:t>
      </w:r>
    </w:p>
    <w:p w:rsidR="00F43669" w:rsidRPr="00F43669" w:rsidRDefault="00F43669" w:rsidP="00F43669">
      <w:pPr>
        <w:pStyle w:val="SingleTxtG"/>
      </w:pPr>
      <w:r w:rsidRPr="00F43669">
        <w:rPr>
          <w:lang w:val="fr-FR"/>
        </w:rPr>
        <w:t>12.</w:t>
      </w:r>
      <w:r w:rsidRPr="00F43669">
        <w:rPr>
          <w:lang w:val="fr-FR"/>
        </w:rPr>
        <w:tab/>
        <w:t>Le secrétariat a encouragé les membres du SC.1 à proposer des sujets présentant un intérêt au titre de ce point et à se porter volontaires pour faire des exposés à la prochaine session.</w:t>
      </w:r>
    </w:p>
    <w:p w:rsidR="00F43669" w:rsidRPr="00F43669" w:rsidRDefault="00045BE9" w:rsidP="00045BE9">
      <w:pPr>
        <w:pStyle w:val="HChG"/>
      </w:pPr>
      <w:r>
        <w:rPr>
          <w:lang w:val="fr-FR"/>
        </w:rPr>
        <w:tab/>
      </w:r>
      <w:r w:rsidR="00F43669" w:rsidRPr="00F43669">
        <w:rPr>
          <w:lang w:val="fr-FR"/>
        </w:rPr>
        <w:t>IV.</w:t>
      </w:r>
      <w:r w:rsidR="00F43669" w:rsidRPr="00F43669">
        <w:rPr>
          <w:lang w:val="fr-FR"/>
        </w:rPr>
        <w:tab/>
        <w:t xml:space="preserve">Accord européen relatif au travail des équipages des </w:t>
      </w:r>
      <w:r>
        <w:rPr>
          <w:lang w:val="fr-FR"/>
        </w:rPr>
        <w:br/>
      </w:r>
      <w:r w:rsidR="00F43669" w:rsidRPr="00F43669">
        <w:rPr>
          <w:lang w:val="fr-FR"/>
        </w:rPr>
        <w:t xml:space="preserve">véhicules effectuant des transports internationaux </w:t>
      </w:r>
      <w:r>
        <w:rPr>
          <w:lang w:val="fr-FR"/>
        </w:rPr>
        <w:br/>
      </w:r>
      <w:r w:rsidR="00F43669" w:rsidRPr="00F43669">
        <w:rPr>
          <w:lang w:val="fr-FR"/>
        </w:rPr>
        <w:t>par route (AETR)</w:t>
      </w:r>
    </w:p>
    <w:p w:rsidR="00F43669" w:rsidRPr="00F43669" w:rsidRDefault="00045BE9" w:rsidP="00045BE9">
      <w:pPr>
        <w:pStyle w:val="H1G"/>
      </w:pPr>
      <w:r>
        <w:rPr>
          <w:lang w:val="fr-FR"/>
        </w:rPr>
        <w:tab/>
      </w:r>
      <w:r w:rsidR="00F43669" w:rsidRPr="00F43669">
        <w:rPr>
          <w:lang w:val="fr-FR"/>
        </w:rPr>
        <w:t>A.</w:t>
      </w:r>
      <w:r w:rsidR="00F43669" w:rsidRPr="00F43669">
        <w:rPr>
          <w:lang w:val="fr-FR"/>
        </w:rPr>
        <w:tab/>
        <w:t>État de l</w:t>
      </w:r>
      <w:r w:rsidR="00F43669">
        <w:rPr>
          <w:lang w:val="fr-FR"/>
        </w:rPr>
        <w:t>’</w:t>
      </w:r>
      <w:r w:rsidR="00F43669" w:rsidRPr="00F43669">
        <w:rPr>
          <w:lang w:val="fr-FR"/>
        </w:rPr>
        <w:t>Accord</w:t>
      </w:r>
    </w:p>
    <w:p w:rsidR="00F43669" w:rsidRPr="00F43669" w:rsidRDefault="00F43669" w:rsidP="00F43669">
      <w:pPr>
        <w:pStyle w:val="SingleTxtG"/>
      </w:pPr>
      <w:r w:rsidRPr="00F43669">
        <w:rPr>
          <w:lang w:val="fr-FR"/>
        </w:rPr>
        <w:t>13.</w:t>
      </w:r>
      <w:r w:rsidRPr="00F43669">
        <w:rPr>
          <w:lang w:val="fr-FR"/>
        </w:rPr>
        <w:tab/>
        <w:t>Le secrétariat a informé le SC.1 que les Parties contractantes à l</w:t>
      </w:r>
      <w:r>
        <w:rPr>
          <w:lang w:val="fr-FR"/>
        </w:rPr>
        <w:t>’</w:t>
      </w:r>
      <w:r w:rsidRPr="00F43669">
        <w:rPr>
          <w:lang w:val="fr-FR"/>
        </w:rPr>
        <w:t>AETR étaient toujours au nombre de 51.</w:t>
      </w:r>
    </w:p>
    <w:p w:rsidR="00F43669" w:rsidRPr="00F43669" w:rsidRDefault="00F43669" w:rsidP="00F43669">
      <w:pPr>
        <w:pStyle w:val="SingleTxtG"/>
      </w:pPr>
      <w:r w:rsidRPr="00F43669">
        <w:rPr>
          <w:lang w:val="fr-FR"/>
        </w:rPr>
        <w:t>14.</w:t>
      </w:r>
      <w:r w:rsidRPr="00F43669">
        <w:rPr>
          <w:lang w:val="fr-FR"/>
        </w:rPr>
        <w:tab/>
        <w:t>Le secrétariat a également informé le SC.1 que la Turquie avait fait savoir au Groupe d</w:t>
      </w:r>
      <w:r>
        <w:rPr>
          <w:lang w:val="fr-FR"/>
        </w:rPr>
        <w:t>’</w:t>
      </w:r>
      <w:r w:rsidRPr="00F43669">
        <w:rPr>
          <w:lang w:val="fr-FR"/>
        </w:rPr>
        <w:t>experts qu</w:t>
      </w:r>
      <w:r>
        <w:rPr>
          <w:lang w:val="fr-FR"/>
        </w:rPr>
        <w:t>’</w:t>
      </w:r>
      <w:r w:rsidRPr="00F43669">
        <w:rPr>
          <w:lang w:val="fr-FR"/>
        </w:rPr>
        <w:t>elle avait pris les mesures nécessaires pour soumettre au Bureau des affaires juridiques de l</w:t>
      </w:r>
      <w:r>
        <w:rPr>
          <w:lang w:val="fr-FR"/>
        </w:rPr>
        <w:t>’</w:t>
      </w:r>
      <w:r w:rsidRPr="00F43669">
        <w:rPr>
          <w:lang w:val="fr-FR"/>
        </w:rPr>
        <w:t>ONU une proposition d</w:t>
      </w:r>
      <w:r>
        <w:rPr>
          <w:lang w:val="fr-FR"/>
        </w:rPr>
        <w:t>’</w:t>
      </w:r>
      <w:r w:rsidRPr="00F43669">
        <w:rPr>
          <w:lang w:val="fr-FR"/>
        </w:rPr>
        <w:t>amendement visant à modifier l</w:t>
      </w:r>
      <w:r>
        <w:rPr>
          <w:lang w:val="fr-FR"/>
        </w:rPr>
        <w:t>’</w:t>
      </w:r>
      <w:r w:rsidRPr="00F43669">
        <w:rPr>
          <w:lang w:val="fr-FR"/>
        </w:rPr>
        <w:t>article 14 pour que le Liban puisse adhérer à l</w:t>
      </w:r>
      <w:r>
        <w:rPr>
          <w:lang w:val="fr-FR"/>
        </w:rPr>
        <w:t>’</w:t>
      </w:r>
      <w:r w:rsidRPr="00F43669">
        <w:rPr>
          <w:lang w:val="fr-FR"/>
        </w:rPr>
        <w:t>AETR.</w:t>
      </w:r>
    </w:p>
    <w:p w:rsidR="00F43669" w:rsidRPr="00F43669" w:rsidRDefault="00F43669" w:rsidP="00F43669">
      <w:pPr>
        <w:pStyle w:val="SingleTxtG"/>
      </w:pPr>
      <w:r w:rsidRPr="00F43669">
        <w:rPr>
          <w:lang w:val="fr-FR"/>
        </w:rPr>
        <w:t>15.</w:t>
      </w:r>
      <w:r w:rsidRPr="00F43669">
        <w:rPr>
          <w:lang w:val="fr-FR"/>
        </w:rPr>
        <w:tab/>
        <w:t>Le représentant du projet euro-méditerranéen de soutien aux transports a informé le</w:t>
      </w:r>
      <w:r w:rsidR="00045BE9">
        <w:rPr>
          <w:lang w:val="fr-FR"/>
        </w:rPr>
        <w:t xml:space="preserve"> SC.</w:t>
      </w:r>
      <w:r w:rsidRPr="00F43669">
        <w:rPr>
          <w:lang w:val="fr-FR"/>
        </w:rPr>
        <w:t>1 que l</w:t>
      </w:r>
      <w:r>
        <w:rPr>
          <w:lang w:val="fr-FR"/>
        </w:rPr>
        <w:t>’</w:t>
      </w:r>
      <w:r w:rsidRPr="00F43669">
        <w:rPr>
          <w:lang w:val="fr-FR"/>
        </w:rPr>
        <w:t>Algérie, l</w:t>
      </w:r>
      <w:r>
        <w:rPr>
          <w:lang w:val="fr-FR"/>
        </w:rPr>
        <w:t>’</w:t>
      </w:r>
      <w:r w:rsidRPr="00F43669">
        <w:rPr>
          <w:lang w:val="fr-FR"/>
        </w:rPr>
        <w:t>Égypte, Israël, la Jordanie, le Liban, le Maroc et la Tunisie avaient pris les mesures nécessaires pour adhérer à l</w:t>
      </w:r>
      <w:r>
        <w:rPr>
          <w:lang w:val="fr-FR"/>
        </w:rPr>
        <w:t>’</w:t>
      </w:r>
      <w:r w:rsidRPr="00F43669">
        <w:rPr>
          <w:lang w:val="fr-FR"/>
        </w:rPr>
        <w:t>AETR dans un avenir proche. Il a également indiqué que l</w:t>
      </w:r>
      <w:r>
        <w:rPr>
          <w:lang w:val="fr-FR"/>
        </w:rPr>
        <w:t>’</w:t>
      </w:r>
      <w:r w:rsidRPr="00F43669">
        <w:rPr>
          <w:lang w:val="fr-FR"/>
        </w:rPr>
        <w:t>Égypte manifesterait probablement sa volonté de demander une modification de l</w:t>
      </w:r>
      <w:r>
        <w:rPr>
          <w:lang w:val="fr-FR"/>
        </w:rPr>
        <w:t>’</w:t>
      </w:r>
      <w:r w:rsidRPr="00F43669">
        <w:rPr>
          <w:lang w:val="fr-FR"/>
        </w:rPr>
        <w:t>article 14 pour lui permettre d</w:t>
      </w:r>
      <w:r>
        <w:rPr>
          <w:lang w:val="fr-FR"/>
        </w:rPr>
        <w:t>’</w:t>
      </w:r>
      <w:r w:rsidRPr="00F43669">
        <w:rPr>
          <w:lang w:val="fr-FR"/>
        </w:rPr>
        <w:t>adhérer à l</w:t>
      </w:r>
      <w:r>
        <w:rPr>
          <w:lang w:val="fr-FR"/>
        </w:rPr>
        <w:t>’</w:t>
      </w:r>
      <w:r w:rsidRPr="00F43669">
        <w:rPr>
          <w:lang w:val="fr-FR"/>
        </w:rPr>
        <w:t xml:space="preserve">AETR. </w:t>
      </w:r>
    </w:p>
    <w:p w:rsidR="00F43669" w:rsidRPr="00F43669" w:rsidRDefault="00045BE9" w:rsidP="00045BE9">
      <w:pPr>
        <w:pStyle w:val="H1G"/>
      </w:pPr>
      <w:r>
        <w:rPr>
          <w:lang w:val="fr-FR"/>
        </w:rPr>
        <w:tab/>
        <w:t>B.</w:t>
      </w:r>
      <w:r>
        <w:rPr>
          <w:lang w:val="fr-FR"/>
        </w:rPr>
        <w:tab/>
      </w:r>
      <w:r w:rsidR="00F43669" w:rsidRPr="00F43669">
        <w:rPr>
          <w:lang w:val="fr-FR"/>
        </w:rPr>
        <w:t>Groupe d</w:t>
      </w:r>
      <w:r w:rsidR="00F43669">
        <w:rPr>
          <w:lang w:val="fr-FR"/>
        </w:rPr>
        <w:t>’</w:t>
      </w:r>
      <w:r w:rsidR="00F43669" w:rsidRPr="00F43669">
        <w:rPr>
          <w:lang w:val="fr-FR"/>
        </w:rPr>
        <w:t>experts de l</w:t>
      </w:r>
      <w:r w:rsidR="00F43669">
        <w:rPr>
          <w:lang w:val="fr-FR"/>
        </w:rPr>
        <w:t>’</w:t>
      </w:r>
      <w:r w:rsidR="00F43669" w:rsidRPr="00F43669">
        <w:rPr>
          <w:lang w:val="fr-FR"/>
        </w:rPr>
        <w:t>AETR</w:t>
      </w:r>
    </w:p>
    <w:p w:rsidR="00F43669" w:rsidRPr="00F43669" w:rsidRDefault="00F43669" w:rsidP="00F43669">
      <w:pPr>
        <w:pStyle w:val="SingleTxtG"/>
      </w:pPr>
      <w:r w:rsidRPr="00F43669">
        <w:rPr>
          <w:lang w:val="fr-FR"/>
        </w:rPr>
        <w:t>16.</w:t>
      </w:r>
      <w:r w:rsidRPr="00F43669">
        <w:rPr>
          <w:lang w:val="fr-FR"/>
        </w:rPr>
        <w:tab/>
        <w:t>Le Président du Groupe d</w:t>
      </w:r>
      <w:r>
        <w:rPr>
          <w:lang w:val="fr-FR"/>
        </w:rPr>
        <w:t>’</w:t>
      </w:r>
      <w:r w:rsidRPr="00F43669">
        <w:rPr>
          <w:lang w:val="fr-FR"/>
        </w:rPr>
        <w:t>experts de l</w:t>
      </w:r>
      <w:r>
        <w:rPr>
          <w:lang w:val="fr-FR"/>
        </w:rPr>
        <w:t>’</w:t>
      </w:r>
      <w:r w:rsidRPr="00F43669">
        <w:rPr>
          <w:lang w:val="fr-FR"/>
        </w:rPr>
        <w:t>AETR a fait le point sur les travaux menés par son groupe depuis la dernière session du SC.1 (des informations détaillées sont fournies dans les documents ECE/TRANS/SC.1/GE.21/41 et ECE/TRANS/SC.1/GE.21/43).</w:t>
      </w:r>
    </w:p>
    <w:p w:rsidR="00F43669" w:rsidRPr="00F43669" w:rsidRDefault="00F43669" w:rsidP="00045BE9">
      <w:pPr>
        <w:pStyle w:val="SingleTxtG"/>
      </w:pPr>
      <w:r w:rsidRPr="00F43669">
        <w:rPr>
          <w:lang w:val="fr-FR"/>
        </w:rPr>
        <w:lastRenderedPageBreak/>
        <w:t>17.</w:t>
      </w:r>
      <w:r w:rsidRPr="00F43669">
        <w:rPr>
          <w:lang w:val="fr-FR"/>
        </w:rPr>
        <w:tab/>
        <w:t>À la dernière session, le secrétariat a appelé l</w:t>
      </w:r>
      <w:r>
        <w:rPr>
          <w:lang w:val="fr-FR"/>
        </w:rPr>
        <w:t>’</w:t>
      </w:r>
      <w:r w:rsidRPr="00F43669">
        <w:rPr>
          <w:lang w:val="fr-FR"/>
        </w:rPr>
        <w:t>attention du SC.1 sur le fait qu</w:t>
      </w:r>
      <w:r>
        <w:rPr>
          <w:lang w:val="fr-FR"/>
        </w:rPr>
        <w:t>’</w:t>
      </w:r>
      <w:r w:rsidRPr="00F43669">
        <w:rPr>
          <w:lang w:val="fr-FR"/>
        </w:rPr>
        <w:t>il pouvait être souhaitable d</w:t>
      </w:r>
      <w:r>
        <w:rPr>
          <w:lang w:val="fr-FR"/>
        </w:rPr>
        <w:t>’</w:t>
      </w:r>
      <w:r w:rsidRPr="00F43669">
        <w:rPr>
          <w:lang w:val="fr-FR"/>
        </w:rPr>
        <w:t>envisager la suppression de l</w:t>
      </w:r>
      <w:r>
        <w:rPr>
          <w:lang w:val="fr-FR"/>
        </w:rPr>
        <w:t>’</w:t>
      </w:r>
      <w:r w:rsidRPr="00F43669">
        <w:rPr>
          <w:lang w:val="fr-FR"/>
        </w:rPr>
        <w:t>adjectif «</w:t>
      </w:r>
      <w:r w:rsidR="00045BE9">
        <w:rPr>
          <w:lang w:val="fr-FR"/>
        </w:rPr>
        <w:t> </w:t>
      </w:r>
      <w:r w:rsidRPr="00F43669">
        <w:rPr>
          <w:lang w:val="fr-FR"/>
        </w:rPr>
        <w:t>européen</w:t>
      </w:r>
      <w:r w:rsidR="00045BE9">
        <w:rPr>
          <w:lang w:val="fr-FR"/>
        </w:rPr>
        <w:t> </w:t>
      </w:r>
      <w:r w:rsidRPr="00F43669">
        <w:rPr>
          <w:lang w:val="fr-FR"/>
        </w:rPr>
        <w:t>» du titre de l</w:t>
      </w:r>
      <w:r>
        <w:rPr>
          <w:lang w:val="fr-FR"/>
        </w:rPr>
        <w:t>’</w:t>
      </w:r>
      <w:r w:rsidRPr="00F43669">
        <w:rPr>
          <w:lang w:val="fr-FR"/>
        </w:rPr>
        <w:t>AETR (ECE/TRANS/SC.1/GE.21/37, par.</w:t>
      </w:r>
      <w:r w:rsidR="00045BE9">
        <w:rPr>
          <w:lang w:val="fr-FR"/>
        </w:rPr>
        <w:t> </w:t>
      </w:r>
      <w:r w:rsidRPr="00F43669">
        <w:rPr>
          <w:lang w:val="fr-FR"/>
        </w:rPr>
        <w:t>14). Le Président a demandé à nouveau aux membres du SC.1 de consulter leurs capitales respectives et de faire connaître leurs vues à la prochaine session.</w:t>
      </w:r>
    </w:p>
    <w:p w:rsidR="00F43669" w:rsidRPr="00F43669" w:rsidRDefault="00F43669" w:rsidP="00F43669">
      <w:pPr>
        <w:pStyle w:val="SingleTxtG"/>
      </w:pPr>
      <w:r w:rsidRPr="00F43669">
        <w:rPr>
          <w:lang w:val="fr-FR"/>
        </w:rPr>
        <w:t>18.</w:t>
      </w:r>
      <w:r w:rsidRPr="00F43669">
        <w:rPr>
          <w:lang w:val="fr-FR"/>
        </w:rPr>
        <w:tab/>
        <w:t>Le Gouvernement turc a présenté</w:t>
      </w:r>
      <w:r w:rsidR="00045BE9">
        <w:rPr>
          <w:lang w:val="fr-FR"/>
        </w:rPr>
        <w:t xml:space="preserve"> </w:t>
      </w:r>
      <w:r w:rsidRPr="00F43669">
        <w:rPr>
          <w:lang w:val="fr-FR"/>
        </w:rPr>
        <w:t>un exposé sur l</w:t>
      </w:r>
      <w:r>
        <w:rPr>
          <w:lang w:val="fr-FR"/>
        </w:rPr>
        <w:t>’</w:t>
      </w:r>
      <w:r w:rsidRPr="00F43669">
        <w:rPr>
          <w:lang w:val="fr-FR"/>
        </w:rPr>
        <w:t>état d</w:t>
      </w:r>
      <w:r>
        <w:rPr>
          <w:lang w:val="fr-FR"/>
        </w:rPr>
        <w:t>’</w:t>
      </w:r>
      <w:r w:rsidRPr="00F43669">
        <w:rPr>
          <w:lang w:val="fr-FR"/>
        </w:rPr>
        <w:t>avancement de son projet de création d</w:t>
      </w:r>
      <w:r>
        <w:rPr>
          <w:lang w:val="fr-FR"/>
        </w:rPr>
        <w:t>’</w:t>
      </w:r>
      <w:r w:rsidRPr="00F43669">
        <w:rPr>
          <w:lang w:val="fr-FR"/>
        </w:rPr>
        <w:t>un centre national de contrôle des données relatives aux temps de conduite et de repos, notamment sur la création de la base de données à la fin du premier semestre de</w:t>
      </w:r>
      <w:r w:rsidR="00045BE9">
        <w:rPr>
          <w:lang w:val="fr-FR"/>
        </w:rPr>
        <w:t> </w:t>
      </w:r>
      <w:r w:rsidRPr="00F43669">
        <w:rPr>
          <w:lang w:val="fr-FR"/>
        </w:rPr>
        <w:t>2018 (ECE/TRANS/SC.1/408, par.</w:t>
      </w:r>
      <w:r w:rsidR="00045BE9">
        <w:rPr>
          <w:lang w:val="fr-FR"/>
        </w:rPr>
        <w:t> </w:t>
      </w:r>
      <w:r w:rsidRPr="00F43669">
        <w:rPr>
          <w:lang w:val="fr-FR"/>
        </w:rPr>
        <w:t>23). Le SC.1 a demandé qu</w:t>
      </w:r>
      <w:r>
        <w:rPr>
          <w:lang w:val="fr-FR"/>
        </w:rPr>
        <w:t>’</w:t>
      </w:r>
      <w:r w:rsidRPr="00F43669">
        <w:rPr>
          <w:lang w:val="fr-FR"/>
        </w:rPr>
        <w:t>un point soit fait à ses futures sessions.</w:t>
      </w:r>
    </w:p>
    <w:p w:rsidR="00F43669" w:rsidRPr="00F43669" w:rsidRDefault="00F43669" w:rsidP="00F43669">
      <w:pPr>
        <w:pStyle w:val="SingleTxtG"/>
      </w:pPr>
      <w:r w:rsidRPr="00F43669">
        <w:rPr>
          <w:lang w:val="fr-FR"/>
        </w:rPr>
        <w:t>19.</w:t>
      </w:r>
      <w:r w:rsidRPr="00F43669">
        <w:rPr>
          <w:lang w:val="fr-FR"/>
        </w:rPr>
        <w:tab/>
        <w:t>En ce qui concerne le mémorandum d</w:t>
      </w:r>
      <w:r>
        <w:rPr>
          <w:lang w:val="fr-FR"/>
        </w:rPr>
        <w:t>’</w:t>
      </w:r>
      <w:r w:rsidRPr="00F43669">
        <w:rPr>
          <w:lang w:val="fr-FR"/>
        </w:rPr>
        <w:t>accord conclu avec le Centre commun de recherche (CCR), qui confère au CCR la responsabilité de la certification racine de l</w:t>
      </w:r>
      <w:r>
        <w:rPr>
          <w:lang w:val="fr-FR"/>
        </w:rPr>
        <w:t>’</w:t>
      </w:r>
      <w:r w:rsidRPr="00F43669">
        <w:rPr>
          <w:lang w:val="fr-FR"/>
        </w:rPr>
        <w:t>AETR et de la certification d</w:t>
      </w:r>
      <w:r>
        <w:rPr>
          <w:lang w:val="fr-FR"/>
        </w:rPr>
        <w:t>’</w:t>
      </w:r>
      <w:r w:rsidRPr="00F43669">
        <w:rPr>
          <w:lang w:val="fr-FR"/>
        </w:rPr>
        <w:t>interopérabilité pour les Parties contractantes à l</w:t>
      </w:r>
      <w:r>
        <w:rPr>
          <w:lang w:val="fr-FR"/>
        </w:rPr>
        <w:t>’</w:t>
      </w:r>
      <w:r w:rsidRPr="00F43669">
        <w:rPr>
          <w:lang w:val="fr-FR"/>
        </w:rPr>
        <w:t>AETR non membres de l</w:t>
      </w:r>
      <w:r>
        <w:rPr>
          <w:lang w:val="fr-FR"/>
        </w:rPr>
        <w:t>’</w:t>
      </w:r>
      <w:r w:rsidRPr="00F43669">
        <w:rPr>
          <w:lang w:val="fr-FR"/>
        </w:rPr>
        <w:t>UE, le secrétariat a informé le SC.1 de l</w:t>
      </w:r>
      <w:r>
        <w:rPr>
          <w:lang w:val="fr-FR"/>
        </w:rPr>
        <w:t>’</w:t>
      </w:r>
      <w:r w:rsidRPr="00F43669">
        <w:rPr>
          <w:lang w:val="fr-FR"/>
        </w:rPr>
        <w:t>élaboration d</w:t>
      </w:r>
      <w:r>
        <w:rPr>
          <w:lang w:val="fr-FR"/>
        </w:rPr>
        <w:t>’</w:t>
      </w:r>
      <w:r w:rsidRPr="00F43669">
        <w:rPr>
          <w:lang w:val="fr-FR"/>
        </w:rPr>
        <w:t>une proposition de supplément visant à étendre la validité du mémorandum jusqu</w:t>
      </w:r>
      <w:r>
        <w:rPr>
          <w:lang w:val="fr-FR"/>
        </w:rPr>
        <w:t>’</w:t>
      </w:r>
      <w:r w:rsidRPr="00F43669">
        <w:rPr>
          <w:lang w:val="fr-FR"/>
        </w:rPr>
        <w:t>au 31</w:t>
      </w:r>
      <w:r w:rsidR="00CC4417">
        <w:rPr>
          <w:lang w:val="fr-FR"/>
        </w:rPr>
        <w:t> </w:t>
      </w:r>
      <w:r w:rsidRPr="00F43669">
        <w:rPr>
          <w:lang w:val="fr-FR"/>
        </w:rPr>
        <w:t>décembre 2020</w:t>
      </w:r>
      <w:r w:rsidR="00CC4417">
        <w:rPr>
          <w:lang w:val="fr-FR"/>
        </w:rPr>
        <w:t xml:space="preserve"> (document informel </w:t>
      </w:r>
      <w:r w:rsidR="00CC4417" w:rsidRPr="00CC4417">
        <w:rPr>
          <w:rFonts w:eastAsia="MS Mincho"/>
          <w:szCs w:val="22"/>
          <w:lang w:val="fr-FR"/>
        </w:rPr>
        <w:t>n</w:t>
      </w:r>
      <w:r w:rsidR="00CC4417" w:rsidRPr="00CC4417">
        <w:rPr>
          <w:rFonts w:eastAsia="MS Mincho"/>
          <w:szCs w:val="22"/>
          <w:vertAlign w:val="superscript"/>
          <w:lang w:val="fr-FR"/>
        </w:rPr>
        <w:t>o</w:t>
      </w:r>
      <w:r w:rsidR="00CC4417">
        <w:rPr>
          <w:lang w:val="fr-FR"/>
        </w:rPr>
        <w:t> 8)</w:t>
      </w:r>
      <w:r w:rsidRPr="00F43669">
        <w:rPr>
          <w:lang w:val="fr-FR"/>
        </w:rPr>
        <w:t>.</w:t>
      </w:r>
    </w:p>
    <w:p w:rsidR="00F43669" w:rsidRPr="00F43669" w:rsidRDefault="00045BE9" w:rsidP="00045BE9">
      <w:pPr>
        <w:pStyle w:val="HChG"/>
      </w:pPr>
      <w:r>
        <w:rPr>
          <w:lang w:val="fr-FR"/>
        </w:rPr>
        <w:tab/>
      </w:r>
      <w:r w:rsidR="00F43669" w:rsidRPr="00F43669">
        <w:rPr>
          <w:lang w:val="fr-FR"/>
        </w:rPr>
        <w:t>V.</w:t>
      </w:r>
      <w:r w:rsidR="00F43669" w:rsidRPr="00F43669">
        <w:rPr>
          <w:lang w:val="fr-FR"/>
        </w:rPr>
        <w:tab/>
        <w:t>Accord européen sur les grandes routes de trafic international (AGR)</w:t>
      </w:r>
    </w:p>
    <w:p w:rsidR="00F43669" w:rsidRPr="00F43669" w:rsidRDefault="00F43669" w:rsidP="00045BE9">
      <w:pPr>
        <w:pStyle w:val="H1G"/>
      </w:pPr>
      <w:r w:rsidRPr="00F43669">
        <w:rPr>
          <w:lang w:val="fr-FR"/>
        </w:rPr>
        <w:tab/>
      </w:r>
      <w:r w:rsidRPr="00F43669">
        <w:rPr>
          <w:lang w:val="fr-FR"/>
        </w:rPr>
        <w:tab/>
        <w:t>État de l</w:t>
      </w:r>
      <w:r>
        <w:rPr>
          <w:lang w:val="fr-FR"/>
        </w:rPr>
        <w:t>’</w:t>
      </w:r>
      <w:r w:rsidRPr="00F43669">
        <w:rPr>
          <w:lang w:val="fr-FR"/>
        </w:rPr>
        <w:t>Accord</w:t>
      </w:r>
    </w:p>
    <w:p w:rsidR="00F43669" w:rsidRPr="00F43669" w:rsidRDefault="00F43669" w:rsidP="00F43669">
      <w:pPr>
        <w:pStyle w:val="SingleTxtG"/>
      </w:pPr>
      <w:r w:rsidRPr="00F43669">
        <w:rPr>
          <w:lang w:val="fr-FR"/>
        </w:rPr>
        <w:t>20.</w:t>
      </w:r>
      <w:r w:rsidRPr="00F43669">
        <w:rPr>
          <w:lang w:val="fr-FR"/>
        </w:rPr>
        <w:tab/>
        <w:t>Le secrétariat a informé le SC.1 de l</w:t>
      </w:r>
      <w:r>
        <w:rPr>
          <w:lang w:val="fr-FR"/>
        </w:rPr>
        <w:t>’</w:t>
      </w:r>
      <w:r w:rsidRPr="00F43669">
        <w:rPr>
          <w:lang w:val="fr-FR"/>
        </w:rPr>
        <w:t>état de l</w:t>
      </w:r>
      <w:r>
        <w:rPr>
          <w:lang w:val="fr-FR"/>
        </w:rPr>
        <w:t>’</w:t>
      </w:r>
      <w:r w:rsidRPr="00F43669">
        <w:rPr>
          <w:lang w:val="fr-FR"/>
        </w:rPr>
        <w:t>AGR. Le nombre des Parties contractantes est resté le même (37) depuis la dernière session du Groupe de travail.</w:t>
      </w:r>
    </w:p>
    <w:p w:rsidR="00F43669" w:rsidRPr="00F43669" w:rsidRDefault="00045BE9" w:rsidP="00045BE9">
      <w:pPr>
        <w:pStyle w:val="HChG"/>
      </w:pPr>
      <w:r>
        <w:rPr>
          <w:lang w:val="fr-FR"/>
        </w:rPr>
        <w:tab/>
      </w:r>
      <w:r w:rsidR="00F43669" w:rsidRPr="00F43669">
        <w:rPr>
          <w:lang w:val="fr-FR"/>
        </w:rPr>
        <w:t>VI.</w:t>
      </w:r>
      <w:r w:rsidR="00F43669" w:rsidRPr="00F43669">
        <w:rPr>
          <w:lang w:val="fr-FR"/>
        </w:rPr>
        <w:tab/>
        <w:t>Projet d</w:t>
      </w:r>
      <w:r w:rsidR="00F43669">
        <w:rPr>
          <w:lang w:val="fr-FR"/>
        </w:rPr>
        <w:t>’</w:t>
      </w:r>
      <w:r w:rsidR="00F43669" w:rsidRPr="00F43669">
        <w:rPr>
          <w:lang w:val="fr-FR"/>
        </w:rPr>
        <w:t>autoroute transeuropéenne Nord-Sud (TEM)</w:t>
      </w:r>
    </w:p>
    <w:p w:rsidR="00F43669" w:rsidRPr="00F43669" w:rsidRDefault="00F43669" w:rsidP="00F43669">
      <w:pPr>
        <w:pStyle w:val="SingleTxtG"/>
      </w:pPr>
      <w:r w:rsidRPr="00F43669">
        <w:rPr>
          <w:lang w:val="fr-FR"/>
        </w:rPr>
        <w:t>21.</w:t>
      </w:r>
      <w:r w:rsidRPr="00F43669">
        <w:rPr>
          <w:lang w:val="fr-FR"/>
        </w:rPr>
        <w:tab/>
        <w:t xml:space="preserve">Le SC.1 a pris note des informations fournies par le secrétariat sur le projet TEM présenté dans le document informel </w:t>
      </w:r>
      <w:r w:rsidR="00CC4417" w:rsidRPr="00CC4417">
        <w:rPr>
          <w:rFonts w:eastAsia="MS Mincho"/>
          <w:szCs w:val="22"/>
          <w:lang w:val="fr-FR"/>
        </w:rPr>
        <w:t>n</w:t>
      </w:r>
      <w:r w:rsidR="00CC4417" w:rsidRPr="00CC4417">
        <w:rPr>
          <w:rFonts w:eastAsia="MS Mincho"/>
          <w:szCs w:val="22"/>
          <w:vertAlign w:val="superscript"/>
          <w:lang w:val="fr-FR"/>
        </w:rPr>
        <w:t>o</w:t>
      </w:r>
      <w:r w:rsidR="00CC4417">
        <w:rPr>
          <w:lang w:val="fr-FR"/>
        </w:rPr>
        <w:t> </w:t>
      </w:r>
      <w:r w:rsidRPr="00F43669">
        <w:rPr>
          <w:lang w:val="fr-FR"/>
        </w:rPr>
        <w:t>9, en particulier concernant les audits et les inspections de sécurité routière.</w:t>
      </w:r>
    </w:p>
    <w:p w:rsidR="00F43669" w:rsidRPr="00F43669" w:rsidRDefault="00045BE9" w:rsidP="00045BE9">
      <w:pPr>
        <w:pStyle w:val="HChG"/>
      </w:pPr>
      <w:r>
        <w:rPr>
          <w:lang w:val="fr-FR"/>
        </w:rPr>
        <w:tab/>
      </w:r>
      <w:r w:rsidR="00F43669" w:rsidRPr="00F43669">
        <w:rPr>
          <w:lang w:val="fr-FR"/>
        </w:rPr>
        <w:t>VII.</w:t>
      </w:r>
      <w:r w:rsidR="00F43669" w:rsidRPr="00F43669">
        <w:rPr>
          <w:lang w:val="fr-FR"/>
        </w:rPr>
        <w:tab/>
        <w:t xml:space="preserve">Convention relative au contrat de transport international </w:t>
      </w:r>
      <w:r>
        <w:rPr>
          <w:lang w:val="fr-FR"/>
        </w:rPr>
        <w:br/>
      </w:r>
      <w:r w:rsidR="00F43669" w:rsidRPr="00F43669">
        <w:rPr>
          <w:lang w:val="fr-FR"/>
        </w:rPr>
        <w:t>de marchandises par route (CMR)</w:t>
      </w:r>
    </w:p>
    <w:p w:rsidR="00F43669" w:rsidRPr="00F43669" w:rsidRDefault="00045BE9" w:rsidP="00045BE9">
      <w:pPr>
        <w:pStyle w:val="H1G"/>
      </w:pPr>
      <w:r>
        <w:rPr>
          <w:lang w:val="fr-FR"/>
        </w:rPr>
        <w:tab/>
      </w:r>
      <w:r w:rsidR="00F43669" w:rsidRPr="00F43669">
        <w:rPr>
          <w:lang w:val="fr-FR"/>
        </w:rPr>
        <w:t>A.</w:t>
      </w:r>
      <w:r w:rsidR="00F43669" w:rsidRPr="00F43669">
        <w:rPr>
          <w:lang w:val="fr-FR"/>
        </w:rPr>
        <w:tab/>
        <w:t>État de la Convention</w:t>
      </w:r>
    </w:p>
    <w:p w:rsidR="00F43669" w:rsidRPr="00F43669" w:rsidRDefault="00F43669" w:rsidP="00F43669">
      <w:pPr>
        <w:pStyle w:val="SingleTxtG"/>
      </w:pPr>
      <w:r w:rsidRPr="00F43669">
        <w:rPr>
          <w:lang w:val="fr-FR"/>
        </w:rPr>
        <w:t>22.</w:t>
      </w:r>
      <w:r w:rsidRPr="00F43669">
        <w:rPr>
          <w:lang w:val="fr-FR"/>
        </w:rPr>
        <w:tab/>
        <w:t>Le secrétariat a informé le SC.1 que le nombre des Parties contractantes à la Convention (55) n</w:t>
      </w:r>
      <w:r>
        <w:rPr>
          <w:lang w:val="fr-FR"/>
        </w:rPr>
        <w:t>’</w:t>
      </w:r>
      <w:r w:rsidRPr="00F43669">
        <w:rPr>
          <w:lang w:val="fr-FR"/>
        </w:rPr>
        <w:t>avait pas changé depuis la dernière session.</w:t>
      </w:r>
    </w:p>
    <w:p w:rsidR="00F43669" w:rsidRPr="00F43669" w:rsidRDefault="00045BE9" w:rsidP="00045BE9">
      <w:pPr>
        <w:pStyle w:val="H1G"/>
      </w:pPr>
      <w:r>
        <w:rPr>
          <w:lang w:val="fr-FR"/>
        </w:rPr>
        <w:tab/>
      </w:r>
      <w:r w:rsidR="00F43669" w:rsidRPr="00F43669">
        <w:rPr>
          <w:lang w:val="fr-FR"/>
        </w:rPr>
        <w:t>B.</w:t>
      </w:r>
      <w:r w:rsidR="00F43669" w:rsidRPr="00F43669">
        <w:rPr>
          <w:lang w:val="fr-FR"/>
        </w:rPr>
        <w:tab/>
        <w:t>Protocole à la Convention relative au contrat de transport international de marchandises par route (CMR)</w:t>
      </w:r>
    </w:p>
    <w:p w:rsidR="00F43669" w:rsidRPr="00F43669" w:rsidRDefault="00F43669" w:rsidP="00F43669">
      <w:pPr>
        <w:pStyle w:val="SingleTxtG"/>
      </w:pPr>
      <w:r w:rsidRPr="00F43669">
        <w:rPr>
          <w:lang w:val="fr-FR"/>
        </w:rPr>
        <w:t>23.</w:t>
      </w:r>
      <w:r w:rsidRPr="00F43669">
        <w:rPr>
          <w:lang w:val="fr-FR"/>
        </w:rPr>
        <w:tab/>
        <w:t>Le secrétariat a informé le SC.1 que le nombre des Parties contractantes au Protocole (43) n</w:t>
      </w:r>
      <w:r>
        <w:rPr>
          <w:lang w:val="fr-FR"/>
        </w:rPr>
        <w:t>’</w:t>
      </w:r>
      <w:r w:rsidRPr="00F43669">
        <w:rPr>
          <w:lang w:val="fr-FR"/>
        </w:rPr>
        <w:t>avait pas changé depuis la dernière session du SC.1.</w:t>
      </w:r>
    </w:p>
    <w:p w:rsidR="00F43669" w:rsidRPr="00F43669" w:rsidRDefault="00045BE9" w:rsidP="00045BE9">
      <w:pPr>
        <w:pStyle w:val="H1G"/>
      </w:pPr>
      <w:r>
        <w:rPr>
          <w:lang w:val="fr-FR"/>
        </w:rPr>
        <w:tab/>
      </w:r>
      <w:r w:rsidR="00F43669" w:rsidRPr="00F43669">
        <w:rPr>
          <w:lang w:val="fr-FR"/>
        </w:rPr>
        <w:t>C.</w:t>
      </w:r>
      <w:r w:rsidR="00F43669" w:rsidRPr="00F43669">
        <w:rPr>
          <w:lang w:val="fr-FR"/>
        </w:rPr>
        <w:tab/>
        <w:t>Protocole additionnel à la CMR concernant la lettre de voiture électronique</w:t>
      </w:r>
    </w:p>
    <w:p w:rsidR="00F43669" w:rsidRPr="00F43669" w:rsidRDefault="00F43669" w:rsidP="00F43669">
      <w:pPr>
        <w:pStyle w:val="SingleTxtG"/>
      </w:pPr>
      <w:r w:rsidRPr="00F43669">
        <w:rPr>
          <w:lang w:val="fr-FR"/>
        </w:rPr>
        <w:t>24.</w:t>
      </w:r>
      <w:r w:rsidRPr="00F43669">
        <w:rPr>
          <w:lang w:val="fr-FR"/>
        </w:rPr>
        <w:tab/>
        <w:t>Le secrétariat a informé le SC.1 que cinq États (Fédération de Russie, Luxembourg, République de Moldova, République islamique d</w:t>
      </w:r>
      <w:r>
        <w:rPr>
          <w:lang w:val="fr-FR"/>
        </w:rPr>
        <w:t>’</w:t>
      </w:r>
      <w:r w:rsidRPr="00F43669">
        <w:rPr>
          <w:lang w:val="fr-FR"/>
        </w:rPr>
        <w:t>Iran et Turquie) avaient adhéré au Protocole additionnel à la Convention depuis la dernière session du SC.1, portant ainsi à 17 le nombre total de parties contractantes. Les représentants de la Finlande, de la Norvège, de la Pologne et de la Roumanie ont indiqué que leur pays avait l</w:t>
      </w:r>
      <w:r>
        <w:rPr>
          <w:lang w:val="fr-FR"/>
        </w:rPr>
        <w:t>’</w:t>
      </w:r>
      <w:r w:rsidRPr="00F43669">
        <w:rPr>
          <w:lang w:val="fr-FR"/>
        </w:rPr>
        <w:t>intention d</w:t>
      </w:r>
      <w:r>
        <w:rPr>
          <w:lang w:val="fr-FR"/>
        </w:rPr>
        <w:t>’</w:t>
      </w:r>
      <w:r w:rsidRPr="00F43669">
        <w:rPr>
          <w:lang w:val="fr-FR"/>
        </w:rPr>
        <w:t xml:space="preserve">adhérer au </w:t>
      </w:r>
      <w:r w:rsidRPr="00F43669">
        <w:rPr>
          <w:lang w:val="fr-FR"/>
        </w:rPr>
        <w:lastRenderedPageBreak/>
        <w:t>Protocole additionnel et ont informé le SC.1 de l</w:t>
      </w:r>
      <w:r>
        <w:rPr>
          <w:lang w:val="fr-FR"/>
        </w:rPr>
        <w:t>’</w:t>
      </w:r>
      <w:r w:rsidRPr="00F43669">
        <w:rPr>
          <w:lang w:val="fr-FR"/>
        </w:rPr>
        <w:t>état d</w:t>
      </w:r>
      <w:r>
        <w:rPr>
          <w:lang w:val="fr-FR"/>
        </w:rPr>
        <w:t>’</w:t>
      </w:r>
      <w:r w:rsidRPr="00F43669">
        <w:rPr>
          <w:lang w:val="fr-FR"/>
        </w:rPr>
        <w:t>avancement de leurs travaux préparatoires en vue de l</w:t>
      </w:r>
      <w:r>
        <w:rPr>
          <w:lang w:val="fr-FR"/>
        </w:rPr>
        <w:t>’</w:t>
      </w:r>
      <w:r w:rsidRPr="00F43669">
        <w:rPr>
          <w:lang w:val="fr-FR"/>
        </w:rPr>
        <w:t>adhésion.</w:t>
      </w:r>
    </w:p>
    <w:p w:rsidR="00F43669" w:rsidRPr="00F43669" w:rsidRDefault="00F43669" w:rsidP="00F43669">
      <w:pPr>
        <w:pStyle w:val="SingleTxtG"/>
      </w:pPr>
      <w:r w:rsidRPr="00F43669">
        <w:rPr>
          <w:lang w:val="fr-FR"/>
        </w:rPr>
        <w:t>25.</w:t>
      </w:r>
      <w:r w:rsidRPr="00F43669">
        <w:rPr>
          <w:lang w:val="fr-FR"/>
        </w:rPr>
        <w:tab/>
        <w:t>À sa dernière session, le SC.1 avait</w:t>
      </w:r>
      <w:r w:rsidR="00045BE9">
        <w:rPr>
          <w:lang w:val="fr-FR"/>
        </w:rPr>
        <w:t xml:space="preserve"> </w:t>
      </w:r>
      <w:r w:rsidRPr="00F43669">
        <w:rPr>
          <w:lang w:val="fr-FR"/>
        </w:rPr>
        <w:t>prié le secrétariat d</w:t>
      </w:r>
      <w:r>
        <w:rPr>
          <w:lang w:val="fr-FR"/>
        </w:rPr>
        <w:t>’</w:t>
      </w:r>
      <w:r w:rsidRPr="00F43669">
        <w:rPr>
          <w:lang w:val="fr-FR"/>
        </w:rPr>
        <w:t>organiser au début de l</w:t>
      </w:r>
      <w:r>
        <w:rPr>
          <w:lang w:val="fr-FR"/>
        </w:rPr>
        <w:t>’</w:t>
      </w:r>
      <w:r w:rsidRPr="00F43669">
        <w:rPr>
          <w:lang w:val="fr-FR"/>
        </w:rPr>
        <w:t>année 2018 une session extraordinaire consacrée à la question de la lettre de voiture électronique, l</w:t>
      </w:r>
      <w:r>
        <w:rPr>
          <w:lang w:val="fr-FR"/>
        </w:rPr>
        <w:t>’</w:t>
      </w:r>
      <w:r w:rsidRPr="00F43669">
        <w:rPr>
          <w:lang w:val="fr-FR"/>
        </w:rPr>
        <w:t>objectif étant d</w:t>
      </w:r>
      <w:r>
        <w:rPr>
          <w:lang w:val="fr-FR"/>
        </w:rPr>
        <w:t>’</w:t>
      </w:r>
      <w:r w:rsidRPr="00F43669">
        <w:rPr>
          <w:lang w:val="fr-FR"/>
        </w:rPr>
        <w:t>examiner cette question plus avant et de décider de la voie à suivre (ECE/TRANS/SC.1/408, par.</w:t>
      </w:r>
      <w:r w:rsidR="00045BE9">
        <w:rPr>
          <w:lang w:val="fr-FR"/>
        </w:rPr>
        <w:t> </w:t>
      </w:r>
      <w:r w:rsidRPr="00F43669">
        <w:rPr>
          <w:lang w:val="fr-FR"/>
        </w:rPr>
        <w:t>33). Le secrétariat a donc organisé en avril 2018 une session extraordinaire du SC.1 dont le premier jour − le 4 avril 2018 − a été consacré à la lettre de voiture électronique. Les résultats sont exposés dans le rapport (ECE/TRANS/</w:t>
      </w:r>
      <w:r w:rsidR="00045BE9">
        <w:rPr>
          <w:lang w:val="fr-FR"/>
        </w:rPr>
        <w:t xml:space="preserve"> </w:t>
      </w:r>
      <w:r w:rsidRPr="00F43669">
        <w:rPr>
          <w:lang w:val="fr-FR"/>
        </w:rPr>
        <w:t>SC.1/S/398).</w:t>
      </w:r>
    </w:p>
    <w:p w:rsidR="00F43669" w:rsidRPr="00F43669" w:rsidRDefault="00F43669" w:rsidP="00F43669">
      <w:pPr>
        <w:pStyle w:val="SingleTxtG"/>
      </w:pPr>
      <w:r w:rsidRPr="00F43669">
        <w:rPr>
          <w:lang w:val="fr-FR"/>
        </w:rPr>
        <w:t>26.</w:t>
      </w:r>
      <w:r w:rsidRPr="00F43669">
        <w:rPr>
          <w:lang w:val="fr-FR"/>
        </w:rPr>
        <w:tab/>
        <w:t>En réponse à la demande formulée par le SC.1 lors de</w:t>
      </w:r>
      <w:r w:rsidR="00045BE9">
        <w:rPr>
          <w:lang w:val="fr-FR"/>
        </w:rPr>
        <w:t xml:space="preserve"> </w:t>
      </w:r>
      <w:r w:rsidRPr="00F43669">
        <w:rPr>
          <w:lang w:val="fr-FR"/>
        </w:rPr>
        <w:t>sa session extraordinaire, le secrétariat avait élaboré une note d</w:t>
      </w:r>
      <w:r>
        <w:rPr>
          <w:lang w:val="fr-FR"/>
        </w:rPr>
        <w:t>’</w:t>
      </w:r>
      <w:r w:rsidRPr="00F43669">
        <w:rPr>
          <w:lang w:val="fr-FR"/>
        </w:rPr>
        <w:t>orientation « sans préjudice d</w:t>
      </w:r>
      <w:r>
        <w:rPr>
          <w:lang w:val="fr-FR"/>
        </w:rPr>
        <w:t>’</w:t>
      </w:r>
      <w:r w:rsidRPr="00F43669">
        <w:rPr>
          <w:lang w:val="fr-FR"/>
        </w:rPr>
        <w:t>autres mesures » concernant les aspects juridiques de la lettre de voiture électronique (ECE/TRANS/</w:t>
      </w:r>
      <w:r w:rsidR="00045BE9">
        <w:rPr>
          <w:lang w:val="fr-FR"/>
        </w:rPr>
        <w:t xml:space="preserve"> </w:t>
      </w:r>
      <w:r w:rsidRPr="00F43669">
        <w:rPr>
          <w:lang w:val="fr-FR"/>
        </w:rPr>
        <w:t xml:space="preserve">SC.1/2018/1). Le présent document tient compte des questions juridiques soulevées par les membres du SC.1. </w:t>
      </w:r>
    </w:p>
    <w:p w:rsidR="00F43669" w:rsidRPr="00F43669" w:rsidRDefault="00F43669" w:rsidP="00F43669">
      <w:pPr>
        <w:pStyle w:val="SingleTxtG"/>
      </w:pPr>
      <w:r w:rsidRPr="00F43669">
        <w:rPr>
          <w:lang w:val="fr-FR"/>
        </w:rPr>
        <w:t>27.</w:t>
      </w:r>
      <w:r w:rsidRPr="00F43669">
        <w:rPr>
          <w:lang w:val="fr-FR"/>
        </w:rPr>
        <w:tab/>
        <w:t>Pour la prochaine session, le SC.1 a invité les Pays-Bas à établir et à soumettre le document ECE/TRANS/SC.1/2018/1/Rev.1, dont le contenu décrirait de manière adéquate le scénario habituel de l</w:t>
      </w:r>
      <w:r>
        <w:rPr>
          <w:lang w:val="fr-FR"/>
        </w:rPr>
        <w:t>’</w:t>
      </w:r>
      <w:r w:rsidRPr="00F43669">
        <w:rPr>
          <w:lang w:val="fr-FR"/>
        </w:rPr>
        <w:t>utilisation de la lettre de voiture électronique dans le cadre des contrats de transport routier de marchandises à titre onéreux au moyen de véhicules lorsque le lieu d</w:t>
      </w:r>
      <w:r>
        <w:rPr>
          <w:lang w:val="fr-FR"/>
        </w:rPr>
        <w:t>’</w:t>
      </w:r>
      <w:r w:rsidRPr="00F43669">
        <w:rPr>
          <w:lang w:val="fr-FR"/>
        </w:rPr>
        <w:t>origine et de destination de la marchandise sont situés dans deux pays différents qui sont tous deux parties contractantes à la CMR (</w:t>
      </w:r>
      <w:r w:rsidR="00045BE9">
        <w:rPr>
          <w:lang w:val="fr-FR"/>
        </w:rPr>
        <w:t>voir ECE/TRANS/SC.1/2018/1 par. </w:t>
      </w:r>
      <w:r w:rsidRPr="00F43669">
        <w:rPr>
          <w:lang w:val="fr-FR"/>
        </w:rPr>
        <w:t>29 et 30). En outre, à sa prochaine session, le SC.1 décidera de la manière dont il souhaite procéder avec la note d</w:t>
      </w:r>
      <w:r>
        <w:rPr>
          <w:lang w:val="fr-FR"/>
        </w:rPr>
        <w:t>’</w:t>
      </w:r>
      <w:r w:rsidRPr="00F43669">
        <w:rPr>
          <w:lang w:val="fr-FR"/>
        </w:rPr>
        <w:t>orientation.</w:t>
      </w:r>
    </w:p>
    <w:p w:rsidR="00F43669" w:rsidRPr="00F43669" w:rsidRDefault="00F43669" w:rsidP="00F43669">
      <w:pPr>
        <w:pStyle w:val="SingleTxtG"/>
      </w:pPr>
      <w:r w:rsidRPr="00F43669">
        <w:rPr>
          <w:lang w:val="fr-FR"/>
        </w:rPr>
        <w:t>28.</w:t>
      </w:r>
      <w:r w:rsidRPr="00F43669">
        <w:rPr>
          <w:lang w:val="fr-FR"/>
        </w:rPr>
        <w:tab/>
        <w:t>En outre, en réponse à la demande d</w:t>
      </w:r>
      <w:r>
        <w:rPr>
          <w:lang w:val="fr-FR"/>
        </w:rPr>
        <w:t>’</w:t>
      </w:r>
      <w:r w:rsidRPr="00F43669">
        <w:rPr>
          <w:lang w:val="fr-FR"/>
        </w:rPr>
        <w:t>exemples d</w:t>
      </w:r>
      <w:r>
        <w:rPr>
          <w:lang w:val="fr-FR"/>
        </w:rPr>
        <w:t>’</w:t>
      </w:r>
      <w:r w:rsidRPr="00F43669">
        <w:rPr>
          <w:lang w:val="fr-FR"/>
        </w:rPr>
        <w:t>études de cas et de meilleures pratiques formulée par le SC.1, les Pays-Bas avaient transmis leurs documents relatifs au projet Benelux, notamment la décision du Comité des Ministres de l</w:t>
      </w:r>
      <w:r>
        <w:rPr>
          <w:lang w:val="fr-FR"/>
        </w:rPr>
        <w:t>’</w:t>
      </w:r>
      <w:r w:rsidRPr="00F43669">
        <w:rPr>
          <w:lang w:val="fr-FR"/>
        </w:rPr>
        <w:t>Union Benelux du 7</w:t>
      </w:r>
      <w:r w:rsidR="00045BE9">
        <w:rPr>
          <w:lang w:val="fr-FR"/>
        </w:rPr>
        <w:t> </w:t>
      </w:r>
      <w:r w:rsidRPr="00F43669">
        <w:rPr>
          <w:lang w:val="fr-FR"/>
        </w:rPr>
        <w:t>septembre 2017 concernant la mise en œuvre, du 1</w:t>
      </w:r>
      <w:r w:rsidRPr="00F43669">
        <w:rPr>
          <w:vertAlign w:val="superscript"/>
          <w:lang w:val="fr-FR"/>
        </w:rPr>
        <w:t>er</w:t>
      </w:r>
      <w:r w:rsidR="00045BE9">
        <w:rPr>
          <w:lang w:val="fr-FR"/>
        </w:rPr>
        <w:t> </w:t>
      </w:r>
      <w:r w:rsidRPr="00F43669">
        <w:rPr>
          <w:lang w:val="fr-FR"/>
        </w:rPr>
        <w:t>décembre 2017 au 1</w:t>
      </w:r>
      <w:r w:rsidRPr="00F43669">
        <w:rPr>
          <w:vertAlign w:val="superscript"/>
          <w:lang w:val="fr-FR"/>
        </w:rPr>
        <w:t>er</w:t>
      </w:r>
      <w:r w:rsidR="00045BE9">
        <w:rPr>
          <w:lang w:val="fr-FR"/>
        </w:rPr>
        <w:t> </w:t>
      </w:r>
      <w:r w:rsidRPr="00F43669">
        <w:rPr>
          <w:lang w:val="fr-FR"/>
        </w:rPr>
        <w:t>décembre 2020, d</w:t>
      </w:r>
      <w:r>
        <w:rPr>
          <w:lang w:val="fr-FR"/>
        </w:rPr>
        <w:t>’</w:t>
      </w:r>
      <w:r w:rsidRPr="00F43669">
        <w:rPr>
          <w:lang w:val="fr-FR"/>
        </w:rPr>
        <w:t>un projet pilote portant sur la lettre de voiture électronique (ECE/TRANS/</w:t>
      </w:r>
      <w:r w:rsidR="00045BE9">
        <w:rPr>
          <w:lang w:val="fr-FR"/>
        </w:rPr>
        <w:t xml:space="preserve"> </w:t>
      </w:r>
      <w:r w:rsidRPr="00F43669">
        <w:rPr>
          <w:lang w:val="fr-FR"/>
        </w:rPr>
        <w:t>SC.1/2018/3), et un exposé des motifs qui sous-tendent cette décision (ECE/TRANS/</w:t>
      </w:r>
      <w:r w:rsidR="00045BE9">
        <w:rPr>
          <w:lang w:val="fr-FR"/>
        </w:rPr>
        <w:t xml:space="preserve"> </w:t>
      </w:r>
      <w:r w:rsidRPr="00F43669">
        <w:rPr>
          <w:lang w:val="fr-FR"/>
        </w:rPr>
        <w:t>SC.1/2018/4). Les Pays-Bas ont également transmis le formulaire de demande d</w:t>
      </w:r>
      <w:r>
        <w:rPr>
          <w:lang w:val="fr-FR"/>
        </w:rPr>
        <w:t>’</w:t>
      </w:r>
      <w:r w:rsidRPr="00F43669">
        <w:rPr>
          <w:lang w:val="fr-FR"/>
        </w:rPr>
        <w:t xml:space="preserve">admission au projet (original en français, traductions non officielles en anglais et </w:t>
      </w:r>
      <w:r w:rsidR="00045BE9">
        <w:rPr>
          <w:lang w:val="fr-FR"/>
        </w:rPr>
        <w:t xml:space="preserve">en russe) (documents informels </w:t>
      </w:r>
      <w:r w:rsidR="00045BE9" w:rsidRPr="00045BE9">
        <w:rPr>
          <w:rFonts w:eastAsia="MS Mincho"/>
          <w:szCs w:val="22"/>
          <w:lang w:val="fr-FR"/>
        </w:rPr>
        <w:t>n</w:t>
      </w:r>
      <w:r w:rsidR="00045BE9" w:rsidRPr="00045BE9">
        <w:rPr>
          <w:rFonts w:eastAsia="MS Mincho"/>
          <w:szCs w:val="22"/>
          <w:vertAlign w:val="superscript"/>
          <w:lang w:val="fr-FR"/>
        </w:rPr>
        <w:t>o</w:t>
      </w:r>
      <w:r w:rsidR="00045BE9">
        <w:rPr>
          <w:rFonts w:eastAsia="MS Mincho"/>
          <w:szCs w:val="22"/>
          <w:vertAlign w:val="superscript"/>
          <w:lang w:val="fr-FR"/>
        </w:rPr>
        <w:t>s</w:t>
      </w:r>
      <w:r w:rsidR="00045BE9">
        <w:rPr>
          <w:lang w:val="fr-FR"/>
        </w:rPr>
        <w:t> </w:t>
      </w:r>
      <w:r w:rsidRPr="00F43669">
        <w:rPr>
          <w:lang w:val="fr-FR"/>
        </w:rPr>
        <w:t>2, 3 et 4).</w:t>
      </w:r>
    </w:p>
    <w:p w:rsidR="00F43669" w:rsidRPr="00F43669" w:rsidRDefault="00F43669" w:rsidP="00F43669">
      <w:pPr>
        <w:pStyle w:val="SingleTxtG"/>
      </w:pPr>
      <w:r w:rsidRPr="00F43669">
        <w:rPr>
          <w:lang w:val="fr-FR"/>
        </w:rPr>
        <w:t>29.</w:t>
      </w:r>
      <w:r w:rsidRPr="00F43669">
        <w:rPr>
          <w:lang w:val="fr-FR"/>
        </w:rPr>
        <w:tab/>
        <w:t>La Commission européenne a fait le point sur sa proposition de règlement du Parlement européen et du Conseil concernant les informations électroniques relatives au transport de marchandises, soumise le 17</w:t>
      </w:r>
      <w:r w:rsidR="00045BE9">
        <w:rPr>
          <w:lang w:val="fr-FR"/>
        </w:rPr>
        <w:t> </w:t>
      </w:r>
      <w:r w:rsidRPr="00F43669">
        <w:rPr>
          <w:lang w:val="fr-FR"/>
        </w:rPr>
        <w:t>mai 2018.</w:t>
      </w:r>
    </w:p>
    <w:p w:rsidR="00F43669" w:rsidRPr="00F43669" w:rsidRDefault="00F43669" w:rsidP="00F43669">
      <w:pPr>
        <w:pStyle w:val="SingleTxtG"/>
      </w:pPr>
      <w:r w:rsidRPr="00F43669">
        <w:rPr>
          <w:lang w:val="fr-FR"/>
        </w:rPr>
        <w:t>30.</w:t>
      </w:r>
      <w:r w:rsidRPr="00F43669">
        <w:rPr>
          <w:lang w:val="fr-FR"/>
        </w:rPr>
        <w:tab/>
        <w:t>L</w:t>
      </w:r>
      <w:r>
        <w:rPr>
          <w:lang w:val="fr-FR"/>
        </w:rPr>
        <w:t>’</w:t>
      </w:r>
      <w:r w:rsidRPr="00F43669">
        <w:rPr>
          <w:lang w:val="fr-FR"/>
        </w:rPr>
        <w:t>IRU a informé le SC.1 du projet pilote sur la lettre de voiture électronique, qui débutera au début de 2019 en Lettonie et en Fédération de Russie et auquel participeront les autorités douanières de ces parties contractantes.</w:t>
      </w:r>
    </w:p>
    <w:p w:rsidR="00F43669" w:rsidRPr="00F43669" w:rsidRDefault="00F43669" w:rsidP="00F43669">
      <w:pPr>
        <w:pStyle w:val="SingleTxtG"/>
      </w:pPr>
      <w:r w:rsidRPr="00F43669">
        <w:rPr>
          <w:lang w:val="fr-FR"/>
        </w:rPr>
        <w:t>31.</w:t>
      </w:r>
      <w:r w:rsidRPr="00F43669">
        <w:rPr>
          <w:lang w:val="fr-FR"/>
        </w:rPr>
        <w:tab/>
        <w:t>L</w:t>
      </w:r>
      <w:r>
        <w:rPr>
          <w:lang w:val="fr-FR"/>
        </w:rPr>
        <w:t>’</w:t>
      </w:r>
      <w:r w:rsidRPr="00F43669">
        <w:rPr>
          <w:lang w:val="fr-FR"/>
        </w:rPr>
        <w:t>OTIF a manifesté son intérêt pour les discussions sur ce thème et a appelé l</w:t>
      </w:r>
      <w:r>
        <w:rPr>
          <w:lang w:val="fr-FR"/>
        </w:rPr>
        <w:t>’</w:t>
      </w:r>
      <w:r w:rsidRPr="00F43669">
        <w:rPr>
          <w:lang w:val="fr-FR"/>
        </w:rPr>
        <w:t>attention sur les travaux qu</w:t>
      </w:r>
      <w:r>
        <w:rPr>
          <w:lang w:val="fr-FR"/>
        </w:rPr>
        <w:t>’</w:t>
      </w:r>
      <w:r w:rsidRPr="00F43669">
        <w:rPr>
          <w:lang w:val="fr-FR"/>
        </w:rPr>
        <w:t>elle mène concernant des problèmes similaires qui se posent dans la mise en œuvre des lettres de voiture électroniques pour le transport commercial de marchandises par chemin de fer.</w:t>
      </w:r>
    </w:p>
    <w:p w:rsidR="00F43669" w:rsidRPr="00F43669" w:rsidRDefault="00F43669" w:rsidP="00F43669">
      <w:pPr>
        <w:pStyle w:val="SingleTxtG"/>
      </w:pPr>
      <w:r w:rsidRPr="00F43669">
        <w:rPr>
          <w:lang w:val="fr-FR"/>
        </w:rPr>
        <w:t>32.</w:t>
      </w:r>
      <w:r w:rsidRPr="00F43669">
        <w:rPr>
          <w:lang w:val="fr-FR"/>
        </w:rPr>
        <w:tab/>
        <w:t xml:space="preserve">Pour faciliter les discussions sur les aspects techniques au cours de la session, le secrétariat a également établi une liste de questions techniques soulevées par les membres du SC.1 (ECE/TRANS/SC.1/2018/2). </w:t>
      </w:r>
    </w:p>
    <w:p w:rsidR="00F43669" w:rsidRPr="00F43669" w:rsidRDefault="00F43669" w:rsidP="00F43669">
      <w:pPr>
        <w:pStyle w:val="SingleTxtG"/>
      </w:pPr>
      <w:r w:rsidRPr="00F43669">
        <w:rPr>
          <w:lang w:val="fr-FR"/>
        </w:rPr>
        <w:t>33.</w:t>
      </w:r>
      <w:r w:rsidRPr="00F43669">
        <w:rPr>
          <w:lang w:val="fr-FR"/>
        </w:rPr>
        <w:tab/>
        <w:t>La Slovénie a fait part des difficultés qu</w:t>
      </w:r>
      <w:r>
        <w:rPr>
          <w:lang w:val="fr-FR"/>
        </w:rPr>
        <w:t>’</w:t>
      </w:r>
      <w:r w:rsidRPr="00F43669">
        <w:rPr>
          <w:lang w:val="fr-FR"/>
        </w:rPr>
        <w:t xml:space="preserve">elle rencontrait pour lancer un projet pilote </w:t>
      </w:r>
      <w:r w:rsidRPr="00E87903">
        <w:rPr>
          <w:spacing w:val="-2"/>
          <w:lang w:val="fr-FR"/>
        </w:rPr>
        <w:t xml:space="preserve">compte tenu du fait qu’aucun de ses pays voisins n’étaient parties </w:t>
      </w:r>
      <w:r w:rsidRPr="00E87903">
        <w:rPr>
          <w:lang w:val="fr-FR"/>
        </w:rPr>
        <w:t>contractantes</w:t>
      </w:r>
      <w:r w:rsidRPr="00E87903">
        <w:rPr>
          <w:spacing w:val="-2"/>
          <w:lang w:val="fr-FR"/>
        </w:rPr>
        <w:t xml:space="preserve"> au Protocole</w:t>
      </w:r>
      <w:r w:rsidRPr="00F43669">
        <w:rPr>
          <w:lang w:val="fr-FR"/>
        </w:rPr>
        <w:t xml:space="preserve"> e-CMR. La Finlande a souligné l</w:t>
      </w:r>
      <w:r>
        <w:rPr>
          <w:lang w:val="fr-FR"/>
        </w:rPr>
        <w:t>’</w:t>
      </w:r>
      <w:r w:rsidRPr="00F43669">
        <w:rPr>
          <w:lang w:val="fr-FR"/>
        </w:rPr>
        <w:t>importance de disposer de systèmes technologiques interopérables afin que les informations puissent être facilement partagées à l</w:t>
      </w:r>
      <w:r>
        <w:rPr>
          <w:lang w:val="fr-FR"/>
        </w:rPr>
        <w:t>’</w:t>
      </w:r>
      <w:r w:rsidRPr="00F43669">
        <w:rPr>
          <w:lang w:val="fr-FR"/>
        </w:rPr>
        <w:t>avenir.</w:t>
      </w:r>
    </w:p>
    <w:p w:rsidR="00F43669" w:rsidRPr="00F43669" w:rsidRDefault="00F43669" w:rsidP="00F43669">
      <w:pPr>
        <w:pStyle w:val="SingleTxtG"/>
      </w:pPr>
      <w:r w:rsidRPr="00F43669">
        <w:rPr>
          <w:lang w:val="fr-FR"/>
        </w:rPr>
        <w:t>34.</w:t>
      </w:r>
      <w:r w:rsidRPr="00F43669">
        <w:rPr>
          <w:lang w:val="fr-FR"/>
        </w:rPr>
        <w:tab/>
        <w:t>En réponse à la question du secrétariat sur les prochaines mesures relatives au Protocole e-CMR et le rôle que jouerait le SC.1 à cet égard, le SC.1 a a</w:t>
      </w:r>
      <w:r w:rsidR="00CC4417">
        <w:rPr>
          <w:lang w:val="fr-FR"/>
        </w:rPr>
        <w:t>ffirmé être la principale plate</w:t>
      </w:r>
      <w:r w:rsidRPr="00F43669">
        <w:rPr>
          <w:lang w:val="fr-FR"/>
        </w:rPr>
        <w:t>forme de dialogue multilatéral et d</w:t>
      </w:r>
      <w:r>
        <w:rPr>
          <w:lang w:val="fr-FR"/>
        </w:rPr>
        <w:t>’</w:t>
      </w:r>
      <w:r w:rsidRPr="00F43669">
        <w:rPr>
          <w:lang w:val="fr-FR"/>
        </w:rPr>
        <w:t xml:space="preserve">échange des meilleures pratiques et des </w:t>
      </w:r>
      <w:r w:rsidRPr="00E87903">
        <w:rPr>
          <w:spacing w:val="-2"/>
          <w:lang w:val="fr-FR"/>
        </w:rPr>
        <w:t>nouvelles pratiques des parties contractantes mettant en place la lettre de voiture</w:t>
      </w:r>
      <w:r w:rsidRPr="00F43669">
        <w:rPr>
          <w:lang w:val="fr-FR"/>
        </w:rPr>
        <w:t xml:space="preserve"> électronique. </w:t>
      </w:r>
    </w:p>
    <w:p w:rsidR="00F43669" w:rsidRPr="00F43669" w:rsidRDefault="00F43669" w:rsidP="00F43669">
      <w:pPr>
        <w:pStyle w:val="SingleTxtG"/>
      </w:pPr>
      <w:r w:rsidRPr="00F43669">
        <w:rPr>
          <w:lang w:val="fr-FR"/>
        </w:rPr>
        <w:t>35.</w:t>
      </w:r>
      <w:r w:rsidRPr="00F43669">
        <w:rPr>
          <w:lang w:val="fr-FR"/>
        </w:rPr>
        <w:tab/>
        <w:t xml:space="preserve">Pour la prochaine session, les parties contractantes sont encouragées à fournir des informations ou à présenter les faits nouveaux concernant la mise en place de la lettre de </w:t>
      </w:r>
      <w:r w:rsidRPr="00F43669">
        <w:rPr>
          <w:lang w:val="fr-FR"/>
        </w:rPr>
        <w:lastRenderedPageBreak/>
        <w:t>voiture électronique, y compris sur les difficultés rencontrées et les perspectives ouvertes. Le SC.1 a demandé à la Commission européenne de faire un exposé sur la plateforme AEOLIX, qui devrait proposer une lettre électronique de voiture d</w:t>
      </w:r>
      <w:r>
        <w:rPr>
          <w:lang w:val="fr-FR"/>
        </w:rPr>
        <w:t>’</w:t>
      </w:r>
      <w:r w:rsidRPr="00F43669">
        <w:rPr>
          <w:lang w:val="fr-FR"/>
        </w:rPr>
        <w:t>ici la prochaine session.</w:t>
      </w:r>
    </w:p>
    <w:p w:rsidR="00F43669" w:rsidRPr="00F43669" w:rsidRDefault="00045BE9" w:rsidP="00045BE9">
      <w:pPr>
        <w:pStyle w:val="HChG"/>
      </w:pPr>
      <w:r>
        <w:rPr>
          <w:lang w:val="fr-FR"/>
        </w:rPr>
        <w:tab/>
      </w:r>
      <w:r w:rsidR="00F43669" w:rsidRPr="00F43669">
        <w:rPr>
          <w:lang w:val="fr-FR"/>
        </w:rPr>
        <w:t>VIII.</w:t>
      </w:r>
      <w:r w:rsidR="00F43669" w:rsidRPr="00F43669">
        <w:rPr>
          <w:lang w:val="fr-FR"/>
        </w:rPr>
        <w:tab/>
        <w:t>Facilitation du transport routier international</w:t>
      </w:r>
    </w:p>
    <w:p w:rsidR="00F43669" w:rsidRPr="00F43669" w:rsidRDefault="00045BE9" w:rsidP="00045BE9">
      <w:pPr>
        <w:pStyle w:val="H1G"/>
      </w:pPr>
      <w:r>
        <w:rPr>
          <w:lang w:val="fr-FR"/>
        </w:rPr>
        <w:tab/>
      </w:r>
      <w:r w:rsidR="00F43669" w:rsidRPr="00F43669">
        <w:rPr>
          <w:lang w:val="fr-FR"/>
        </w:rPr>
        <w:t>A.</w:t>
      </w:r>
      <w:r w:rsidR="00F43669" w:rsidRPr="00F43669">
        <w:rPr>
          <w:lang w:val="fr-FR"/>
        </w:rPr>
        <w:tab/>
        <w:t>Carte internationale d</w:t>
      </w:r>
      <w:r w:rsidR="00F43669">
        <w:rPr>
          <w:lang w:val="fr-FR"/>
        </w:rPr>
        <w:t>’</w:t>
      </w:r>
      <w:r w:rsidR="00F43669" w:rsidRPr="00F43669">
        <w:rPr>
          <w:lang w:val="fr-FR"/>
        </w:rPr>
        <w:t>assurance automobile (carte verte)</w:t>
      </w:r>
    </w:p>
    <w:p w:rsidR="00F43669" w:rsidRPr="00F43669" w:rsidRDefault="00F43669" w:rsidP="00F43669">
      <w:pPr>
        <w:pStyle w:val="SingleTxtG"/>
      </w:pPr>
      <w:r w:rsidRPr="00F43669">
        <w:rPr>
          <w:lang w:val="fr-FR"/>
        </w:rPr>
        <w:t>36.</w:t>
      </w:r>
      <w:r w:rsidRPr="00F43669">
        <w:rPr>
          <w:lang w:val="fr-FR"/>
        </w:rPr>
        <w:tab/>
        <w:t xml:space="preserve">Le SC.1 a été informé par le Secrétaire général du Conseil des Bureaux (CB) des dernières évolutions en ce qui concerne la carte verte (on trouvera, à ce sujet, des informations détaillées dans le document informel </w:t>
      </w:r>
      <w:r w:rsidR="00045BE9" w:rsidRPr="00045BE9">
        <w:rPr>
          <w:rFonts w:eastAsia="MS Mincho"/>
          <w:szCs w:val="22"/>
          <w:lang w:val="fr-FR"/>
        </w:rPr>
        <w:t>n</w:t>
      </w:r>
      <w:r w:rsidR="00045BE9" w:rsidRPr="00045BE9">
        <w:rPr>
          <w:rFonts w:eastAsia="MS Mincho"/>
          <w:szCs w:val="22"/>
          <w:vertAlign w:val="superscript"/>
          <w:lang w:val="fr-FR"/>
        </w:rPr>
        <w:t>o</w:t>
      </w:r>
      <w:r w:rsidR="00045BE9">
        <w:rPr>
          <w:lang w:val="fr-FR"/>
        </w:rPr>
        <w:t> </w:t>
      </w:r>
      <w:r w:rsidRPr="00F43669">
        <w:rPr>
          <w:lang w:val="fr-FR"/>
        </w:rPr>
        <w:t>5).</w:t>
      </w:r>
    </w:p>
    <w:p w:rsidR="00F43669" w:rsidRPr="00F43669" w:rsidRDefault="00F43669" w:rsidP="00F43669">
      <w:pPr>
        <w:pStyle w:val="SingleTxtG"/>
      </w:pPr>
      <w:r w:rsidRPr="00F43669">
        <w:rPr>
          <w:lang w:val="fr-FR"/>
        </w:rPr>
        <w:t>37.</w:t>
      </w:r>
      <w:r w:rsidRPr="00F43669">
        <w:rPr>
          <w:lang w:val="fr-FR"/>
        </w:rPr>
        <w:tab/>
        <w:t>Le Secrétaire général a également fait savoir que le CB souhaitait supprimer l</w:t>
      </w:r>
      <w:r>
        <w:rPr>
          <w:lang w:val="fr-FR"/>
        </w:rPr>
        <w:t>’</w:t>
      </w:r>
      <w:r w:rsidRPr="00F43669">
        <w:rPr>
          <w:lang w:val="fr-FR"/>
        </w:rPr>
        <w:t>obligation d</w:t>
      </w:r>
      <w:r>
        <w:rPr>
          <w:lang w:val="fr-FR"/>
        </w:rPr>
        <w:t>’</w:t>
      </w:r>
      <w:r w:rsidRPr="00F43669">
        <w:rPr>
          <w:lang w:val="fr-FR"/>
        </w:rPr>
        <w:t>imprimer les cartes vertes en vert et de les publier au format PDF en noir et blanc. Le SC.1 a dit appuyer la demande du CB et l</w:t>
      </w:r>
      <w:r>
        <w:rPr>
          <w:lang w:val="fr-FR"/>
        </w:rPr>
        <w:t>’</w:t>
      </w:r>
      <w:r w:rsidRPr="00F43669">
        <w:rPr>
          <w:lang w:val="fr-FR"/>
        </w:rPr>
        <w:t>a approuvée. Il a également invité le CB, si celui-ci le jugeait nécessaire, à présenter une proposition d</w:t>
      </w:r>
      <w:r>
        <w:rPr>
          <w:lang w:val="fr-FR"/>
        </w:rPr>
        <w:t>’</w:t>
      </w:r>
      <w:r w:rsidRPr="00F43669">
        <w:rPr>
          <w:lang w:val="fr-FR"/>
        </w:rPr>
        <w:t>amendement à l</w:t>
      </w:r>
      <w:r>
        <w:rPr>
          <w:lang w:val="fr-FR"/>
        </w:rPr>
        <w:t>’</w:t>
      </w:r>
      <w:r w:rsidRPr="00F43669">
        <w:rPr>
          <w:lang w:val="fr-FR"/>
        </w:rPr>
        <w:t>annexe 1 de la Résolution d</w:t>
      </w:r>
      <w:r>
        <w:rPr>
          <w:lang w:val="fr-FR"/>
        </w:rPr>
        <w:t>’</w:t>
      </w:r>
      <w:r w:rsidRPr="00F43669">
        <w:rPr>
          <w:lang w:val="fr-FR"/>
        </w:rPr>
        <w:t>ensemble révisée sur la facilitation des transports routiers internationaux (RE.4) à la prochaine session.</w:t>
      </w:r>
    </w:p>
    <w:p w:rsidR="00F43669" w:rsidRPr="00F43669" w:rsidRDefault="00606132" w:rsidP="00606132">
      <w:pPr>
        <w:pStyle w:val="H1G"/>
      </w:pPr>
      <w:r>
        <w:rPr>
          <w:lang w:val="fr-FR"/>
        </w:rPr>
        <w:tab/>
      </w:r>
      <w:r w:rsidR="00F43669" w:rsidRPr="00F43669">
        <w:rPr>
          <w:lang w:val="fr-FR"/>
        </w:rPr>
        <w:t>B.</w:t>
      </w:r>
      <w:r w:rsidR="00F43669" w:rsidRPr="00F43669">
        <w:rPr>
          <w:lang w:val="fr-FR"/>
        </w:rPr>
        <w:tab/>
        <w:t>Proposition d</w:t>
      </w:r>
      <w:r w:rsidR="00F43669">
        <w:rPr>
          <w:lang w:val="fr-FR"/>
        </w:rPr>
        <w:t>’</w:t>
      </w:r>
      <w:r w:rsidR="00F43669" w:rsidRPr="00F43669">
        <w:rPr>
          <w:lang w:val="fr-FR"/>
        </w:rPr>
        <w:t>accord multilatéral mondial relatif au transport régulier international de voyageurs par autobus et autocar (</w:t>
      </w:r>
      <w:proofErr w:type="spellStart"/>
      <w:r w:rsidR="00F43669" w:rsidRPr="00F43669">
        <w:rPr>
          <w:lang w:val="fr-FR"/>
        </w:rPr>
        <w:t>OmniBUS</w:t>
      </w:r>
      <w:proofErr w:type="spellEnd"/>
      <w:r w:rsidR="00F43669" w:rsidRPr="00F43669">
        <w:rPr>
          <w:lang w:val="fr-FR"/>
        </w:rPr>
        <w:t>)</w:t>
      </w:r>
    </w:p>
    <w:p w:rsidR="00F43669" w:rsidRPr="00F43669" w:rsidRDefault="00F43669" w:rsidP="00F43669">
      <w:pPr>
        <w:pStyle w:val="SingleTxtG"/>
      </w:pPr>
      <w:r w:rsidRPr="00F43669">
        <w:rPr>
          <w:lang w:val="fr-FR"/>
        </w:rPr>
        <w:t>38.</w:t>
      </w:r>
      <w:r w:rsidRPr="00F43669">
        <w:rPr>
          <w:lang w:val="fr-FR"/>
        </w:rPr>
        <w:tab/>
        <w:t>Le troisième jour de sa session extraordinaire, le 6</w:t>
      </w:r>
      <w:r w:rsidR="00606132">
        <w:rPr>
          <w:lang w:val="fr-FR"/>
        </w:rPr>
        <w:t> </w:t>
      </w:r>
      <w:r w:rsidRPr="00F43669">
        <w:rPr>
          <w:lang w:val="fr-FR"/>
        </w:rPr>
        <w:t>avril 2018, le SC.1 a repris son examen du document ECE/TRANS/SC.1/2015/3 et s</w:t>
      </w:r>
      <w:r>
        <w:rPr>
          <w:lang w:val="fr-FR"/>
        </w:rPr>
        <w:t>’</w:t>
      </w:r>
      <w:r w:rsidRPr="00F43669">
        <w:rPr>
          <w:lang w:val="fr-FR"/>
        </w:rPr>
        <w:t>est intéressé en particulier aux articles</w:t>
      </w:r>
      <w:r w:rsidR="00606132">
        <w:rPr>
          <w:lang w:val="fr-FR"/>
        </w:rPr>
        <w:t> </w:t>
      </w:r>
      <w:r w:rsidRPr="00F43669">
        <w:rPr>
          <w:lang w:val="fr-FR"/>
        </w:rPr>
        <w:t>6, 8 et 25 et à l</w:t>
      </w:r>
      <w:r>
        <w:rPr>
          <w:lang w:val="fr-FR"/>
        </w:rPr>
        <w:t>’</w:t>
      </w:r>
      <w:r w:rsidRPr="00F43669">
        <w:rPr>
          <w:lang w:val="fr-FR"/>
        </w:rPr>
        <w:t>annexe VI. Des modifications ont été apportées aux articles 6 et 8. La Fédération de Russie est restée sur sa position concernant la réserve qu</w:t>
      </w:r>
      <w:r>
        <w:rPr>
          <w:lang w:val="fr-FR"/>
        </w:rPr>
        <w:t>’</w:t>
      </w:r>
      <w:r w:rsidRPr="00F43669">
        <w:rPr>
          <w:lang w:val="fr-FR"/>
        </w:rPr>
        <w:t>elle avait exprimée à propos des projets de texte de l</w:t>
      </w:r>
      <w:r>
        <w:rPr>
          <w:lang w:val="fr-FR"/>
        </w:rPr>
        <w:t>’</w:t>
      </w:r>
      <w:r w:rsidRPr="00F43669">
        <w:rPr>
          <w:lang w:val="fr-FR"/>
        </w:rPr>
        <w:t>article 25 et de l</w:t>
      </w:r>
      <w:r>
        <w:rPr>
          <w:lang w:val="fr-FR"/>
        </w:rPr>
        <w:t>’</w:t>
      </w:r>
      <w:r w:rsidRPr="00F43669">
        <w:rPr>
          <w:lang w:val="fr-FR"/>
        </w:rPr>
        <w:t>annexe VI.</w:t>
      </w:r>
    </w:p>
    <w:p w:rsidR="00F43669" w:rsidRPr="00F43669" w:rsidRDefault="00F43669" w:rsidP="00F43669">
      <w:pPr>
        <w:pStyle w:val="SingleTxtG"/>
      </w:pPr>
      <w:r w:rsidRPr="00F43669">
        <w:rPr>
          <w:lang w:val="fr-FR"/>
        </w:rPr>
        <w:t>39.</w:t>
      </w:r>
      <w:r w:rsidRPr="00F43669">
        <w:rPr>
          <w:lang w:val="fr-FR"/>
        </w:rPr>
        <w:tab/>
        <w:t>Le SC.1 a demandé à la Fédération de Russie, à la Suisse et à la Turquie de convenir d</w:t>
      </w:r>
      <w:r>
        <w:rPr>
          <w:lang w:val="fr-FR"/>
        </w:rPr>
        <w:t>’</w:t>
      </w:r>
      <w:r w:rsidRPr="00F43669">
        <w:rPr>
          <w:lang w:val="fr-FR"/>
        </w:rPr>
        <w:t>un avant-projet de texte pour l</w:t>
      </w:r>
      <w:r>
        <w:rPr>
          <w:lang w:val="fr-FR"/>
        </w:rPr>
        <w:t>’</w:t>
      </w:r>
      <w:r w:rsidRPr="00F43669">
        <w:rPr>
          <w:lang w:val="fr-FR"/>
        </w:rPr>
        <w:t>article 25 et l</w:t>
      </w:r>
      <w:r>
        <w:rPr>
          <w:lang w:val="fr-FR"/>
        </w:rPr>
        <w:t>’</w:t>
      </w:r>
      <w:r w:rsidRPr="00F43669">
        <w:rPr>
          <w:lang w:val="fr-FR"/>
        </w:rPr>
        <w:t xml:space="preserve">annexe VI et de le présenter à cette session. </w:t>
      </w:r>
    </w:p>
    <w:p w:rsidR="00F43669" w:rsidRPr="00F43669" w:rsidRDefault="00F43669" w:rsidP="00F43669">
      <w:pPr>
        <w:pStyle w:val="SingleTxtG"/>
      </w:pPr>
      <w:r w:rsidRPr="00F43669">
        <w:rPr>
          <w:lang w:val="fr-FR"/>
        </w:rPr>
        <w:t>40.</w:t>
      </w:r>
      <w:r w:rsidRPr="00F43669">
        <w:rPr>
          <w:lang w:val="fr-FR"/>
        </w:rPr>
        <w:tab/>
        <w:t>Le SC.1 a décidé de reporter l</w:t>
      </w:r>
      <w:r>
        <w:rPr>
          <w:lang w:val="fr-FR"/>
        </w:rPr>
        <w:t>’</w:t>
      </w:r>
      <w:r w:rsidRPr="00F43669">
        <w:rPr>
          <w:lang w:val="fr-FR"/>
        </w:rPr>
        <w:t>examen de ce point à sa prochaine session en raison de l</w:t>
      </w:r>
      <w:r>
        <w:rPr>
          <w:lang w:val="fr-FR"/>
        </w:rPr>
        <w:t>’</w:t>
      </w:r>
      <w:r w:rsidRPr="00F43669">
        <w:rPr>
          <w:lang w:val="fr-FR"/>
        </w:rPr>
        <w:t>absence de représentants de la Fédération de Russie, de la Suisse et de la Turquie.</w:t>
      </w:r>
    </w:p>
    <w:p w:rsidR="00F43669" w:rsidRPr="00F43669" w:rsidRDefault="00F43669" w:rsidP="00F43669">
      <w:pPr>
        <w:pStyle w:val="SingleTxtG"/>
      </w:pPr>
      <w:r w:rsidRPr="00F43669">
        <w:rPr>
          <w:lang w:val="fr-FR"/>
        </w:rPr>
        <w:t>41.</w:t>
      </w:r>
      <w:r w:rsidRPr="00F43669">
        <w:rPr>
          <w:lang w:val="fr-FR"/>
        </w:rPr>
        <w:tab/>
        <w:t>La Commission européenne a indiqué que s</w:t>
      </w:r>
      <w:r>
        <w:rPr>
          <w:lang w:val="fr-FR"/>
        </w:rPr>
        <w:t>’</w:t>
      </w:r>
      <w:r w:rsidRPr="00F43669">
        <w:rPr>
          <w:lang w:val="fr-FR"/>
        </w:rPr>
        <w:t>agissant de</w:t>
      </w:r>
      <w:r w:rsidR="00045BE9">
        <w:rPr>
          <w:lang w:val="fr-FR"/>
        </w:rPr>
        <w:t xml:space="preserve"> </w:t>
      </w:r>
      <w:r w:rsidRPr="00F43669">
        <w:rPr>
          <w:lang w:val="fr-FR"/>
        </w:rPr>
        <w:t>l</w:t>
      </w:r>
      <w:r>
        <w:rPr>
          <w:lang w:val="fr-FR"/>
        </w:rPr>
        <w:t>’</w:t>
      </w:r>
      <w:r w:rsidRPr="00F43669">
        <w:rPr>
          <w:lang w:val="fr-FR"/>
        </w:rPr>
        <w:t xml:space="preserve">accord </w:t>
      </w:r>
      <w:proofErr w:type="spellStart"/>
      <w:r w:rsidRPr="00F43669">
        <w:rPr>
          <w:lang w:val="fr-FR"/>
        </w:rPr>
        <w:t>InterBus</w:t>
      </w:r>
      <w:proofErr w:type="spellEnd"/>
      <w:r w:rsidRPr="00F43669">
        <w:rPr>
          <w:lang w:val="fr-FR"/>
        </w:rPr>
        <w:t xml:space="preserve"> deux </w:t>
      </w:r>
      <w:r w:rsidRPr="00606132">
        <w:rPr>
          <w:spacing w:val="-2"/>
          <w:lang w:val="fr-FR"/>
        </w:rPr>
        <w:t>protocoles (l’un visant à élargir le champ d’application des services réguliers et l’autre visant à</w:t>
      </w:r>
      <w:r w:rsidRPr="00F43669">
        <w:rPr>
          <w:lang w:val="fr-FR"/>
        </w:rPr>
        <w:t xml:space="preserve"> permettre au Maroc d</w:t>
      </w:r>
      <w:r>
        <w:rPr>
          <w:lang w:val="fr-FR"/>
        </w:rPr>
        <w:t>’</w:t>
      </w:r>
      <w:r w:rsidRPr="00F43669">
        <w:rPr>
          <w:lang w:val="fr-FR"/>
        </w:rPr>
        <w:t xml:space="preserve">adhérer à </w:t>
      </w:r>
      <w:proofErr w:type="gramStart"/>
      <w:r w:rsidRPr="00F43669">
        <w:rPr>
          <w:lang w:val="fr-FR"/>
        </w:rPr>
        <w:t>l</w:t>
      </w:r>
      <w:r>
        <w:rPr>
          <w:lang w:val="fr-FR"/>
        </w:rPr>
        <w:t>’</w:t>
      </w:r>
      <w:r w:rsidRPr="00F43669">
        <w:rPr>
          <w:lang w:val="fr-FR"/>
        </w:rPr>
        <w:t>accord )</w:t>
      </w:r>
      <w:proofErr w:type="gramEnd"/>
      <w:r w:rsidRPr="00F43669">
        <w:rPr>
          <w:lang w:val="fr-FR"/>
        </w:rPr>
        <w:t xml:space="preserve"> ainsi qu</w:t>
      </w:r>
      <w:r>
        <w:rPr>
          <w:lang w:val="fr-FR"/>
        </w:rPr>
        <w:t>’</w:t>
      </w:r>
      <w:r w:rsidRPr="00F43669">
        <w:rPr>
          <w:lang w:val="fr-FR"/>
        </w:rPr>
        <w:t>un projet de décision du Comité mixte, avaient</w:t>
      </w:r>
      <w:r w:rsidR="00045BE9">
        <w:rPr>
          <w:lang w:val="fr-FR"/>
        </w:rPr>
        <w:t xml:space="preserve"> </w:t>
      </w:r>
      <w:r w:rsidRPr="00F43669">
        <w:rPr>
          <w:lang w:val="fr-FR"/>
        </w:rPr>
        <w:t>é</w:t>
      </w:r>
      <w:r w:rsidR="00606132">
        <w:rPr>
          <w:lang w:val="fr-FR"/>
        </w:rPr>
        <w:t>té adoptés par le Conseil le 16 </w:t>
      </w:r>
      <w:r w:rsidRPr="00F43669">
        <w:rPr>
          <w:lang w:val="fr-FR"/>
        </w:rPr>
        <w:t>juillet 2018.</w:t>
      </w:r>
      <w:r w:rsidR="00045BE9">
        <w:rPr>
          <w:lang w:val="fr-FR"/>
        </w:rPr>
        <w:t xml:space="preserve"> </w:t>
      </w:r>
      <w:r w:rsidRPr="00F43669">
        <w:rPr>
          <w:lang w:val="fr-FR"/>
        </w:rPr>
        <w:t xml:space="preserve">Le projet de décision du comité mixte </w:t>
      </w:r>
      <w:r w:rsidRPr="00E87903">
        <w:rPr>
          <w:spacing w:val="-2"/>
          <w:lang w:val="fr-FR"/>
        </w:rPr>
        <w:t>peut être consulté à l’adresse suivante</w:t>
      </w:r>
      <w:r w:rsidR="00606132" w:rsidRPr="00E87903">
        <w:rPr>
          <w:spacing w:val="-2"/>
          <w:lang w:val="fr-FR"/>
        </w:rPr>
        <w:t> </w:t>
      </w:r>
      <w:r w:rsidRPr="00E87903">
        <w:rPr>
          <w:spacing w:val="-2"/>
          <w:lang w:val="fr-FR"/>
        </w:rPr>
        <w:t>: https://eurlex.europa.eu/legalcontent/EN/TXT/?uri=</w:t>
      </w:r>
      <w:r w:rsidR="00E87903">
        <w:rPr>
          <w:lang w:val="fr-FR"/>
        </w:rPr>
        <w:t xml:space="preserve"> </w:t>
      </w:r>
      <w:proofErr w:type="gramStart"/>
      <w:r w:rsidRPr="00E87903">
        <w:rPr>
          <w:spacing w:val="-4"/>
          <w:lang w:val="fr-FR"/>
        </w:rPr>
        <w:t>uriserv:OJ.L_.2018.185.01.0016.01.ENG</w:t>
      </w:r>
      <w:proofErr w:type="gramEnd"/>
      <w:r w:rsidRPr="00E87903">
        <w:rPr>
          <w:spacing w:val="-4"/>
          <w:lang w:val="fr-FR"/>
        </w:rPr>
        <w:t>&amp;toc=OJ:L:2018:185:TOC. La période de</w:t>
      </w:r>
      <w:r w:rsidRPr="00F43669">
        <w:rPr>
          <w:lang w:val="fr-FR"/>
        </w:rPr>
        <w:t xml:space="preserve"> signature des deux protocoles, qui a débuté à la date d</w:t>
      </w:r>
      <w:r>
        <w:rPr>
          <w:lang w:val="fr-FR"/>
        </w:rPr>
        <w:t>’</w:t>
      </w:r>
      <w:r w:rsidRPr="00F43669">
        <w:rPr>
          <w:lang w:val="fr-FR"/>
        </w:rPr>
        <w:t>adoption de ces instruments, durera neuf mois.</w:t>
      </w:r>
    </w:p>
    <w:p w:rsidR="00F43669" w:rsidRPr="00F43669" w:rsidRDefault="00606132" w:rsidP="00606132">
      <w:pPr>
        <w:pStyle w:val="H1G"/>
      </w:pPr>
      <w:r>
        <w:rPr>
          <w:lang w:val="fr-FR"/>
        </w:rPr>
        <w:tab/>
        <w:t>C.</w:t>
      </w:r>
      <w:r>
        <w:rPr>
          <w:lang w:val="fr-FR"/>
        </w:rPr>
        <w:tab/>
      </w:r>
      <w:r w:rsidR="00F43669" w:rsidRPr="00F43669">
        <w:rPr>
          <w:lang w:val="fr-FR"/>
        </w:rPr>
        <w:t>Restrictions quantitatives impo</w:t>
      </w:r>
      <w:r>
        <w:rPr>
          <w:lang w:val="fr-FR"/>
        </w:rPr>
        <w:t>sées au transport international</w:t>
      </w:r>
      <w:r>
        <w:rPr>
          <w:lang w:val="fr-FR"/>
        </w:rPr>
        <w:br/>
      </w:r>
      <w:r w:rsidR="00F43669" w:rsidRPr="00F43669">
        <w:rPr>
          <w:lang w:val="fr-FR"/>
        </w:rPr>
        <w:t>routier de marchandises</w:t>
      </w:r>
    </w:p>
    <w:p w:rsidR="00F43669" w:rsidRPr="00F43669" w:rsidRDefault="00F43669" w:rsidP="00F43669">
      <w:pPr>
        <w:pStyle w:val="SingleTxtG"/>
      </w:pPr>
      <w:r w:rsidRPr="00F43669">
        <w:rPr>
          <w:lang w:val="fr-FR"/>
        </w:rPr>
        <w:t>42.</w:t>
      </w:r>
      <w:r w:rsidRPr="00F43669">
        <w:rPr>
          <w:lang w:val="fr-FR"/>
        </w:rPr>
        <w:tab/>
        <w:t>À sa dernière session, le SC.1 a débattu d</w:t>
      </w:r>
      <w:r>
        <w:rPr>
          <w:lang w:val="fr-FR"/>
        </w:rPr>
        <w:t>’</w:t>
      </w:r>
      <w:r w:rsidRPr="00F43669">
        <w:rPr>
          <w:lang w:val="fr-FR"/>
        </w:rPr>
        <w:t>une étude de la Commission européenne relative à une analyse économique de l</w:t>
      </w:r>
      <w:r>
        <w:rPr>
          <w:lang w:val="fr-FR"/>
        </w:rPr>
        <w:t>’</w:t>
      </w:r>
      <w:r w:rsidRPr="00F43669">
        <w:rPr>
          <w:lang w:val="fr-FR"/>
        </w:rPr>
        <w:t>accord entre l</w:t>
      </w:r>
      <w:r>
        <w:rPr>
          <w:lang w:val="fr-FR"/>
        </w:rPr>
        <w:t>’</w:t>
      </w:r>
      <w:r w:rsidRPr="00F43669">
        <w:rPr>
          <w:lang w:val="fr-FR"/>
        </w:rPr>
        <w:t>Union européenne et la Turquie, d</w:t>
      </w:r>
      <w:r>
        <w:rPr>
          <w:lang w:val="fr-FR"/>
        </w:rPr>
        <w:t>’</w:t>
      </w:r>
      <w:r w:rsidRPr="00F43669">
        <w:rPr>
          <w:lang w:val="fr-FR"/>
        </w:rPr>
        <w:t>où il ressortait que les deux parties avaient subi de lourdes pertes financières à cause des quotas et des restrictions imposés dans le domaine des transports.</w:t>
      </w:r>
    </w:p>
    <w:p w:rsidR="00F43669" w:rsidRPr="00F43669" w:rsidRDefault="00F43669" w:rsidP="00F43669">
      <w:pPr>
        <w:pStyle w:val="SingleTxtG"/>
      </w:pPr>
      <w:r w:rsidRPr="00F43669">
        <w:rPr>
          <w:lang w:val="fr-FR"/>
        </w:rPr>
        <w:t>43.</w:t>
      </w:r>
      <w:r w:rsidRPr="00F43669">
        <w:rPr>
          <w:lang w:val="fr-FR"/>
        </w:rPr>
        <w:tab/>
        <w:t>Le SC.1 avait pris note de l</w:t>
      </w:r>
      <w:r>
        <w:rPr>
          <w:lang w:val="fr-FR"/>
        </w:rPr>
        <w:t>’</w:t>
      </w:r>
      <w:r w:rsidRPr="00F43669">
        <w:rPr>
          <w:lang w:val="fr-FR"/>
        </w:rPr>
        <w:t>information fournie par la Commission européenne selon laquelle l</w:t>
      </w:r>
      <w:r>
        <w:rPr>
          <w:lang w:val="fr-FR"/>
        </w:rPr>
        <w:t>’</w:t>
      </w:r>
      <w:r w:rsidRPr="00F43669">
        <w:rPr>
          <w:lang w:val="fr-FR"/>
        </w:rPr>
        <w:t>extension de validité de l</w:t>
      </w:r>
      <w:r>
        <w:rPr>
          <w:lang w:val="fr-FR"/>
        </w:rPr>
        <w:t>’</w:t>
      </w:r>
      <w:r w:rsidRPr="00F43669">
        <w:rPr>
          <w:lang w:val="fr-FR"/>
        </w:rPr>
        <w:t xml:space="preserve">Accord douanier était confiée au Conseil et la Direction générale du commerce était le service compétent de la Commission européenne. Le </w:t>
      </w:r>
      <w:r w:rsidR="00CC4417">
        <w:rPr>
          <w:lang w:val="fr-FR"/>
        </w:rPr>
        <w:t>G</w:t>
      </w:r>
      <w:r w:rsidRPr="00F43669">
        <w:rPr>
          <w:lang w:val="fr-FR"/>
        </w:rPr>
        <w:t>ouvernement turc a demandé à la Direction générale de la mobilité et des transports de poursuivre l</w:t>
      </w:r>
      <w:r>
        <w:rPr>
          <w:lang w:val="fr-FR"/>
        </w:rPr>
        <w:t>’</w:t>
      </w:r>
      <w:r w:rsidRPr="00F43669">
        <w:rPr>
          <w:lang w:val="fr-FR"/>
        </w:rPr>
        <w:t xml:space="preserve">examen de cette question au sein de la Commission européenne. </w:t>
      </w:r>
    </w:p>
    <w:p w:rsidR="00F43669" w:rsidRPr="00F43669" w:rsidRDefault="00F43669" w:rsidP="00F43669">
      <w:pPr>
        <w:pStyle w:val="SingleTxtG"/>
      </w:pPr>
      <w:r w:rsidRPr="00F43669">
        <w:rPr>
          <w:lang w:val="fr-FR"/>
        </w:rPr>
        <w:t>44.</w:t>
      </w:r>
      <w:r w:rsidRPr="00F43669">
        <w:rPr>
          <w:lang w:val="fr-FR"/>
        </w:rPr>
        <w:tab/>
        <w:t>Le SC.1 a décidé de reporter l</w:t>
      </w:r>
      <w:r>
        <w:rPr>
          <w:lang w:val="fr-FR"/>
        </w:rPr>
        <w:t>’</w:t>
      </w:r>
      <w:r w:rsidRPr="00F43669">
        <w:rPr>
          <w:lang w:val="fr-FR"/>
        </w:rPr>
        <w:t>examen de ce point à sa prochaine session en raison de l</w:t>
      </w:r>
      <w:r>
        <w:rPr>
          <w:lang w:val="fr-FR"/>
        </w:rPr>
        <w:t>’</w:t>
      </w:r>
      <w:r w:rsidRPr="00F43669">
        <w:rPr>
          <w:lang w:val="fr-FR"/>
        </w:rPr>
        <w:t>absence de représentant de la Turquie.</w:t>
      </w:r>
    </w:p>
    <w:p w:rsidR="00F43669" w:rsidRPr="00F43669" w:rsidRDefault="00606132" w:rsidP="00606132">
      <w:pPr>
        <w:pStyle w:val="H1G"/>
      </w:pPr>
      <w:r>
        <w:rPr>
          <w:lang w:val="fr-FR"/>
        </w:rPr>
        <w:lastRenderedPageBreak/>
        <w:tab/>
        <w:t>D.</w:t>
      </w:r>
      <w:r>
        <w:rPr>
          <w:lang w:val="fr-FR"/>
        </w:rPr>
        <w:tab/>
      </w:r>
      <w:r w:rsidR="00F43669" w:rsidRPr="00F43669">
        <w:rPr>
          <w:lang w:val="fr-FR"/>
        </w:rPr>
        <w:t>Relations entre l</w:t>
      </w:r>
      <w:r w:rsidR="00F43669">
        <w:rPr>
          <w:lang w:val="fr-FR"/>
        </w:rPr>
        <w:t>’</w:t>
      </w:r>
      <w:r w:rsidR="00F43669" w:rsidRPr="00F43669">
        <w:rPr>
          <w:lang w:val="fr-FR"/>
        </w:rPr>
        <w:t xml:space="preserve">origine des marchandises et les opérations </w:t>
      </w:r>
      <w:r>
        <w:rPr>
          <w:lang w:val="fr-FR"/>
        </w:rPr>
        <w:br/>
      </w:r>
      <w:r w:rsidR="00F43669" w:rsidRPr="00F43669">
        <w:rPr>
          <w:lang w:val="fr-FR"/>
        </w:rPr>
        <w:t>de transport</w:t>
      </w:r>
      <w:bookmarkStart w:id="3" w:name="_Hlk521317391"/>
    </w:p>
    <w:bookmarkEnd w:id="3"/>
    <w:p w:rsidR="00F43669" w:rsidRPr="00F43669" w:rsidRDefault="00F43669" w:rsidP="00F43669">
      <w:pPr>
        <w:pStyle w:val="SingleTxtG"/>
      </w:pPr>
      <w:r w:rsidRPr="00F43669">
        <w:rPr>
          <w:lang w:val="fr-FR"/>
        </w:rPr>
        <w:t>45.</w:t>
      </w:r>
      <w:r w:rsidRPr="00F43669">
        <w:rPr>
          <w:lang w:val="fr-FR"/>
        </w:rPr>
        <w:tab/>
        <w:t>Sur la base des observations reçues à la dernière session au sujet de</w:t>
      </w:r>
      <w:r w:rsidR="00045BE9">
        <w:rPr>
          <w:lang w:val="fr-FR"/>
        </w:rPr>
        <w:t xml:space="preserve"> </w:t>
      </w:r>
      <w:r w:rsidRPr="00F43669">
        <w:rPr>
          <w:lang w:val="fr-FR"/>
        </w:rPr>
        <w:t>sa proposition</w:t>
      </w:r>
      <w:r w:rsidR="00045BE9">
        <w:rPr>
          <w:lang w:val="fr-FR"/>
        </w:rPr>
        <w:t xml:space="preserve"> </w:t>
      </w:r>
      <w:r w:rsidRPr="00F43669">
        <w:rPr>
          <w:lang w:val="fr-FR"/>
        </w:rPr>
        <w:t>de</w:t>
      </w:r>
      <w:r w:rsidR="00045BE9">
        <w:rPr>
          <w:lang w:val="fr-FR"/>
        </w:rPr>
        <w:t xml:space="preserve"> </w:t>
      </w:r>
      <w:r w:rsidRPr="00F43669">
        <w:rPr>
          <w:lang w:val="fr-FR"/>
        </w:rPr>
        <w:t>réviser la Résolution d</w:t>
      </w:r>
      <w:r>
        <w:rPr>
          <w:lang w:val="fr-FR"/>
        </w:rPr>
        <w:t>’</w:t>
      </w:r>
      <w:r w:rsidRPr="00F43669">
        <w:rPr>
          <w:lang w:val="fr-FR"/>
        </w:rPr>
        <w:t xml:space="preserve">ensemble révisée sur la facilitation des transports routiers internationaux (R.E.4) pour y inclure une définition du </w:t>
      </w:r>
      <w:r w:rsidR="00606132">
        <w:rPr>
          <w:lang w:val="fr-FR"/>
        </w:rPr>
        <w:t>« </w:t>
      </w:r>
      <w:r w:rsidRPr="00F43669">
        <w:rPr>
          <w:lang w:val="fr-FR"/>
        </w:rPr>
        <w:t>transport bilatéral</w:t>
      </w:r>
      <w:r w:rsidR="00606132">
        <w:rPr>
          <w:lang w:val="fr-FR"/>
        </w:rPr>
        <w:t> »</w:t>
      </w:r>
      <w:r w:rsidRPr="00F43669">
        <w:rPr>
          <w:lang w:val="fr-FR"/>
        </w:rPr>
        <w:t xml:space="preserve"> dans un nouveau point 4.1.9 (ECE/TRANS/SC.1/2017/4), la Pologne avait soumis le document informel </w:t>
      </w:r>
      <w:r w:rsidR="00606132" w:rsidRPr="00606132">
        <w:rPr>
          <w:rFonts w:eastAsia="MS Mincho"/>
          <w:szCs w:val="22"/>
          <w:lang w:val="fr-FR"/>
        </w:rPr>
        <w:t>n</w:t>
      </w:r>
      <w:r w:rsidR="00606132" w:rsidRPr="00606132">
        <w:rPr>
          <w:rFonts w:eastAsia="MS Mincho"/>
          <w:szCs w:val="22"/>
          <w:vertAlign w:val="superscript"/>
          <w:lang w:val="fr-FR"/>
        </w:rPr>
        <w:t>o</w:t>
      </w:r>
      <w:r w:rsidR="00606132">
        <w:rPr>
          <w:lang w:val="fr-FR"/>
        </w:rPr>
        <w:t> </w:t>
      </w:r>
      <w:r w:rsidRPr="00F43669">
        <w:rPr>
          <w:lang w:val="fr-FR"/>
        </w:rPr>
        <w:t>6. La Lettonie avait déjà formulé une proposition similaire et les Pays-Bas ont indiqué à la session en cours qu</w:t>
      </w:r>
      <w:r>
        <w:rPr>
          <w:lang w:val="fr-FR"/>
        </w:rPr>
        <w:t>’</w:t>
      </w:r>
      <w:r w:rsidRPr="00F43669">
        <w:rPr>
          <w:lang w:val="fr-FR"/>
        </w:rPr>
        <w:t>ils app</w:t>
      </w:r>
      <w:r w:rsidR="00606132">
        <w:rPr>
          <w:lang w:val="fr-FR"/>
        </w:rPr>
        <w:t>uyaient la définition proposée.</w:t>
      </w:r>
    </w:p>
    <w:p w:rsidR="00F43669" w:rsidRPr="00F43669" w:rsidRDefault="00F43669" w:rsidP="00F43669">
      <w:pPr>
        <w:pStyle w:val="SingleTxtG"/>
      </w:pPr>
      <w:r w:rsidRPr="00F43669">
        <w:rPr>
          <w:lang w:val="fr-FR"/>
        </w:rPr>
        <w:t>46.</w:t>
      </w:r>
      <w:r w:rsidRPr="00F43669">
        <w:rPr>
          <w:lang w:val="fr-FR"/>
        </w:rPr>
        <w:tab/>
        <w:t>Le SC.1 a demandé que la Pologne soumette une proposition d</w:t>
      </w:r>
      <w:r>
        <w:rPr>
          <w:lang w:val="fr-FR"/>
        </w:rPr>
        <w:t>’</w:t>
      </w:r>
      <w:r w:rsidRPr="00F43669">
        <w:rPr>
          <w:lang w:val="fr-FR"/>
        </w:rPr>
        <w:t>amendement pour adoption à sa prochaine session</w:t>
      </w:r>
      <w:r w:rsidR="00606132">
        <w:rPr>
          <w:lang w:val="fr-FR"/>
        </w:rPr>
        <w:t> </w:t>
      </w:r>
      <w:r w:rsidRPr="00F43669">
        <w:rPr>
          <w:lang w:val="fr-FR"/>
        </w:rPr>
        <w:t>:</w:t>
      </w:r>
    </w:p>
    <w:p w:rsidR="00F43669" w:rsidRPr="00F43669" w:rsidRDefault="00606132" w:rsidP="00F43669">
      <w:pPr>
        <w:pStyle w:val="SingleTxtG"/>
      </w:pPr>
      <w:r>
        <w:t>« </w:t>
      </w:r>
      <w:r w:rsidR="00F43669" w:rsidRPr="00F43669">
        <w:rPr>
          <w:lang w:val="fr-FR"/>
        </w:rPr>
        <w:t xml:space="preserve">4.1.9 Par </w:t>
      </w:r>
      <w:r>
        <w:rPr>
          <w:lang w:val="fr-FR"/>
        </w:rPr>
        <w:t>“</w:t>
      </w:r>
      <w:r w:rsidR="00F43669" w:rsidRPr="00F43669">
        <w:rPr>
          <w:lang w:val="fr-FR"/>
        </w:rPr>
        <w:t>transport bilatéral</w:t>
      </w:r>
      <w:r>
        <w:rPr>
          <w:lang w:val="fr-FR"/>
        </w:rPr>
        <w:t>”</w:t>
      </w:r>
      <w:r w:rsidR="00F43669" w:rsidRPr="00F43669">
        <w:rPr>
          <w:lang w:val="fr-FR"/>
        </w:rPr>
        <w:t>, on entend une opération de transport routier entreprise au moyen d</w:t>
      </w:r>
      <w:r w:rsidR="00F43669">
        <w:rPr>
          <w:lang w:val="fr-FR"/>
        </w:rPr>
        <w:t>’</w:t>
      </w:r>
      <w:r w:rsidR="00F43669" w:rsidRPr="00F43669">
        <w:rPr>
          <w:lang w:val="fr-FR"/>
        </w:rPr>
        <w:t>un véhicule chargé ou non, immatriculé dans un pays, dont le point de départ se situe dans le pays d</w:t>
      </w:r>
      <w:r w:rsidR="00F43669">
        <w:rPr>
          <w:lang w:val="fr-FR"/>
        </w:rPr>
        <w:t>’</w:t>
      </w:r>
      <w:r w:rsidR="00F43669" w:rsidRPr="00F43669">
        <w:rPr>
          <w:lang w:val="fr-FR"/>
        </w:rPr>
        <w:t>immatriculation du véhicule et dont la destination se trouve sur le territoire d</w:t>
      </w:r>
      <w:r w:rsidR="00F43669">
        <w:rPr>
          <w:lang w:val="fr-FR"/>
        </w:rPr>
        <w:t>’</w:t>
      </w:r>
      <w:r w:rsidR="00F43669" w:rsidRPr="00F43669">
        <w:rPr>
          <w:lang w:val="fr-FR"/>
        </w:rPr>
        <w:t>un autre pays, ou vice-versa. Le pays d</w:t>
      </w:r>
      <w:r w:rsidR="00F43669">
        <w:rPr>
          <w:lang w:val="fr-FR"/>
        </w:rPr>
        <w:t>’</w:t>
      </w:r>
      <w:r w:rsidR="00F43669" w:rsidRPr="00F43669">
        <w:rPr>
          <w:lang w:val="fr-FR"/>
        </w:rPr>
        <w:t>origine des marchandises ou le pays du destinataire des marchandises peut être n</w:t>
      </w:r>
      <w:r w:rsidR="00F43669">
        <w:rPr>
          <w:lang w:val="fr-FR"/>
        </w:rPr>
        <w:t>’</w:t>
      </w:r>
      <w:r w:rsidR="00F43669" w:rsidRPr="00F43669">
        <w:rPr>
          <w:lang w:val="fr-FR"/>
        </w:rPr>
        <w:t>importe quel pays, l</w:t>
      </w:r>
      <w:r w:rsidR="00F43669">
        <w:rPr>
          <w:lang w:val="fr-FR"/>
        </w:rPr>
        <w:t>’</w:t>
      </w:r>
      <w:r w:rsidR="00F43669" w:rsidRPr="00F43669">
        <w:rPr>
          <w:lang w:val="fr-FR"/>
        </w:rPr>
        <w:t>un au moins d</w:t>
      </w:r>
      <w:r w:rsidR="00F43669">
        <w:rPr>
          <w:lang w:val="fr-FR"/>
        </w:rPr>
        <w:t>’</w:t>
      </w:r>
      <w:r w:rsidR="00F43669" w:rsidRPr="00F43669">
        <w:rPr>
          <w:lang w:val="fr-FR"/>
        </w:rPr>
        <w:t>entre eux devan</w:t>
      </w:r>
      <w:r>
        <w:rPr>
          <w:lang w:val="fr-FR"/>
        </w:rPr>
        <w:t>t être un État membre de la CEE</w:t>
      </w:r>
      <w:r w:rsidR="00CC4417">
        <w:rPr>
          <w:lang w:val="fr-FR"/>
        </w:rPr>
        <w:t>.</w:t>
      </w:r>
      <w:r>
        <w:rPr>
          <w:lang w:val="fr-FR"/>
        </w:rPr>
        <w:t> »</w:t>
      </w:r>
      <w:r w:rsidR="00F43669" w:rsidRPr="00F43669">
        <w:rPr>
          <w:lang w:val="fr-FR"/>
        </w:rPr>
        <w:t>.</w:t>
      </w:r>
    </w:p>
    <w:p w:rsidR="00F43669" w:rsidRPr="00F43669" w:rsidRDefault="00606132" w:rsidP="00606132">
      <w:pPr>
        <w:pStyle w:val="HChG"/>
      </w:pPr>
      <w:r>
        <w:rPr>
          <w:lang w:val="fr-FR"/>
        </w:rPr>
        <w:tab/>
        <w:t>IX.</w:t>
      </w:r>
      <w:r>
        <w:rPr>
          <w:lang w:val="fr-FR"/>
        </w:rPr>
        <w:tab/>
      </w:r>
      <w:r w:rsidR="00F43669" w:rsidRPr="00F43669">
        <w:rPr>
          <w:lang w:val="fr-FR"/>
        </w:rPr>
        <w:t>Groupe d</w:t>
      </w:r>
      <w:r w:rsidR="00F43669">
        <w:rPr>
          <w:lang w:val="fr-FR"/>
        </w:rPr>
        <w:t>’</w:t>
      </w:r>
      <w:r w:rsidR="00F43669" w:rsidRPr="00F43669">
        <w:rPr>
          <w:lang w:val="fr-FR"/>
        </w:rPr>
        <w:t>experts de la sécurité aux passages à niveau</w:t>
      </w:r>
    </w:p>
    <w:p w:rsidR="00F43669" w:rsidRPr="00F43669" w:rsidRDefault="00F43669" w:rsidP="00F43669">
      <w:pPr>
        <w:pStyle w:val="SingleTxtG"/>
      </w:pPr>
      <w:r w:rsidRPr="00F43669">
        <w:rPr>
          <w:lang w:val="fr-FR"/>
        </w:rPr>
        <w:t>47.</w:t>
      </w:r>
      <w:r w:rsidRPr="00F43669">
        <w:rPr>
          <w:lang w:val="fr-FR"/>
        </w:rPr>
        <w:tab/>
        <w:t>Le secrétariat a indiqué qu</w:t>
      </w:r>
      <w:r>
        <w:rPr>
          <w:lang w:val="fr-FR"/>
        </w:rPr>
        <w:t>’</w:t>
      </w:r>
      <w:r w:rsidRPr="00F43669">
        <w:rPr>
          <w:lang w:val="fr-FR"/>
        </w:rPr>
        <w:t>en l</w:t>
      </w:r>
      <w:r>
        <w:rPr>
          <w:lang w:val="fr-FR"/>
        </w:rPr>
        <w:t>’</w:t>
      </w:r>
      <w:r w:rsidRPr="00F43669">
        <w:rPr>
          <w:lang w:val="fr-FR"/>
        </w:rPr>
        <w:t>absence de réponses positives de la part de l</w:t>
      </w:r>
      <w:r>
        <w:rPr>
          <w:lang w:val="fr-FR"/>
        </w:rPr>
        <w:t>’</w:t>
      </w:r>
      <w:r w:rsidRPr="00F43669">
        <w:rPr>
          <w:lang w:val="fr-FR"/>
        </w:rPr>
        <w:t>Union internationale des chemins de fer (UIC) et de l</w:t>
      </w:r>
      <w:r>
        <w:rPr>
          <w:lang w:val="fr-FR"/>
        </w:rPr>
        <w:t>’</w:t>
      </w:r>
      <w:r w:rsidRPr="00F43669">
        <w:rPr>
          <w:lang w:val="fr-FR"/>
        </w:rPr>
        <w:t>Agence de l</w:t>
      </w:r>
      <w:r>
        <w:rPr>
          <w:lang w:val="fr-FR"/>
        </w:rPr>
        <w:t>’</w:t>
      </w:r>
      <w:r w:rsidRPr="00F43669">
        <w:rPr>
          <w:lang w:val="fr-FR"/>
        </w:rPr>
        <w:t>Union européenne pour les chemins de fer (ERA), ce point devrait être retiré de l</w:t>
      </w:r>
      <w:r>
        <w:rPr>
          <w:lang w:val="fr-FR"/>
        </w:rPr>
        <w:t>’</w:t>
      </w:r>
      <w:r w:rsidRPr="00F43669">
        <w:rPr>
          <w:lang w:val="fr-FR"/>
        </w:rPr>
        <w:t>ordre du jour du SC.1 jusqu</w:t>
      </w:r>
      <w:r>
        <w:rPr>
          <w:lang w:val="fr-FR"/>
        </w:rPr>
        <w:t>’</w:t>
      </w:r>
      <w:r w:rsidRPr="00F43669">
        <w:rPr>
          <w:lang w:val="fr-FR"/>
        </w:rPr>
        <w:t>à un regain d</w:t>
      </w:r>
      <w:r>
        <w:rPr>
          <w:lang w:val="fr-FR"/>
        </w:rPr>
        <w:t>’</w:t>
      </w:r>
      <w:r w:rsidRPr="00F43669">
        <w:rPr>
          <w:lang w:val="fr-FR"/>
        </w:rPr>
        <w:t>intérêt ultérieur. Le secrétariat a également présenté le panneau donnant pour instruction d</w:t>
      </w:r>
      <w:r>
        <w:rPr>
          <w:lang w:val="fr-FR"/>
        </w:rPr>
        <w:t>’</w:t>
      </w:r>
      <w:r w:rsidRPr="00F43669">
        <w:rPr>
          <w:lang w:val="fr-FR"/>
        </w:rPr>
        <w:t>enfoncer les barrières qui avait été mis au point par le Groupe d</w:t>
      </w:r>
      <w:r>
        <w:rPr>
          <w:lang w:val="fr-FR"/>
        </w:rPr>
        <w:t>’</w:t>
      </w:r>
      <w:r w:rsidRPr="00F43669">
        <w:rPr>
          <w:lang w:val="fr-FR"/>
        </w:rPr>
        <w:t>experts de la signalisation routière du Forum mondial de la sécurité routière.</w:t>
      </w:r>
    </w:p>
    <w:p w:rsidR="00F43669" w:rsidRPr="00F43669" w:rsidRDefault="00606132" w:rsidP="00606132">
      <w:pPr>
        <w:pStyle w:val="HChG"/>
      </w:pPr>
      <w:r>
        <w:rPr>
          <w:lang w:val="fr-FR"/>
        </w:rPr>
        <w:tab/>
        <w:t>X.</w:t>
      </w:r>
      <w:r>
        <w:rPr>
          <w:lang w:val="fr-FR"/>
        </w:rPr>
        <w:tab/>
      </w:r>
      <w:r w:rsidR="00F43669" w:rsidRPr="00F43669">
        <w:rPr>
          <w:lang w:val="fr-FR"/>
        </w:rPr>
        <w:t>Révision du mandat et du Règlement intérieur du SC.1</w:t>
      </w:r>
    </w:p>
    <w:p w:rsidR="00F43669" w:rsidRPr="00F43669" w:rsidRDefault="00F43669" w:rsidP="00F43669">
      <w:pPr>
        <w:pStyle w:val="SingleTxtG"/>
      </w:pPr>
      <w:r w:rsidRPr="00F43669">
        <w:rPr>
          <w:lang w:val="fr-FR"/>
        </w:rPr>
        <w:t>48.</w:t>
      </w:r>
      <w:r w:rsidRPr="00F43669">
        <w:rPr>
          <w:lang w:val="fr-FR"/>
        </w:rPr>
        <w:tab/>
        <w:t>En 2016, l</w:t>
      </w:r>
      <w:r>
        <w:rPr>
          <w:lang w:val="fr-FR"/>
        </w:rPr>
        <w:t>’</w:t>
      </w:r>
      <w:r w:rsidRPr="00F43669">
        <w:rPr>
          <w:lang w:val="fr-FR"/>
        </w:rPr>
        <w:t xml:space="preserve">Allemagne et la Belgique ont soumis une proposition de modification du mandat et du Règlement intérieur du SC.1 (documents informels </w:t>
      </w:r>
      <w:r w:rsidR="00606132" w:rsidRPr="00606132">
        <w:rPr>
          <w:rFonts w:eastAsia="MS Mincho"/>
          <w:szCs w:val="22"/>
          <w:lang w:val="fr-FR"/>
        </w:rPr>
        <w:t>n</w:t>
      </w:r>
      <w:r w:rsidR="00606132" w:rsidRPr="00606132">
        <w:rPr>
          <w:rFonts w:eastAsia="MS Mincho"/>
          <w:szCs w:val="22"/>
          <w:vertAlign w:val="superscript"/>
          <w:lang w:val="fr-FR"/>
        </w:rPr>
        <w:t>o</w:t>
      </w:r>
      <w:r w:rsidR="00606132">
        <w:rPr>
          <w:rFonts w:eastAsia="MS Mincho"/>
          <w:szCs w:val="22"/>
          <w:vertAlign w:val="superscript"/>
          <w:lang w:val="fr-FR"/>
        </w:rPr>
        <w:t>s</w:t>
      </w:r>
      <w:r w:rsidR="00606132">
        <w:rPr>
          <w:lang w:val="fr-FR"/>
        </w:rPr>
        <w:t> </w:t>
      </w:r>
      <w:r w:rsidRPr="00F43669">
        <w:rPr>
          <w:lang w:val="fr-FR"/>
        </w:rPr>
        <w:t xml:space="preserve">3 et 4 (2016)). </w:t>
      </w:r>
    </w:p>
    <w:p w:rsidR="00F43669" w:rsidRPr="00F43669" w:rsidRDefault="00F43669" w:rsidP="00F43669">
      <w:pPr>
        <w:pStyle w:val="SingleTxtG"/>
      </w:pPr>
      <w:r w:rsidRPr="00F43669">
        <w:rPr>
          <w:lang w:val="fr-FR"/>
        </w:rPr>
        <w:t>49.</w:t>
      </w:r>
      <w:r w:rsidRPr="00F43669">
        <w:rPr>
          <w:lang w:val="fr-FR"/>
        </w:rPr>
        <w:tab/>
        <w:t>Le SC.1 a décidé de reporter ses débats jusqu</w:t>
      </w:r>
      <w:r>
        <w:rPr>
          <w:lang w:val="fr-FR"/>
        </w:rPr>
        <w:t>’</w:t>
      </w:r>
      <w:r w:rsidRPr="00F43669">
        <w:rPr>
          <w:lang w:val="fr-FR"/>
        </w:rPr>
        <w:t>à ce que le Forum mondial de la sécurité routière adopte un nouveau mandat et un nouveau règlement intérieur qui pourraient être utilisés comme modèles pour son futur mandat.</w:t>
      </w:r>
    </w:p>
    <w:p w:rsidR="00F43669" w:rsidRPr="00F43669" w:rsidRDefault="00606132" w:rsidP="00606132">
      <w:pPr>
        <w:pStyle w:val="HChG"/>
      </w:pPr>
      <w:r>
        <w:rPr>
          <w:lang w:val="fr-FR"/>
        </w:rPr>
        <w:tab/>
      </w:r>
      <w:r w:rsidR="00F43669" w:rsidRPr="00F43669">
        <w:rPr>
          <w:lang w:val="fr-FR"/>
        </w:rPr>
        <w:t>XI.</w:t>
      </w:r>
      <w:r w:rsidR="00F43669" w:rsidRPr="00F43669">
        <w:rPr>
          <w:lang w:val="fr-FR"/>
        </w:rPr>
        <w:tab/>
        <w:t>Questions diverses</w:t>
      </w:r>
    </w:p>
    <w:p w:rsidR="00F43669" w:rsidRPr="00F43669" w:rsidRDefault="00F43669" w:rsidP="00606132">
      <w:pPr>
        <w:pStyle w:val="SingleTxtG"/>
      </w:pPr>
      <w:r w:rsidRPr="00F43669">
        <w:rPr>
          <w:lang w:val="fr-FR"/>
        </w:rPr>
        <w:t>50.</w:t>
      </w:r>
      <w:r w:rsidRPr="00F43669">
        <w:rPr>
          <w:lang w:val="fr-FR"/>
        </w:rPr>
        <w:tab/>
        <w:t>Aucune question n</w:t>
      </w:r>
      <w:r>
        <w:rPr>
          <w:lang w:val="fr-FR"/>
        </w:rPr>
        <w:t>’</w:t>
      </w:r>
      <w:r w:rsidRPr="00F43669">
        <w:rPr>
          <w:lang w:val="fr-FR"/>
        </w:rPr>
        <w:t>a été soulevée au titre de ce point de l</w:t>
      </w:r>
      <w:r>
        <w:rPr>
          <w:lang w:val="fr-FR"/>
        </w:rPr>
        <w:t>’</w:t>
      </w:r>
      <w:r w:rsidRPr="00F43669">
        <w:rPr>
          <w:lang w:val="fr-FR"/>
        </w:rPr>
        <w:t>ordre du jour.</w:t>
      </w:r>
    </w:p>
    <w:p w:rsidR="00F43669" w:rsidRPr="00F43669" w:rsidRDefault="00606132" w:rsidP="00606132">
      <w:pPr>
        <w:pStyle w:val="HChG"/>
      </w:pPr>
      <w:r>
        <w:rPr>
          <w:lang w:val="fr-FR"/>
        </w:rPr>
        <w:tab/>
        <w:t>XII.</w:t>
      </w:r>
      <w:r w:rsidR="00F43669" w:rsidRPr="00F43669">
        <w:rPr>
          <w:lang w:val="fr-FR"/>
        </w:rPr>
        <w:tab/>
        <w:t>Date de la prochaine session</w:t>
      </w:r>
    </w:p>
    <w:p w:rsidR="00F43669" w:rsidRPr="00F43669" w:rsidRDefault="00F43669" w:rsidP="00F43669">
      <w:pPr>
        <w:pStyle w:val="SingleTxtG"/>
      </w:pPr>
      <w:r w:rsidRPr="00F43669">
        <w:rPr>
          <w:lang w:val="fr-FR"/>
        </w:rPr>
        <w:t>51.</w:t>
      </w:r>
      <w:r w:rsidRPr="00F43669">
        <w:rPr>
          <w:lang w:val="fr-FR"/>
        </w:rPr>
        <w:tab/>
        <w:t>La prochaine session du SC.1 se tiendra du 16 au 18</w:t>
      </w:r>
      <w:r w:rsidR="00606132">
        <w:rPr>
          <w:lang w:val="fr-FR"/>
        </w:rPr>
        <w:t> </w:t>
      </w:r>
      <w:r w:rsidRPr="00F43669">
        <w:rPr>
          <w:lang w:val="fr-FR"/>
        </w:rPr>
        <w:t>octobre 2019, à Genève.</w:t>
      </w:r>
    </w:p>
    <w:p w:rsidR="00F43669" w:rsidRPr="00F43669" w:rsidRDefault="00606132" w:rsidP="00606132">
      <w:pPr>
        <w:pStyle w:val="HChG"/>
      </w:pPr>
      <w:r>
        <w:rPr>
          <w:lang w:val="fr-FR"/>
        </w:rPr>
        <w:tab/>
      </w:r>
      <w:r w:rsidR="00F43669" w:rsidRPr="00F43669">
        <w:rPr>
          <w:lang w:val="fr-FR"/>
        </w:rPr>
        <w:t>XIII.</w:t>
      </w:r>
      <w:r w:rsidR="00F43669" w:rsidRPr="00F43669">
        <w:rPr>
          <w:lang w:val="fr-FR"/>
        </w:rPr>
        <w:tab/>
        <w:t>Élection du Bureau</w:t>
      </w:r>
    </w:p>
    <w:p w:rsidR="00F43669" w:rsidRPr="00F43669" w:rsidRDefault="00F43669" w:rsidP="00F43669">
      <w:pPr>
        <w:pStyle w:val="SingleTxtG"/>
      </w:pPr>
      <w:r w:rsidRPr="00F43669">
        <w:rPr>
          <w:lang w:val="fr-FR"/>
        </w:rPr>
        <w:t>52.</w:t>
      </w:r>
      <w:r w:rsidRPr="00F43669">
        <w:rPr>
          <w:lang w:val="fr-FR"/>
        </w:rPr>
        <w:tab/>
        <w:t>Le Groupe de travail a désigné les membres de son Bureau pour la période allant de n</w:t>
      </w:r>
      <w:r w:rsidR="00606132">
        <w:rPr>
          <w:lang w:val="fr-FR"/>
        </w:rPr>
        <w:t>ovembre 2018 à octobre 2020. M. </w:t>
      </w:r>
      <w:r w:rsidRPr="00F43669">
        <w:rPr>
          <w:lang w:val="fr-FR"/>
        </w:rPr>
        <w:t>R.</w:t>
      </w:r>
      <w:r w:rsidR="00606132">
        <w:rPr>
          <w:lang w:val="fr-FR"/>
        </w:rPr>
        <w:t> </w:t>
      </w:r>
      <w:proofErr w:type="spellStart"/>
      <w:r w:rsidRPr="00F43669">
        <w:rPr>
          <w:lang w:val="fr-FR"/>
        </w:rPr>
        <w:t>Symone</w:t>
      </w:r>
      <w:r w:rsidR="00606132">
        <w:rPr>
          <w:lang w:val="fr-FR"/>
        </w:rPr>
        <w:t>nko</w:t>
      </w:r>
      <w:proofErr w:type="spellEnd"/>
      <w:r w:rsidR="00606132">
        <w:rPr>
          <w:lang w:val="fr-FR"/>
        </w:rPr>
        <w:t xml:space="preserve"> (Ukraine) est Président, M. K. </w:t>
      </w:r>
      <w:proofErr w:type="spellStart"/>
      <w:r w:rsidRPr="00F43669">
        <w:rPr>
          <w:lang w:val="fr-FR"/>
        </w:rPr>
        <w:t>Lewczak</w:t>
      </w:r>
      <w:proofErr w:type="spellEnd"/>
      <w:r w:rsidRPr="00F43669">
        <w:rPr>
          <w:lang w:val="fr-FR"/>
        </w:rPr>
        <w:t xml:space="preserve"> (Pologne) Vice-Président et M.</w:t>
      </w:r>
      <w:r w:rsidR="00606132">
        <w:rPr>
          <w:lang w:val="fr-FR"/>
        </w:rPr>
        <w:t> </w:t>
      </w:r>
      <w:r w:rsidRPr="00F43669">
        <w:rPr>
          <w:lang w:val="fr-FR"/>
        </w:rPr>
        <w:t>D. de Groot (Pays-Bas) Vice-Président.</w:t>
      </w:r>
    </w:p>
    <w:p w:rsidR="00F43669" w:rsidRPr="00F43669" w:rsidRDefault="00606132" w:rsidP="00606132">
      <w:pPr>
        <w:pStyle w:val="HChG"/>
      </w:pPr>
      <w:r>
        <w:rPr>
          <w:lang w:val="fr-FR"/>
        </w:rPr>
        <w:tab/>
      </w:r>
      <w:r w:rsidR="00F43669" w:rsidRPr="00F43669">
        <w:rPr>
          <w:lang w:val="fr-FR"/>
        </w:rPr>
        <w:t>XIV.</w:t>
      </w:r>
      <w:r w:rsidR="00F43669" w:rsidRPr="00F43669">
        <w:rPr>
          <w:lang w:val="fr-FR"/>
        </w:rPr>
        <w:tab/>
        <w:t>Adoption du rapport</w:t>
      </w:r>
    </w:p>
    <w:p w:rsidR="00F43669" w:rsidRPr="00F43669" w:rsidRDefault="00F43669" w:rsidP="00606132">
      <w:pPr>
        <w:pStyle w:val="SingleTxtG"/>
      </w:pPr>
      <w:r w:rsidRPr="00F43669">
        <w:rPr>
          <w:lang w:val="fr-FR"/>
        </w:rPr>
        <w:t>53.</w:t>
      </w:r>
      <w:r w:rsidRPr="00F43669">
        <w:rPr>
          <w:lang w:val="fr-FR"/>
        </w:rPr>
        <w:tab/>
        <w:t>Le Groupe de travail a adopté le rapport de cette session.</w:t>
      </w:r>
    </w:p>
    <w:p w:rsidR="00F43669" w:rsidRPr="00F43669" w:rsidRDefault="00F43669" w:rsidP="00606132">
      <w:pPr>
        <w:pStyle w:val="HChG"/>
      </w:pPr>
      <w:r w:rsidRPr="00F43669">
        <w:br w:type="page"/>
      </w:r>
      <w:r w:rsidRPr="00F43669">
        <w:rPr>
          <w:lang w:val="fr-FR"/>
        </w:rPr>
        <w:lastRenderedPageBreak/>
        <w:t>Annexe</w:t>
      </w:r>
    </w:p>
    <w:p w:rsidR="00F43669" w:rsidRPr="00F43669" w:rsidRDefault="00F43669" w:rsidP="00606132">
      <w:pPr>
        <w:pStyle w:val="HChG"/>
      </w:pPr>
      <w:r w:rsidRPr="00F43669">
        <w:rPr>
          <w:lang w:val="fr-FR"/>
        </w:rPr>
        <w:tab/>
      </w:r>
      <w:r w:rsidRPr="00F43669">
        <w:rPr>
          <w:lang w:val="fr-FR"/>
        </w:rPr>
        <w:tab/>
        <w:t xml:space="preserve">Stratégie du Comité des transports intérieurs </w:t>
      </w:r>
      <w:r w:rsidR="00CC4417">
        <w:rPr>
          <w:lang w:val="fr-FR"/>
        </w:rPr>
        <w:br/>
      </w:r>
      <w:r w:rsidRPr="00F43669">
        <w:rPr>
          <w:lang w:val="fr-FR"/>
        </w:rPr>
        <w:t>à l</w:t>
      </w:r>
      <w:r>
        <w:rPr>
          <w:lang w:val="fr-FR"/>
        </w:rPr>
        <w:t>’</w:t>
      </w:r>
      <w:r w:rsidRPr="00F43669">
        <w:rPr>
          <w:lang w:val="fr-FR"/>
        </w:rPr>
        <w:t>horizon 2030</w:t>
      </w:r>
    </w:p>
    <w:p w:rsidR="00F43669" w:rsidRPr="00F43669" w:rsidRDefault="00F43669" w:rsidP="00F43669">
      <w:pPr>
        <w:pStyle w:val="SingleTxtG"/>
      </w:pPr>
      <w:r w:rsidRPr="00F43669">
        <w:rPr>
          <w:lang w:val="fr-FR"/>
        </w:rPr>
        <w:t>Le Groupe de travail des transports routiers (SC.1) appuie la stratégie proposée dans le document ECE/TRANS/2019/R.1 (ébauche de la stratégie du Comité des transports intérieurs). Le SC.1 se félicite également de l</w:t>
      </w:r>
      <w:r>
        <w:rPr>
          <w:lang w:val="fr-FR"/>
        </w:rPr>
        <w:t>’</w:t>
      </w:r>
      <w:r w:rsidRPr="00F43669">
        <w:rPr>
          <w:lang w:val="fr-FR"/>
        </w:rPr>
        <w:t>occasion qui lui est donnée de formuler les observations suivantes sur la stratégie</w:t>
      </w:r>
      <w:r w:rsidR="00606132">
        <w:rPr>
          <w:lang w:val="fr-FR"/>
        </w:rPr>
        <w:t> </w:t>
      </w:r>
      <w:r w:rsidRPr="00F43669">
        <w:rPr>
          <w:lang w:val="fr-FR"/>
        </w:rPr>
        <w:t>:</w:t>
      </w:r>
    </w:p>
    <w:p w:rsidR="00F43669" w:rsidRPr="00F43669" w:rsidRDefault="00F43669" w:rsidP="00606132">
      <w:pPr>
        <w:pStyle w:val="Bullet1G"/>
      </w:pPr>
      <w:r w:rsidRPr="00F43669">
        <w:rPr>
          <w:lang w:val="fr-FR"/>
        </w:rPr>
        <w:t>La stratégie tient dûment compte des scénarios de transport modernes et des problèmes nouveaux, ainsi que de l</w:t>
      </w:r>
      <w:r>
        <w:rPr>
          <w:lang w:val="fr-FR"/>
        </w:rPr>
        <w:t>’</w:t>
      </w:r>
      <w:r w:rsidRPr="00F43669">
        <w:rPr>
          <w:lang w:val="fr-FR"/>
        </w:rPr>
        <w:t>aide qu</w:t>
      </w:r>
      <w:r>
        <w:rPr>
          <w:lang w:val="fr-FR"/>
        </w:rPr>
        <w:t>’</w:t>
      </w:r>
      <w:r w:rsidRPr="00F43669">
        <w:rPr>
          <w:lang w:val="fr-FR"/>
        </w:rPr>
        <w:t>apporte la CEE aux Éta</w:t>
      </w:r>
      <w:r w:rsidR="00606132">
        <w:rPr>
          <w:lang w:val="fr-FR"/>
        </w:rPr>
        <w:t>ts membres face à ces problèmes </w:t>
      </w:r>
      <w:r w:rsidRPr="00F43669">
        <w:rPr>
          <w:lang w:val="fr-FR"/>
        </w:rPr>
        <w:t>;</w:t>
      </w:r>
    </w:p>
    <w:p w:rsidR="00F43669" w:rsidRPr="00F43669" w:rsidRDefault="00F43669" w:rsidP="00F43669">
      <w:pPr>
        <w:pStyle w:val="SingleTxtG"/>
        <w:numPr>
          <w:ilvl w:val="0"/>
          <w:numId w:val="17"/>
        </w:numPr>
      </w:pPr>
      <w:r w:rsidRPr="00F43669">
        <w:rPr>
          <w:lang w:val="fr-FR"/>
        </w:rPr>
        <w:t>Le SC.1 appuie la numérisation des systèmes de transport et des documents et en souligne l</w:t>
      </w:r>
      <w:r>
        <w:rPr>
          <w:lang w:val="fr-FR"/>
        </w:rPr>
        <w:t>’</w:t>
      </w:r>
      <w:r w:rsidRPr="00F43669">
        <w:rPr>
          <w:lang w:val="fr-FR"/>
        </w:rPr>
        <w:t>importance pour la sécurité routière, les questions environnementales, l</w:t>
      </w:r>
      <w:r>
        <w:rPr>
          <w:lang w:val="fr-FR"/>
        </w:rPr>
        <w:t>’</w:t>
      </w:r>
      <w:r w:rsidRPr="00F43669">
        <w:rPr>
          <w:lang w:val="fr-FR"/>
        </w:rPr>
        <w:t>efficacité et la sécurité</w:t>
      </w:r>
      <w:r w:rsidR="00606132">
        <w:rPr>
          <w:lang w:val="fr-FR"/>
        </w:rPr>
        <w:t> </w:t>
      </w:r>
      <w:r w:rsidRPr="00F43669">
        <w:rPr>
          <w:lang w:val="fr-FR"/>
        </w:rPr>
        <w:t>;</w:t>
      </w:r>
    </w:p>
    <w:p w:rsidR="00F43669" w:rsidRPr="00F43669" w:rsidRDefault="00F43669" w:rsidP="00F43669">
      <w:pPr>
        <w:pStyle w:val="SingleTxtG"/>
        <w:numPr>
          <w:ilvl w:val="0"/>
          <w:numId w:val="17"/>
        </w:numPr>
      </w:pPr>
      <w:r w:rsidRPr="00F43669">
        <w:rPr>
          <w:lang w:val="fr-FR"/>
        </w:rPr>
        <w:t>Le SC.1 souligne la nécessité de développer les corridors (r</w:t>
      </w:r>
      <w:r w:rsidR="00606132">
        <w:rPr>
          <w:lang w:val="fr-FR"/>
        </w:rPr>
        <w:t xml:space="preserve">outiers) de </w:t>
      </w:r>
      <w:proofErr w:type="gramStart"/>
      <w:r w:rsidR="00606132">
        <w:rPr>
          <w:lang w:val="fr-FR"/>
        </w:rPr>
        <w:t>transport existants</w:t>
      </w:r>
      <w:proofErr w:type="gramEnd"/>
      <w:r w:rsidR="00606132">
        <w:rPr>
          <w:lang w:val="fr-FR"/>
        </w:rPr>
        <w:t> </w:t>
      </w:r>
      <w:r w:rsidRPr="00F43669">
        <w:rPr>
          <w:lang w:val="fr-FR"/>
        </w:rPr>
        <w:t>;</w:t>
      </w:r>
    </w:p>
    <w:p w:rsidR="00F43669" w:rsidRPr="00F43669" w:rsidRDefault="00F43669" w:rsidP="00F43669">
      <w:pPr>
        <w:pStyle w:val="SingleTxtG"/>
        <w:numPr>
          <w:ilvl w:val="0"/>
          <w:numId w:val="17"/>
        </w:numPr>
      </w:pPr>
      <w:r w:rsidRPr="00F43669">
        <w:rPr>
          <w:lang w:val="fr-FR"/>
        </w:rPr>
        <w:t>Le SC.1 souligne la nécessité d</w:t>
      </w:r>
      <w:r>
        <w:rPr>
          <w:lang w:val="fr-FR"/>
        </w:rPr>
        <w:t>’</w:t>
      </w:r>
      <w:r w:rsidRPr="00F43669">
        <w:rPr>
          <w:lang w:val="fr-FR"/>
        </w:rPr>
        <w:t>éliminer les goulets d</w:t>
      </w:r>
      <w:r>
        <w:rPr>
          <w:lang w:val="fr-FR"/>
        </w:rPr>
        <w:t>’</w:t>
      </w:r>
      <w:r w:rsidRPr="00F43669">
        <w:rPr>
          <w:lang w:val="fr-FR"/>
        </w:rPr>
        <w:t>étranglement et les obstacles en appliquant plus efficacement les cadres réglementaires de l</w:t>
      </w:r>
      <w:r>
        <w:rPr>
          <w:lang w:val="fr-FR"/>
        </w:rPr>
        <w:t>’</w:t>
      </w:r>
      <w:r w:rsidRPr="00F43669">
        <w:rPr>
          <w:lang w:val="fr-FR"/>
        </w:rPr>
        <w:t>ONU découlant des conventions et accords internationaux relatifs aux transports</w:t>
      </w:r>
      <w:r w:rsidR="00606132">
        <w:rPr>
          <w:lang w:val="fr-FR"/>
        </w:rPr>
        <w:t> </w:t>
      </w:r>
      <w:r w:rsidRPr="00F43669">
        <w:rPr>
          <w:lang w:val="fr-FR"/>
        </w:rPr>
        <w:t>;</w:t>
      </w:r>
    </w:p>
    <w:p w:rsidR="00F43669" w:rsidRPr="00F43669" w:rsidRDefault="00F43669" w:rsidP="00F43669">
      <w:pPr>
        <w:pStyle w:val="SingleTxtG"/>
        <w:numPr>
          <w:ilvl w:val="0"/>
          <w:numId w:val="17"/>
        </w:numPr>
      </w:pPr>
      <w:r w:rsidRPr="00F43669">
        <w:rPr>
          <w:lang w:val="fr-FR"/>
        </w:rPr>
        <w:t>Le SC.1 recommande d</w:t>
      </w:r>
      <w:r>
        <w:rPr>
          <w:lang w:val="fr-FR"/>
        </w:rPr>
        <w:t>’</w:t>
      </w:r>
      <w:r w:rsidRPr="00F43669">
        <w:rPr>
          <w:lang w:val="fr-FR"/>
        </w:rPr>
        <w:t>intégrer dans la stratégie les avantages qu</w:t>
      </w:r>
      <w:r>
        <w:rPr>
          <w:lang w:val="fr-FR"/>
        </w:rPr>
        <w:t>’</w:t>
      </w:r>
      <w:r w:rsidRPr="00F43669">
        <w:rPr>
          <w:lang w:val="fr-FR"/>
        </w:rPr>
        <w:t>il y a à promouvoir les e-carburants ou les carburants verts pour les véhicules à moteur afin de réduire les émissions de dioxyde de carbone et d</w:t>
      </w:r>
      <w:r>
        <w:rPr>
          <w:lang w:val="fr-FR"/>
        </w:rPr>
        <w:t>’</w:t>
      </w:r>
      <w:r w:rsidR="00606132">
        <w:rPr>
          <w:lang w:val="fr-FR"/>
        </w:rPr>
        <w:t>autres gaz à effet de serre </w:t>
      </w:r>
      <w:r w:rsidRPr="00F43669">
        <w:rPr>
          <w:lang w:val="fr-FR"/>
        </w:rPr>
        <w:t>;</w:t>
      </w:r>
      <w:r w:rsidR="00045BE9">
        <w:rPr>
          <w:lang w:val="fr-FR"/>
        </w:rPr>
        <w:t xml:space="preserve"> </w:t>
      </w:r>
    </w:p>
    <w:p w:rsidR="00F9573C" w:rsidRPr="00606132" w:rsidRDefault="00F43669" w:rsidP="00606132">
      <w:pPr>
        <w:pStyle w:val="Bullet1G"/>
      </w:pPr>
      <w:r w:rsidRPr="00F43669">
        <w:rPr>
          <w:lang w:val="fr-FR"/>
        </w:rPr>
        <w:t>Le SC.1 recommande de faire en sorte que la stratégie tienne compte de la nécessité de veiller à ce que les systèmes de transport soient abordables.</w:t>
      </w:r>
    </w:p>
    <w:p w:rsidR="00606132" w:rsidRPr="00606132" w:rsidRDefault="00606132" w:rsidP="00606132">
      <w:pPr>
        <w:pStyle w:val="SingleTxtG"/>
        <w:spacing w:before="240" w:after="0"/>
        <w:jc w:val="center"/>
        <w:rPr>
          <w:u w:val="single"/>
        </w:rPr>
      </w:pPr>
      <w:r>
        <w:rPr>
          <w:u w:val="single"/>
        </w:rPr>
        <w:tab/>
      </w:r>
      <w:r>
        <w:rPr>
          <w:u w:val="single"/>
        </w:rPr>
        <w:tab/>
      </w:r>
      <w:r>
        <w:rPr>
          <w:u w:val="single"/>
        </w:rPr>
        <w:tab/>
      </w:r>
    </w:p>
    <w:sectPr w:rsidR="00606132" w:rsidRPr="00606132" w:rsidSect="00F436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E9" w:rsidRDefault="00045BE9" w:rsidP="00F95C08">
      <w:pPr>
        <w:spacing w:line="240" w:lineRule="auto"/>
      </w:pPr>
    </w:p>
  </w:endnote>
  <w:endnote w:type="continuationSeparator" w:id="0">
    <w:p w:rsidR="00045BE9" w:rsidRPr="00AC3823" w:rsidRDefault="00045BE9" w:rsidP="00AC3823">
      <w:pPr>
        <w:pStyle w:val="Footer"/>
      </w:pPr>
    </w:p>
  </w:endnote>
  <w:endnote w:type="continuationNotice" w:id="1">
    <w:p w:rsidR="00045BE9" w:rsidRDefault="00045B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E9" w:rsidRPr="00F43669" w:rsidRDefault="00045BE9" w:rsidP="00F43669">
    <w:pPr>
      <w:pStyle w:val="Footer"/>
      <w:tabs>
        <w:tab w:val="right" w:pos="9638"/>
      </w:tabs>
    </w:pPr>
    <w:r w:rsidRPr="00F43669">
      <w:rPr>
        <w:b/>
        <w:sz w:val="18"/>
      </w:rPr>
      <w:fldChar w:fldCharType="begin"/>
    </w:r>
    <w:r w:rsidRPr="00F43669">
      <w:rPr>
        <w:b/>
        <w:sz w:val="18"/>
      </w:rPr>
      <w:instrText xml:space="preserve"> PAGE  \* MERGEFORMAT </w:instrText>
    </w:r>
    <w:r w:rsidRPr="00F43669">
      <w:rPr>
        <w:b/>
        <w:sz w:val="18"/>
      </w:rPr>
      <w:fldChar w:fldCharType="separate"/>
    </w:r>
    <w:r w:rsidR="008440DF">
      <w:rPr>
        <w:b/>
        <w:noProof/>
        <w:sz w:val="18"/>
      </w:rPr>
      <w:t>2</w:t>
    </w:r>
    <w:r w:rsidRPr="00F43669">
      <w:rPr>
        <w:b/>
        <w:sz w:val="18"/>
      </w:rPr>
      <w:fldChar w:fldCharType="end"/>
    </w:r>
    <w:r>
      <w:rPr>
        <w:b/>
        <w:sz w:val="18"/>
      </w:rPr>
      <w:tab/>
    </w:r>
    <w:r>
      <w:t>GE.18-18782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E9" w:rsidRPr="00F43669" w:rsidRDefault="00045BE9" w:rsidP="00F43669">
    <w:pPr>
      <w:pStyle w:val="Footer"/>
      <w:tabs>
        <w:tab w:val="right" w:pos="9638"/>
      </w:tabs>
      <w:rPr>
        <w:b/>
        <w:sz w:val="18"/>
      </w:rPr>
    </w:pPr>
    <w:r>
      <w:t>GE.18-18782</w:t>
    </w:r>
    <w:r>
      <w:tab/>
    </w:r>
    <w:r w:rsidRPr="00F43669">
      <w:rPr>
        <w:b/>
        <w:sz w:val="18"/>
      </w:rPr>
      <w:fldChar w:fldCharType="begin"/>
    </w:r>
    <w:r w:rsidRPr="00F43669">
      <w:rPr>
        <w:b/>
        <w:sz w:val="18"/>
      </w:rPr>
      <w:instrText xml:space="preserve"> PAGE  \* MERGEFORMAT </w:instrText>
    </w:r>
    <w:r w:rsidRPr="00F43669">
      <w:rPr>
        <w:b/>
        <w:sz w:val="18"/>
      </w:rPr>
      <w:fldChar w:fldCharType="separate"/>
    </w:r>
    <w:r w:rsidR="008440DF">
      <w:rPr>
        <w:b/>
        <w:noProof/>
        <w:sz w:val="18"/>
      </w:rPr>
      <w:t>9</w:t>
    </w:r>
    <w:r w:rsidRPr="00F436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E9" w:rsidRPr="00F43669" w:rsidRDefault="00045BE9" w:rsidP="00F4366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18782</w:t>
    </w:r>
    <w:r w:rsidR="00340B7B">
      <w:rPr>
        <w:sz w:val="20"/>
      </w:rPr>
      <w:t xml:space="preserve"> </w:t>
    </w:r>
    <w:r>
      <w:rPr>
        <w:sz w:val="20"/>
      </w:rPr>
      <w:t xml:space="preserve"> (</w:t>
    </w:r>
    <w:proofErr w:type="gramEnd"/>
    <w:r>
      <w:rPr>
        <w:sz w:val="20"/>
      </w:rPr>
      <w:t>F)</w:t>
    </w:r>
    <w:r w:rsidR="00340B7B">
      <w:rPr>
        <w:sz w:val="20"/>
      </w:rPr>
      <w:t xml:space="preserve">    101218    250119</w:t>
    </w:r>
    <w:r>
      <w:rPr>
        <w:sz w:val="20"/>
      </w:rPr>
      <w:br/>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sidRPr="00F436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SC.1/4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E9" w:rsidRPr="00AC3823" w:rsidRDefault="00045BE9" w:rsidP="00AC3823">
      <w:pPr>
        <w:pStyle w:val="Footer"/>
        <w:tabs>
          <w:tab w:val="right" w:pos="2155"/>
        </w:tabs>
        <w:spacing w:after="80" w:line="240" w:lineRule="atLeast"/>
        <w:ind w:left="680"/>
        <w:rPr>
          <w:u w:val="single"/>
        </w:rPr>
      </w:pPr>
      <w:r>
        <w:rPr>
          <w:u w:val="single"/>
        </w:rPr>
        <w:tab/>
      </w:r>
    </w:p>
  </w:footnote>
  <w:footnote w:type="continuationSeparator" w:id="0">
    <w:p w:rsidR="00045BE9" w:rsidRPr="00AC3823" w:rsidRDefault="00045BE9" w:rsidP="00AC3823">
      <w:pPr>
        <w:pStyle w:val="Footer"/>
        <w:tabs>
          <w:tab w:val="right" w:pos="2155"/>
        </w:tabs>
        <w:spacing w:after="80" w:line="240" w:lineRule="atLeast"/>
        <w:ind w:left="680"/>
        <w:rPr>
          <w:u w:val="single"/>
        </w:rPr>
      </w:pPr>
      <w:r>
        <w:rPr>
          <w:u w:val="single"/>
        </w:rPr>
        <w:tab/>
      </w:r>
    </w:p>
  </w:footnote>
  <w:footnote w:type="continuationNotice" w:id="1">
    <w:p w:rsidR="00045BE9" w:rsidRPr="00AC3823" w:rsidRDefault="00045BE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E9" w:rsidRPr="00F43669" w:rsidRDefault="004741E5">
    <w:pPr>
      <w:pStyle w:val="Header"/>
    </w:pPr>
    <w:r>
      <w:fldChar w:fldCharType="begin"/>
    </w:r>
    <w:r>
      <w:instrText xml:space="preserve"> TITLE  \* MERGEFORMAT </w:instrText>
    </w:r>
    <w:r>
      <w:fldChar w:fldCharType="separate"/>
    </w:r>
    <w:r w:rsidR="008440DF">
      <w:t>ECE/TRANS/SC.1/410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E9" w:rsidRPr="00F43669" w:rsidRDefault="004741E5" w:rsidP="00F43669">
    <w:pPr>
      <w:pStyle w:val="Header"/>
      <w:jc w:val="right"/>
    </w:pPr>
    <w:r>
      <w:fldChar w:fldCharType="begin"/>
    </w:r>
    <w:r>
      <w:instrText xml:space="preserve"> TITLE  \* MERGEFORMAT </w:instrText>
    </w:r>
    <w:r>
      <w:fldChar w:fldCharType="separate"/>
    </w:r>
    <w:r w:rsidR="008440DF">
      <w:t>ECE/TRANS/SC.1/410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3F0"/>
    <w:rsid w:val="00017F94"/>
    <w:rsid w:val="00023842"/>
    <w:rsid w:val="00027577"/>
    <w:rsid w:val="000334F9"/>
    <w:rsid w:val="00045BE9"/>
    <w:rsid w:val="00045FEB"/>
    <w:rsid w:val="00071ED3"/>
    <w:rsid w:val="0007796D"/>
    <w:rsid w:val="000A0D56"/>
    <w:rsid w:val="000B7790"/>
    <w:rsid w:val="00111F2F"/>
    <w:rsid w:val="0014365E"/>
    <w:rsid w:val="00143C66"/>
    <w:rsid w:val="00176178"/>
    <w:rsid w:val="001F525A"/>
    <w:rsid w:val="00223272"/>
    <w:rsid w:val="0024779E"/>
    <w:rsid w:val="00257168"/>
    <w:rsid w:val="002744B8"/>
    <w:rsid w:val="002832AC"/>
    <w:rsid w:val="002D63F0"/>
    <w:rsid w:val="002D7C93"/>
    <w:rsid w:val="00305801"/>
    <w:rsid w:val="00340B7B"/>
    <w:rsid w:val="003916DE"/>
    <w:rsid w:val="00421996"/>
    <w:rsid w:val="00441C3B"/>
    <w:rsid w:val="00446FE5"/>
    <w:rsid w:val="00452396"/>
    <w:rsid w:val="004741E5"/>
    <w:rsid w:val="004837D8"/>
    <w:rsid w:val="004E2EED"/>
    <w:rsid w:val="004E468C"/>
    <w:rsid w:val="005505B7"/>
    <w:rsid w:val="00573BE5"/>
    <w:rsid w:val="00586ED3"/>
    <w:rsid w:val="00596AA9"/>
    <w:rsid w:val="005C6156"/>
    <w:rsid w:val="00606132"/>
    <w:rsid w:val="006D2276"/>
    <w:rsid w:val="0071601D"/>
    <w:rsid w:val="007A62E6"/>
    <w:rsid w:val="007A7A30"/>
    <w:rsid w:val="007F20FA"/>
    <w:rsid w:val="0080684C"/>
    <w:rsid w:val="008440DF"/>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C4417"/>
    <w:rsid w:val="00D3439C"/>
    <w:rsid w:val="00DB1831"/>
    <w:rsid w:val="00DD3BFD"/>
    <w:rsid w:val="00DF6678"/>
    <w:rsid w:val="00E0299A"/>
    <w:rsid w:val="00E85C74"/>
    <w:rsid w:val="00E87903"/>
    <w:rsid w:val="00EA6547"/>
    <w:rsid w:val="00EF2E22"/>
    <w:rsid w:val="00F35BAF"/>
    <w:rsid w:val="00F4366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1C195-7AE7-4A84-9C1F-BABD653A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3464</Words>
  <Characters>19750</Characters>
  <Application>Microsoft Office Word</Application>
  <DocSecurity>4</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ECE/TRANS/SC.1/410</vt:lpstr>
      <vt:lpstr>ECE/TRANS/SC.1/410</vt:lpstr>
    </vt:vector>
  </TitlesOfParts>
  <Company>DCM</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ECE/TRANS/SC.1/410</dc:title>
  <dc:subject/>
  <dc:creator>Fabienne CRELIER</dc:creator>
  <cp:keywords/>
  <cp:lastModifiedBy>Josephine Ayiku</cp:lastModifiedBy>
  <cp:revision>2</cp:revision>
  <cp:lastPrinted>2019-01-24T16:11:00Z</cp:lastPrinted>
  <dcterms:created xsi:type="dcterms:W3CDTF">2019-01-25T13:48:00Z</dcterms:created>
  <dcterms:modified xsi:type="dcterms:W3CDTF">2019-01-25T13:48:00Z</dcterms:modified>
</cp:coreProperties>
</file>