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A521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A5218" w:rsidP="00EA5218">
            <w:pPr>
              <w:jc w:val="right"/>
            </w:pPr>
            <w:r w:rsidRPr="00EA5218">
              <w:rPr>
                <w:sz w:val="40"/>
              </w:rPr>
              <w:t>ECE</w:t>
            </w:r>
            <w:r>
              <w:t>/TRANS/2019/24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ja-JP"/>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A5218" w:rsidP="00C97039">
            <w:pPr>
              <w:spacing w:before="240"/>
            </w:pPr>
            <w:r>
              <w:t>Distr. générale</w:t>
            </w:r>
          </w:p>
          <w:p w:rsidR="00EA5218" w:rsidRDefault="00EA5218" w:rsidP="00EA5218">
            <w:pPr>
              <w:spacing w:line="240" w:lineRule="exact"/>
            </w:pPr>
            <w:r>
              <w:t>1</w:t>
            </w:r>
            <w:r w:rsidR="00C60233">
              <w:t>1</w:t>
            </w:r>
            <w:r>
              <w:t xml:space="preserve"> décembre 2018</w:t>
            </w:r>
          </w:p>
          <w:p w:rsidR="00EA5218" w:rsidRDefault="00EA5218" w:rsidP="00EA5218">
            <w:pPr>
              <w:spacing w:line="240" w:lineRule="exact"/>
            </w:pPr>
            <w:r>
              <w:t>Français</w:t>
            </w:r>
          </w:p>
          <w:p w:rsidR="00EA5218" w:rsidRPr="00DB58B5" w:rsidRDefault="00EA5218" w:rsidP="00EA5218">
            <w:pPr>
              <w:spacing w:line="240" w:lineRule="exact"/>
            </w:pPr>
            <w:r>
              <w:t>Original</w:t>
            </w:r>
            <w:r w:rsidR="000F2D25">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D287A" w:rsidRPr="004D6CB0" w:rsidRDefault="00DD287A" w:rsidP="00200F9E">
      <w:pPr>
        <w:spacing w:before="120"/>
        <w:rPr>
          <w:b/>
          <w:bCs/>
        </w:rPr>
      </w:pPr>
      <w:r>
        <w:rPr>
          <w:b/>
          <w:bCs/>
          <w:lang w:val="fr-FR"/>
        </w:rPr>
        <w:t>Quatre-vingt-unième session</w:t>
      </w:r>
    </w:p>
    <w:p w:rsidR="00DD287A" w:rsidRPr="004D6CB0" w:rsidRDefault="00DD287A" w:rsidP="00DD287A">
      <w:pPr>
        <w:rPr>
          <w:b/>
          <w:bCs/>
        </w:rPr>
      </w:pPr>
      <w:r>
        <w:rPr>
          <w:lang w:val="fr-FR"/>
        </w:rPr>
        <w:t>Genève, 19-22 février 2019</w:t>
      </w:r>
      <w:r w:rsidR="000F2D25">
        <w:rPr>
          <w:lang w:val="fr-FR"/>
        </w:rPr>
        <w:t xml:space="preserve"> </w:t>
      </w:r>
      <w:r>
        <w:rPr>
          <w:lang w:val="fr-FR"/>
        </w:rPr>
        <w:br/>
        <w:t>Point 12 de l’ordre du jour provisoire</w:t>
      </w:r>
      <w:r w:rsidR="000F2D25">
        <w:rPr>
          <w:lang w:val="fr-FR"/>
        </w:rPr>
        <w:t xml:space="preserve"> </w:t>
      </w:r>
      <w:r>
        <w:rPr>
          <w:lang w:val="fr-FR"/>
        </w:rPr>
        <w:br/>
      </w:r>
      <w:r>
        <w:rPr>
          <w:b/>
          <w:bCs/>
          <w:lang w:val="fr-FR"/>
        </w:rPr>
        <w:t>Plan-programme pour 2020</w:t>
      </w:r>
    </w:p>
    <w:p w:rsidR="00DD287A" w:rsidRPr="004D6CB0" w:rsidRDefault="00DD287A" w:rsidP="00200F9E">
      <w:pPr>
        <w:pStyle w:val="HChG"/>
      </w:pPr>
      <w:r>
        <w:rPr>
          <w:lang w:val="fr-FR"/>
        </w:rPr>
        <w:tab/>
      </w:r>
      <w:r>
        <w:rPr>
          <w:lang w:val="fr-FR"/>
        </w:rPr>
        <w:tab/>
        <w:t xml:space="preserve">Réforme du processus de planification et de budgétisation </w:t>
      </w:r>
      <w:r w:rsidR="00200F9E">
        <w:rPr>
          <w:lang w:val="fr-FR"/>
        </w:rPr>
        <w:br/>
      </w:r>
      <w:r>
        <w:rPr>
          <w:lang w:val="fr-FR"/>
        </w:rPr>
        <w:t>de l’ONU</w:t>
      </w:r>
    </w:p>
    <w:p w:rsidR="00DD287A" w:rsidRPr="004D6CB0" w:rsidRDefault="00DD287A" w:rsidP="00200F9E">
      <w:pPr>
        <w:pStyle w:val="H1G"/>
      </w:pPr>
      <w:r>
        <w:rPr>
          <w:lang w:val="fr-FR"/>
        </w:rPr>
        <w:tab/>
      </w:r>
      <w:r>
        <w:rPr>
          <w:lang w:val="fr-FR"/>
        </w:rPr>
        <w:tab/>
        <w:t>Note du secrétariat</w:t>
      </w:r>
    </w:p>
    <w:p w:rsidR="00DD287A" w:rsidRPr="007C5558" w:rsidRDefault="00DD287A" w:rsidP="00200F9E">
      <w:pPr>
        <w:pStyle w:val="SingleTxtG"/>
      </w:pPr>
      <w:r>
        <w:rPr>
          <w:lang w:val="fr-FR"/>
        </w:rPr>
        <w:t>1.</w:t>
      </w:r>
      <w:r>
        <w:rPr>
          <w:lang w:val="fr-FR"/>
        </w:rPr>
        <w:tab/>
        <w:t xml:space="preserve">À sa soixante-douzième session tenue en décembre 2017, l’Assemblée générale a adopté la résolution A/72/266 intitulée </w:t>
      </w:r>
      <w:r w:rsidR="000F2D25">
        <w:rPr>
          <w:lang w:val="fr-FR"/>
        </w:rPr>
        <w:t>« </w:t>
      </w:r>
      <w:r>
        <w:rPr>
          <w:lang w:val="fr-FR"/>
        </w:rPr>
        <w:t>Un nouveau modèle de gestion pour l’Organisation des Nations Unies</w:t>
      </w:r>
      <w:r w:rsidR="000F2D25">
        <w:rPr>
          <w:lang w:val="fr-FR"/>
        </w:rPr>
        <w:t> »</w:t>
      </w:r>
      <w:r>
        <w:rPr>
          <w:lang w:val="fr-FR"/>
        </w:rPr>
        <w:t>. Par cette résolution, les États Membres ont approuvé le remplacement à titre expérimental des exercices budgétaires biennaux par des exercices annuels à compter du budget-programme de 2020, et prié le Secrétaire général de procéder en 2022, c’est-à-dire à l’issue du premier cycle budgétaire complet, à un examen des modifications qui auront été apportées au cycle budgétaire. L</w:t>
      </w:r>
      <w:r w:rsidR="000F2D25">
        <w:rPr>
          <w:lang w:val="fr-FR"/>
        </w:rPr>
        <w:t>’</w:t>
      </w:r>
      <w:r>
        <w:rPr>
          <w:lang w:val="fr-FR"/>
        </w:rPr>
        <w:t xml:space="preserve">Assemblée générale a aussi décidé d’examiner à sa soixante-dix-septième session la mise en œuvre du budget sur une base annuelle, en vue de prendre une décision définitive sur la question. </w:t>
      </w:r>
    </w:p>
    <w:p w:rsidR="00DD287A" w:rsidRPr="007C5558" w:rsidRDefault="00DD287A" w:rsidP="00200F9E">
      <w:pPr>
        <w:pStyle w:val="SingleTxtG"/>
      </w:pPr>
      <w:r>
        <w:rPr>
          <w:lang w:val="fr-FR"/>
        </w:rPr>
        <w:t>2.</w:t>
      </w:r>
      <w:r>
        <w:rPr>
          <w:lang w:val="fr-FR"/>
        </w:rPr>
        <w:tab/>
        <w:t xml:space="preserve">Le projet de budget-programme se composera de trois parties : </w:t>
      </w:r>
    </w:p>
    <w:p w:rsidR="00DD287A" w:rsidRPr="004D6CB0" w:rsidRDefault="00DD287A" w:rsidP="00936026">
      <w:pPr>
        <w:pStyle w:val="SingleTxtG"/>
        <w:ind w:firstLine="567"/>
      </w:pPr>
      <w:r>
        <w:rPr>
          <w:lang w:val="fr-FR"/>
        </w:rPr>
        <w:t>a)</w:t>
      </w:r>
      <w:r>
        <w:rPr>
          <w:lang w:val="fr-FR"/>
        </w:rPr>
        <w:tab/>
        <w:t>Partie I</w:t>
      </w:r>
      <w:r w:rsidR="000F2D25">
        <w:rPr>
          <w:lang w:val="fr-FR"/>
        </w:rPr>
        <w:t> :</w:t>
      </w:r>
      <w:r>
        <w:rPr>
          <w:lang w:val="fr-FR"/>
        </w:rPr>
        <w:t xml:space="preserve"> le plan-cadre, qui portera sur les priorités à long terme et les objectifs de l’Organisation</w:t>
      </w:r>
      <w:r w:rsidR="000F2D25">
        <w:rPr>
          <w:lang w:val="fr-FR"/>
        </w:rPr>
        <w:t> ;</w:t>
      </w:r>
    </w:p>
    <w:p w:rsidR="00DD287A" w:rsidRPr="004D6CB0" w:rsidRDefault="00DD287A" w:rsidP="00936026">
      <w:pPr>
        <w:pStyle w:val="SingleTxtG"/>
        <w:ind w:firstLine="567"/>
      </w:pPr>
      <w:r>
        <w:rPr>
          <w:lang w:val="fr-FR"/>
        </w:rPr>
        <w:t>b)</w:t>
      </w:r>
      <w:r>
        <w:rPr>
          <w:lang w:val="fr-FR"/>
        </w:rPr>
        <w:tab/>
        <w:t>Partie II</w:t>
      </w:r>
      <w:r w:rsidR="000F2D25">
        <w:rPr>
          <w:lang w:val="fr-FR"/>
        </w:rPr>
        <w:t> :</w:t>
      </w:r>
      <w:r>
        <w:rPr>
          <w:lang w:val="fr-FR"/>
        </w:rPr>
        <w:t xml:space="preserve"> le plan-programme, dans lequel figureront une description des programmes et sous-programmes et des informations sur les résultats escomptés</w:t>
      </w:r>
      <w:r w:rsidR="000F2D25">
        <w:rPr>
          <w:lang w:val="fr-FR"/>
        </w:rPr>
        <w:t> ;</w:t>
      </w:r>
      <w:r>
        <w:rPr>
          <w:lang w:val="fr-FR"/>
        </w:rPr>
        <w:t xml:space="preserve"> et</w:t>
      </w:r>
    </w:p>
    <w:p w:rsidR="00DD287A" w:rsidRPr="004D6CB0" w:rsidRDefault="00DD287A" w:rsidP="00936026">
      <w:pPr>
        <w:pStyle w:val="SingleTxtG"/>
        <w:ind w:firstLine="567"/>
      </w:pPr>
      <w:r>
        <w:rPr>
          <w:lang w:val="fr-FR"/>
        </w:rPr>
        <w:t>c)</w:t>
      </w:r>
      <w:r>
        <w:rPr>
          <w:lang w:val="fr-FR"/>
        </w:rPr>
        <w:tab/>
        <w:t>Partie III</w:t>
      </w:r>
      <w:r w:rsidR="000F2D25">
        <w:rPr>
          <w:lang w:val="fr-FR"/>
        </w:rPr>
        <w:t> :</w:t>
      </w:r>
      <w:r>
        <w:rPr>
          <w:lang w:val="fr-FR"/>
        </w:rPr>
        <w:t xml:space="preserve"> les ressources nécessaires pour les postes et les objets de dépense autres que les postes, par programme et sous-programme.</w:t>
      </w:r>
    </w:p>
    <w:p w:rsidR="00DD287A" w:rsidRPr="004D6CB0" w:rsidRDefault="00DD287A" w:rsidP="00200F9E">
      <w:pPr>
        <w:pStyle w:val="SingleTxtG"/>
      </w:pPr>
      <w:r>
        <w:rPr>
          <w:lang w:val="fr-FR"/>
        </w:rPr>
        <w:t>3.</w:t>
      </w:r>
      <w:r>
        <w:rPr>
          <w:lang w:val="fr-FR"/>
        </w:rPr>
        <w:tab/>
        <w:t>La partie I sera élaborée par le Secrétariat au Siège de l’ONU. Les parties II et III seront élaborées chaque année par les entités du Secrétariat, y compris le secrétariat de la CEE. La partie II sera présentée à l’Assemblée générale par l’intermédiaire du Comité du programme et de la coordination, et la partie III par l’entremise du Comité consultatif pour les questions administratives et budgétaires.</w:t>
      </w:r>
    </w:p>
    <w:p w:rsidR="00DD287A" w:rsidRPr="004D6CB0" w:rsidRDefault="00DD287A" w:rsidP="00200F9E">
      <w:pPr>
        <w:pStyle w:val="SingleTxtG"/>
      </w:pPr>
      <w:r>
        <w:rPr>
          <w:lang w:val="fr-FR"/>
        </w:rPr>
        <w:t>4.</w:t>
      </w:r>
      <w:r>
        <w:rPr>
          <w:lang w:val="fr-FR"/>
        </w:rPr>
        <w:tab/>
        <w:t>Le premier projet de budget-programme annuel portera sur l</w:t>
      </w:r>
      <w:r w:rsidR="000F2D25">
        <w:rPr>
          <w:lang w:val="fr-FR"/>
        </w:rPr>
        <w:t>’</w:t>
      </w:r>
      <w:r>
        <w:rPr>
          <w:lang w:val="fr-FR"/>
        </w:rPr>
        <w:t xml:space="preserve">exercice 2020. </w:t>
      </w:r>
    </w:p>
    <w:p w:rsidR="00DD287A" w:rsidRPr="007C5558" w:rsidRDefault="00DD287A" w:rsidP="00200F9E">
      <w:pPr>
        <w:pStyle w:val="SingleTxtG"/>
      </w:pPr>
      <w:r>
        <w:rPr>
          <w:lang w:val="fr-FR"/>
        </w:rPr>
        <w:t>5.</w:t>
      </w:r>
      <w:r>
        <w:rPr>
          <w:lang w:val="fr-FR"/>
        </w:rPr>
        <w:tab/>
        <w:t>La Contrôleuse de l</w:t>
      </w:r>
      <w:r w:rsidR="000F2D25">
        <w:rPr>
          <w:lang w:val="fr-FR"/>
        </w:rPr>
        <w:t>’</w:t>
      </w:r>
      <w:r>
        <w:rPr>
          <w:lang w:val="fr-FR"/>
        </w:rPr>
        <w:t xml:space="preserve">ONU devrait donner des instructions pour le budget-programme en décembre 2018. Sur la base de ces instructions, le secrétariat de la CEE établira le projet de budget-programme pour 2020 pour le sous-programme 2 (Transports) et le communiquera pour observations au Comité des transports intérieurs (CTI) ou à son Bureau, et au Comité exécutif dans le cadre du projet de budget de la CEE. Le projet de budget-programme récapitulatif de la CEE, modifié le cas échéant, sera ensuite soumis au </w:t>
      </w:r>
      <w:r>
        <w:rPr>
          <w:lang w:val="fr-FR"/>
        </w:rPr>
        <w:lastRenderedPageBreak/>
        <w:t>Comité du programme et de la coordination et au Comité consultatif pour les questions administratives et budgétaires à leurs sessions qui se tiendront à la mi-2019. Les conclusions et recommandations des deux comités seront transmises à l’Assemblée générale à sa soixante-quatorzième session, en 2019, au cours de laquelle sera examiné le projet de budget-programme du Secrétaire général pour 2020.</w:t>
      </w:r>
    </w:p>
    <w:p w:rsidR="00DD287A" w:rsidRPr="004D6CB0" w:rsidRDefault="00DD287A" w:rsidP="00200F9E">
      <w:pPr>
        <w:pStyle w:val="SingleTxtG"/>
      </w:pPr>
      <w:r>
        <w:rPr>
          <w:lang w:val="fr-FR"/>
        </w:rPr>
        <w:t>6.</w:t>
      </w:r>
      <w:r>
        <w:rPr>
          <w:lang w:val="fr-FR"/>
        </w:rPr>
        <w:tab/>
        <w:t xml:space="preserve">Le texte des annexes I et II est extrait du document informel </w:t>
      </w:r>
      <w:r w:rsidR="000F2D25" w:rsidRPr="000F2D25">
        <w:rPr>
          <w:rFonts w:eastAsia="MS Mincho"/>
          <w:szCs w:val="22"/>
          <w:lang w:val="fr-FR"/>
        </w:rPr>
        <w:t>n</w:t>
      </w:r>
      <w:r w:rsidR="000F2D25" w:rsidRPr="000F2D25">
        <w:rPr>
          <w:rFonts w:eastAsia="MS Mincho"/>
          <w:szCs w:val="22"/>
          <w:vertAlign w:val="superscript"/>
          <w:lang w:val="fr-FR"/>
        </w:rPr>
        <w:t>o</w:t>
      </w:r>
      <w:r w:rsidR="000F2D25">
        <w:rPr>
          <w:lang w:val="fr-FR"/>
        </w:rPr>
        <w:t> </w:t>
      </w:r>
      <w:r>
        <w:rPr>
          <w:lang w:val="fr-FR"/>
        </w:rPr>
        <w:t>2018/36, intitulé « Projet de budget-programme pour 2020</w:t>
      </w:r>
      <w:r w:rsidR="000F2D25">
        <w:rPr>
          <w:lang w:val="fr-FR"/>
        </w:rPr>
        <w:t> »</w:t>
      </w:r>
      <w:r w:rsidRPr="00B361E2">
        <w:rPr>
          <w:rStyle w:val="Appelnotedebasdep"/>
        </w:rPr>
        <w:footnoteReference w:id="2"/>
      </w:r>
      <w:r>
        <w:rPr>
          <w:lang w:val="fr-FR"/>
        </w:rPr>
        <w:t xml:space="preserve">, soumis à la </w:t>
      </w:r>
      <w:r w:rsidR="00C60233">
        <w:rPr>
          <w:lang w:val="fr-FR"/>
        </w:rPr>
        <w:t>102</w:t>
      </w:r>
      <w:r w:rsidR="00C60233" w:rsidRPr="00C60233">
        <w:rPr>
          <w:vertAlign w:val="superscript"/>
          <w:lang w:val="fr-FR"/>
        </w:rPr>
        <w:t>e</w:t>
      </w:r>
      <w:r w:rsidR="00C60233">
        <w:rPr>
          <w:lang w:val="fr-FR"/>
        </w:rPr>
        <w:t> </w:t>
      </w:r>
      <w:r>
        <w:rPr>
          <w:lang w:val="fr-FR"/>
        </w:rPr>
        <w:t>réunion du Comité exécutif (Genève, 14</w:t>
      </w:r>
      <w:r w:rsidR="000F2D25">
        <w:rPr>
          <w:lang w:val="fr-FR"/>
        </w:rPr>
        <w:t> </w:t>
      </w:r>
      <w:r>
        <w:rPr>
          <w:lang w:val="fr-FR"/>
        </w:rPr>
        <w:t>décembre 2018).</w:t>
      </w:r>
    </w:p>
    <w:p w:rsidR="00DD287A" w:rsidRPr="005F3F6F" w:rsidRDefault="00DD287A" w:rsidP="00200F9E">
      <w:pPr>
        <w:pStyle w:val="SingleTxtG"/>
      </w:pPr>
      <w:r>
        <w:rPr>
          <w:lang w:val="fr-FR"/>
        </w:rPr>
        <w:t>7.</w:t>
      </w:r>
      <w:r>
        <w:rPr>
          <w:lang w:val="fr-FR"/>
        </w:rPr>
        <w:tab/>
        <w:t xml:space="preserve">Le Comité </w:t>
      </w:r>
      <w:r>
        <w:rPr>
          <w:b/>
          <w:bCs/>
          <w:lang w:val="fr-FR"/>
        </w:rPr>
        <w:t>souhaitera peut-être prendre note</w:t>
      </w:r>
      <w:r>
        <w:rPr>
          <w:lang w:val="fr-FR"/>
        </w:rPr>
        <w:t xml:space="preserve"> du fait que les informations contenues dans le présent document ont été examinées par le Bureau du CTI à sa session des 29 et 30</w:t>
      </w:r>
      <w:r w:rsidR="00B161C4">
        <w:rPr>
          <w:lang w:val="fr-FR"/>
        </w:rPr>
        <w:t> </w:t>
      </w:r>
      <w:r>
        <w:rPr>
          <w:lang w:val="fr-FR"/>
        </w:rPr>
        <w:t xml:space="preserve">novembre 2018. Le Comité </w:t>
      </w:r>
      <w:r>
        <w:rPr>
          <w:b/>
          <w:bCs/>
          <w:lang w:val="fr-FR"/>
        </w:rPr>
        <w:t xml:space="preserve">est invité à examiner le présent document et à formuler des observations </w:t>
      </w:r>
      <w:r>
        <w:rPr>
          <w:lang w:val="fr-FR"/>
        </w:rPr>
        <w:t>à son sujet.</w:t>
      </w:r>
    </w:p>
    <w:p w:rsidR="00DD287A" w:rsidRDefault="00DD287A" w:rsidP="001B4D3E">
      <w:pPr>
        <w:pStyle w:val="HChG"/>
        <w:spacing w:before="120"/>
      </w:pPr>
      <w:r w:rsidRPr="005F3F6F">
        <w:br w:type="page"/>
      </w:r>
      <w:r>
        <w:rPr>
          <w:lang w:val="fr-FR"/>
        </w:rPr>
        <w:lastRenderedPageBreak/>
        <w:t>Annexe I</w:t>
      </w:r>
    </w:p>
    <w:p w:rsidR="00DD287A" w:rsidRPr="00D63F59" w:rsidRDefault="00DD287A" w:rsidP="00200F9E">
      <w:pPr>
        <w:pStyle w:val="HChG"/>
      </w:pPr>
      <w:r>
        <w:rPr>
          <w:lang w:val="fr-FR"/>
        </w:rPr>
        <w:tab/>
      </w:r>
      <w:r>
        <w:rPr>
          <w:lang w:val="fr-FR"/>
        </w:rPr>
        <w:tab/>
        <w:t xml:space="preserve">Avant-projet de budget-programme pour 2020 </w:t>
      </w:r>
    </w:p>
    <w:p w:rsidR="00DD287A" w:rsidRPr="003D03D4" w:rsidRDefault="00DD287A" w:rsidP="00200F9E">
      <w:pPr>
        <w:pStyle w:val="HChG"/>
      </w:pPr>
      <w:r>
        <w:rPr>
          <w:lang w:val="fr-FR"/>
        </w:rPr>
        <w:tab/>
      </w:r>
      <w:r>
        <w:rPr>
          <w:lang w:val="fr-FR"/>
        </w:rPr>
        <w:tab/>
        <w:t>Chapitre 20 (Développement économique en Europe)</w:t>
      </w:r>
    </w:p>
    <w:p w:rsidR="00DD287A" w:rsidRPr="00D63F59" w:rsidRDefault="00DD287A" w:rsidP="00200F9E">
      <w:pPr>
        <w:pStyle w:val="HChG"/>
      </w:pPr>
      <w:r>
        <w:rPr>
          <w:lang w:val="fr-FR"/>
        </w:rPr>
        <w:tab/>
      </w:r>
      <w:r>
        <w:rPr>
          <w:lang w:val="fr-FR"/>
        </w:rPr>
        <w:tab/>
        <w:t>Partie II. Plan-programme</w:t>
      </w:r>
      <w:r w:rsidR="000F2D25">
        <w:rPr>
          <w:lang w:val="fr-FR"/>
        </w:rPr>
        <w:t> :</w:t>
      </w:r>
      <w:r>
        <w:rPr>
          <w:lang w:val="fr-FR"/>
        </w:rPr>
        <w:t xml:space="preserve"> description des programmes et sous-programmes et informations sur les résultats escomptés</w:t>
      </w:r>
    </w:p>
    <w:p w:rsidR="00DD287A" w:rsidRPr="00D63F59" w:rsidRDefault="00DD287A" w:rsidP="00200F9E">
      <w:pPr>
        <w:pStyle w:val="HChG"/>
      </w:pPr>
      <w:r>
        <w:rPr>
          <w:lang w:val="fr-FR"/>
        </w:rPr>
        <w:tab/>
      </w:r>
      <w:r>
        <w:rPr>
          <w:lang w:val="fr-FR"/>
        </w:rPr>
        <w:tab/>
        <w:t>(…)</w:t>
      </w:r>
    </w:p>
    <w:p w:rsidR="00DD287A" w:rsidRPr="005F3F6F" w:rsidRDefault="00DD287A" w:rsidP="00200F9E">
      <w:pPr>
        <w:pStyle w:val="HChG"/>
      </w:pPr>
      <w:r>
        <w:rPr>
          <w:lang w:val="fr-FR"/>
        </w:rPr>
        <w:tab/>
      </w:r>
      <w:r>
        <w:rPr>
          <w:lang w:val="fr-FR"/>
        </w:rPr>
        <w:tab/>
        <w:t>Sous-programme 2</w:t>
      </w:r>
      <w:r w:rsidR="000F2D25">
        <w:rPr>
          <w:lang w:val="fr-FR"/>
        </w:rPr>
        <w:t> :</w:t>
      </w:r>
      <w:r>
        <w:rPr>
          <w:lang w:val="fr-FR"/>
        </w:rPr>
        <w:t xml:space="preserve"> Transports</w:t>
      </w:r>
    </w:p>
    <w:p w:rsidR="00433F1C" w:rsidRPr="00D63F59" w:rsidRDefault="00621072" w:rsidP="006D3CDF">
      <w:pPr>
        <w:ind w:left="1134"/>
      </w:pPr>
      <w:r>
        <w:rPr>
          <w:noProof/>
          <w:lang w:eastAsia="ja-JP"/>
        </w:rPr>
        <w:drawing>
          <wp:inline distT="0" distB="0" distL="0" distR="0" wp14:anchorId="341E9E36" wp14:editId="74DFA44E">
            <wp:extent cx="570903" cy="576000"/>
            <wp:effectExtent l="0" t="0" r="63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903" cy="576000"/>
                    </a:xfrm>
                    <a:prstGeom prst="rect">
                      <a:avLst/>
                    </a:prstGeom>
                  </pic:spPr>
                </pic:pic>
              </a:graphicData>
            </a:graphic>
          </wp:inline>
        </w:drawing>
      </w:r>
      <w:r w:rsidR="00911A38">
        <w:rPr>
          <w:noProof/>
          <w:lang w:eastAsia="ja-JP"/>
        </w:rPr>
        <w:drawing>
          <wp:inline distT="0" distB="0" distL="0" distR="0" wp14:anchorId="3893ED0E" wp14:editId="309E506A">
            <wp:extent cx="573451" cy="5760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451" cy="576000"/>
                    </a:xfrm>
                    <a:prstGeom prst="rect">
                      <a:avLst/>
                    </a:prstGeom>
                  </pic:spPr>
                </pic:pic>
              </a:graphicData>
            </a:graphic>
          </wp:inline>
        </w:drawing>
      </w:r>
      <w:r w:rsidR="00911A38">
        <w:rPr>
          <w:noProof/>
          <w:lang w:eastAsia="ja-JP"/>
        </w:rPr>
        <w:drawing>
          <wp:inline distT="0" distB="0" distL="0" distR="0" wp14:anchorId="32421321" wp14:editId="13C5DFD1">
            <wp:extent cx="570925" cy="576000"/>
            <wp:effectExtent l="0" t="0" r="63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925" cy="576000"/>
                    </a:xfrm>
                    <a:prstGeom prst="rect">
                      <a:avLst/>
                    </a:prstGeom>
                  </pic:spPr>
                </pic:pic>
              </a:graphicData>
            </a:graphic>
          </wp:inline>
        </w:drawing>
      </w:r>
      <w:r w:rsidR="00911A38">
        <w:rPr>
          <w:noProof/>
          <w:lang w:eastAsia="ja-JP"/>
        </w:rPr>
        <w:drawing>
          <wp:inline distT="0" distB="0" distL="0" distR="0" wp14:anchorId="655CD8C8" wp14:editId="35290D28">
            <wp:extent cx="573463" cy="5760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463" cy="576000"/>
                    </a:xfrm>
                    <a:prstGeom prst="rect">
                      <a:avLst/>
                    </a:prstGeom>
                  </pic:spPr>
                </pic:pic>
              </a:graphicData>
            </a:graphic>
          </wp:inline>
        </w:drawing>
      </w:r>
      <w:r w:rsidR="00911A38">
        <w:rPr>
          <w:noProof/>
          <w:lang w:eastAsia="ja-JP"/>
        </w:rPr>
        <w:drawing>
          <wp:inline distT="0" distB="0" distL="0" distR="0" wp14:anchorId="52358925" wp14:editId="1913F1E9">
            <wp:extent cx="570925" cy="576000"/>
            <wp:effectExtent l="0" t="0" r="63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925" cy="576000"/>
                    </a:xfrm>
                    <a:prstGeom prst="rect">
                      <a:avLst/>
                    </a:prstGeom>
                  </pic:spPr>
                </pic:pic>
              </a:graphicData>
            </a:graphic>
          </wp:inline>
        </w:drawing>
      </w:r>
      <w:r w:rsidR="00F864BC">
        <w:rPr>
          <w:noProof/>
          <w:lang w:eastAsia="ja-JP"/>
        </w:rPr>
        <w:drawing>
          <wp:inline distT="0" distB="0" distL="0" distR="0" wp14:anchorId="7090D541" wp14:editId="26BB3365">
            <wp:extent cx="573451" cy="576000"/>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451" cy="576000"/>
                    </a:xfrm>
                    <a:prstGeom prst="rect">
                      <a:avLst/>
                    </a:prstGeom>
                  </pic:spPr>
                </pic:pic>
              </a:graphicData>
            </a:graphic>
          </wp:inline>
        </w:drawing>
      </w:r>
      <w:r w:rsidR="00911A38">
        <w:rPr>
          <w:noProof/>
          <w:lang w:eastAsia="ja-JP"/>
        </w:rPr>
        <w:drawing>
          <wp:inline distT="0" distB="0" distL="0" distR="0" wp14:anchorId="7DF55B87" wp14:editId="506B4AEA">
            <wp:extent cx="570903" cy="576000"/>
            <wp:effectExtent l="0" t="0" r="635"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0903" cy="576000"/>
                    </a:xfrm>
                    <a:prstGeom prst="rect">
                      <a:avLst/>
                    </a:prstGeom>
                  </pic:spPr>
                </pic:pic>
              </a:graphicData>
            </a:graphic>
          </wp:inline>
        </w:drawing>
      </w:r>
      <w:r w:rsidR="00F864BC">
        <w:rPr>
          <w:noProof/>
          <w:lang w:eastAsia="ja-JP"/>
        </w:rPr>
        <w:drawing>
          <wp:inline distT="0" distB="0" distL="0" distR="0" wp14:anchorId="1E6D8F15" wp14:editId="50E2282D">
            <wp:extent cx="573439" cy="576000"/>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439" cy="576000"/>
                    </a:xfrm>
                    <a:prstGeom prst="rect">
                      <a:avLst/>
                    </a:prstGeom>
                  </pic:spPr>
                </pic:pic>
              </a:graphicData>
            </a:graphic>
          </wp:inline>
        </w:drawing>
      </w:r>
    </w:p>
    <w:p w:rsidR="00DD287A" w:rsidRPr="00D63F59" w:rsidRDefault="00DD287A" w:rsidP="00200F9E">
      <w:pPr>
        <w:pStyle w:val="H1G"/>
        <w:rPr>
          <w:rFonts w:eastAsia="Calibri"/>
        </w:rPr>
      </w:pPr>
      <w:r>
        <w:rPr>
          <w:lang w:val="fr-FR"/>
        </w:rPr>
        <w:tab/>
        <w:t>A.</w:t>
      </w:r>
      <w:r>
        <w:rPr>
          <w:lang w:val="fr-FR"/>
        </w:rPr>
        <w:tab/>
        <w:t>Objectif</w:t>
      </w:r>
    </w:p>
    <w:p w:rsidR="00DD287A" w:rsidRPr="00D63F59" w:rsidRDefault="00DD287A" w:rsidP="00200F9E">
      <w:pPr>
        <w:pStyle w:val="SingleTxtG"/>
        <w:rPr>
          <w:b/>
          <w:bCs/>
        </w:rPr>
      </w:pPr>
      <w:r>
        <w:rPr>
          <w:lang w:val="fr-FR"/>
        </w:rPr>
        <w:t>29.</w:t>
      </w:r>
      <w:r>
        <w:rPr>
          <w:lang w:val="fr-FR"/>
        </w:rPr>
        <w:tab/>
        <w:t>L’objectif auquel contribue le présent sous-programme de la CEE est d’améliorer la viabilité des transports intérieurs en les rendant plus sûrs, plus propres, plus efficaces et plus abordables, à la fois pour le transport de marchandises et la mobilité personnelle.</w:t>
      </w:r>
    </w:p>
    <w:p w:rsidR="00DD287A" w:rsidRPr="00D63F59" w:rsidRDefault="00DD287A" w:rsidP="00200F9E">
      <w:pPr>
        <w:pStyle w:val="H1G"/>
        <w:rPr>
          <w:rFonts w:eastAsia="Calibri"/>
        </w:rPr>
      </w:pPr>
      <w:r>
        <w:rPr>
          <w:lang w:val="fr-FR"/>
        </w:rPr>
        <w:tab/>
        <w:t>B.</w:t>
      </w:r>
      <w:r>
        <w:rPr>
          <w:lang w:val="fr-FR"/>
        </w:rPr>
        <w:tab/>
      </w:r>
      <w:r>
        <w:rPr>
          <w:bCs/>
          <w:lang w:val="fr-FR"/>
        </w:rPr>
        <w:t>Alignement sur les objectifs de développement durable</w:t>
      </w:r>
    </w:p>
    <w:p w:rsidR="00DD287A" w:rsidRPr="00D63F59" w:rsidRDefault="00DD287A" w:rsidP="00200F9E">
      <w:pPr>
        <w:pStyle w:val="SingleTxtG"/>
      </w:pPr>
      <w:r>
        <w:rPr>
          <w:lang w:val="fr-FR"/>
        </w:rPr>
        <w:t>30.</w:t>
      </w:r>
      <w:r>
        <w:rPr>
          <w:lang w:val="fr-FR"/>
        </w:rPr>
        <w:tab/>
        <w:t>L</w:t>
      </w:r>
      <w:r w:rsidR="000F2D25">
        <w:rPr>
          <w:lang w:val="fr-FR"/>
        </w:rPr>
        <w:t>’</w:t>
      </w:r>
      <w:r>
        <w:rPr>
          <w:lang w:val="fr-FR"/>
        </w:rPr>
        <w:t xml:space="preserve">objectif est aligné sur les objectifs de développement durable </w:t>
      </w:r>
      <w:r w:rsidR="00B161C4" w:rsidRPr="00B161C4">
        <w:rPr>
          <w:rFonts w:eastAsia="MS Mincho"/>
          <w:szCs w:val="22"/>
          <w:lang w:val="fr-FR"/>
        </w:rPr>
        <w:t>n</w:t>
      </w:r>
      <w:r w:rsidR="00B161C4" w:rsidRPr="00B161C4">
        <w:rPr>
          <w:rFonts w:eastAsia="MS Mincho"/>
          <w:szCs w:val="22"/>
          <w:vertAlign w:val="superscript"/>
          <w:lang w:val="fr-FR"/>
        </w:rPr>
        <w:t>o</w:t>
      </w:r>
      <w:r w:rsidR="00B161C4">
        <w:rPr>
          <w:lang w:val="fr-FR"/>
        </w:rPr>
        <w:t> </w:t>
      </w:r>
      <w:r>
        <w:rPr>
          <w:lang w:val="fr-FR"/>
        </w:rPr>
        <w:t>3 (</w:t>
      </w:r>
      <w:r w:rsidR="000F2D25">
        <w:rPr>
          <w:lang w:val="fr-FR"/>
        </w:rPr>
        <w:t>« </w:t>
      </w:r>
      <w:r>
        <w:rPr>
          <w:lang w:val="fr-FR"/>
        </w:rPr>
        <w:t>Bonne santé et bien-être</w:t>
      </w:r>
      <w:r w:rsidR="000F2D25">
        <w:rPr>
          <w:lang w:val="fr-FR"/>
        </w:rPr>
        <w:t> »</w:t>
      </w:r>
      <w:r>
        <w:rPr>
          <w:lang w:val="fr-FR"/>
        </w:rPr>
        <w:t xml:space="preserve">), </w:t>
      </w:r>
      <w:r w:rsidR="00B161C4" w:rsidRPr="00B161C4">
        <w:rPr>
          <w:rFonts w:eastAsia="MS Mincho"/>
          <w:szCs w:val="22"/>
          <w:lang w:val="fr-FR"/>
        </w:rPr>
        <w:t>n</w:t>
      </w:r>
      <w:r w:rsidR="00B161C4" w:rsidRPr="00B161C4">
        <w:rPr>
          <w:rFonts w:eastAsia="MS Mincho"/>
          <w:szCs w:val="22"/>
          <w:vertAlign w:val="superscript"/>
          <w:lang w:val="fr-FR"/>
        </w:rPr>
        <w:t>o</w:t>
      </w:r>
      <w:r w:rsidR="00B161C4">
        <w:rPr>
          <w:lang w:val="fr-FR"/>
        </w:rPr>
        <w:t> </w:t>
      </w:r>
      <w:r>
        <w:rPr>
          <w:lang w:val="fr-FR"/>
        </w:rPr>
        <w:t>6 (</w:t>
      </w:r>
      <w:r w:rsidR="000F2D25">
        <w:rPr>
          <w:lang w:val="fr-FR"/>
        </w:rPr>
        <w:t>« </w:t>
      </w:r>
      <w:r>
        <w:rPr>
          <w:lang w:val="fr-FR"/>
        </w:rPr>
        <w:t>Eau propre et assainissement</w:t>
      </w:r>
      <w:r w:rsidR="000F2D25">
        <w:rPr>
          <w:lang w:val="fr-FR"/>
        </w:rPr>
        <w:t> »</w:t>
      </w:r>
      <w:r>
        <w:rPr>
          <w:lang w:val="fr-FR"/>
        </w:rPr>
        <w:t xml:space="preserve">), </w:t>
      </w:r>
      <w:r w:rsidR="00B161C4" w:rsidRPr="00B161C4">
        <w:rPr>
          <w:rFonts w:eastAsia="MS Mincho"/>
          <w:szCs w:val="22"/>
          <w:lang w:val="fr-FR"/>
        </w:rPr>
        <w:t>n</w:t>
      </w:r>
      <w:r w:rsidR="00B161C4" w:rsidRPr="00B161C4">
        <w:rPr>
          <w:rFonts w:eastAsia="MS Mincho"/>
          <w:szCs w:val="22"/>
          <w:vertAlign w:val="superscript"/>
          <w:lang w:val="fr-FR"/>
        </w:rPr>
        <w:t>o</w:t>
      </w:r>
      <w:r w:rsidR="00B161C4">
        <w:rPr>
          <w:lang w:val="fr-FR"/>
        </w:rPr>
        <w:t> </w:t>
      </w:r>
      <w:r>
        <w:rPr>
          <w:lang w:val="fr-FR"/>
        </w:rPr>
        <w:t>7 (</w:t>
      </w:r>
      <w:r w:rsidR="000F2D25">
        <w:rPr>
          <w:lang w:val="fr-FR"/>
        </w:rPr>
        <w:t>« </w:t>
      </w:r>
      <w:r>
        <w:rPr>
          <w:lang w:val="fr-FR"/>
        </w:rPr>
        <w:t>Énergie propre et d</w:t>
      </w:r>
      <w:r w:rsidR="000F2D25">
        <w:rPr>
          <w:lang w:val="fr-FR"/>
        </w:rPr>
        <w:t>’</w:t>
      </w:r>
      <w:r>
        <w:rPr>
          <w:lang w:val="fr-FR"/>
        </w:rPr>
        <w:t>un coût abordable</w:t>
      </w:r>
      <w:r w:rsidR="000F2D25">
        <w:rPr>
          <w:lang w:val="fr-FR"/>
        </w:rPr>
        <w:t> »</w:t>
      </w:r>
      <w:r>
        <w:rPr>
          <w:lang w:val="fr-FR"/>
        </w:rPr>
        <w:t xml:space="preserve">), </w:t>
      </w:r>
      <w:r w:rsidR="00B161C4" w:rsidRPr="00B161C4">
        <w:rPr>
          <w:rFonts w:eastAsia="MS Mincho"/>
          <w:szCs w:val="22"/>
          <w:lang w:val="fr-FR"/>
        </w:rPr>
        <w:t>n</w:t>
      </w:r>
      <w:r w:rsidR="00B161C4" w:rsidRPr="00B161C4">
        <w:rPr>
          <w:rFonts w:eastAsia="MS Mincho"/>
          <w:szCs w:val="22"/>
          <w:vertAlign w:val="superscript"/>
          <w:lang w:val="fr-FR"/>
        </w:rPr>
        <w:t>o</w:t>
      </w:r>
      <w:r w:rsidR="00B161C4">
        <w:rPr>
          <w:lang w:val="fr-FR"/>
        </w:rPr>
        <w:t> </w:t>
      </w:r>
      <w:r>
        <w:rPr>
          <w:lang w:val="fr-FR"/>
        </w:rPr>
        <w:t>8 (</w:t>
      </w:r>
      <w:r w:rsidR="000F2D25">
        <w:rPr>
          <w:lang w:val="fr-FR"/>
        </w:rPr>
        <w:t>« </w:t>
      </w:r>
      <w:r>
        <w:rPr>
          <w:lang w:val="fr-FR"/>
        </w:rPr>
        <w:t>Travail décent et croissance économique</w:t>
      </w:r>
      <w:r w:rsidR="000F2D25">
        <w:rPr>
          <w:lang w:val="fr-FR"/>
        </w:rPr>
        <w:t> »</w:t>
      </w:r>
      <w:r>
        <w:rPr>
          <w:lang w:val="fr-FR"/>
        </w:rPr>
        <w:t xml:space="preserve">), </w:t>
      </w:r>
      <w:r w:rsidR="00B161C4" w:rsidRPr="00B161C4">
        <w:rPr>
          <w:rFonts w:eastAsia="MS Mincho"/>
          <w:szCs w:val="22"/>
          <w:lang w:val="fr-FR"/>
        </w:rPr>
        <w:t>n</w:t>
      </w:r>
      <w:r w:rsidR="00B161C4" w:rsidRPr="00B161C4">
        <w:rPr>
          <w:rFonts w:eastAsia="MS Mincho"/>
          <w:szCs w:val="22"/>
          <w:vertAlign w:val="superscript"/>
          <w:lang w:val="fr-FR"/>
        </w:rPr>
        <w:t>o</w:t>
      </w:r>
      <w:r w:rsidR="00B161C4">
        <w:rPr>
          <w:lang w:val="fr-FR"/>
        </w:rPr>
        <w:t> </w:t>
      </w:r>
      <w:r>
        <w:rPr>
          <w:lang w:val="fr-FR"/>
        </w:rPr>
        <w:t>9 (</w:t>
      </w:r>
      <w:r w:rsidR="000F2D25">
        <w:rPr>
          <w:lang w:val="fr-FR"/>
        </w:rPr>
        <w:t>« </w:t>
      </w:r>
      <w:r>
        <w:rPr>
          <w:lang w:val="fr-FR"/>
        </w:rPr>
        <w:t>Industrie, innovation et infrastructure</w:t>
      </w:r>
      <w:r w:rsidR="000F2D25">
        <w:rPr>
          <w:lang w:val="fr-FR"/>
        </w:rPr>
        <w:t> »</w:t>
      </w:r>
      <w:r>
        <w:rPr>
          <w:lang w:val="fr-FR"/>
        </w:rPr>
        <w:t xml:space="preserve">), </w:t>
      </w:r>
      <w:r w:rsidR="00B161C4" w:rsidRPr="00B161C4">
        <w:rPr>
          <w:rFonts w:eastAsia="MS Mincho"/>
          <w:szCs w:val="22"/>
          <w:lang w:val="fr-FR"/>
        </w:rPr>
        <w:t>n</w:t>
      </w:r>
      <w:r w:rsidR="00B161C4" w:rsidRPr="00B161C4">
        <w:rPr>
          <w:rFonts w:eastAsia="MS Mincho"/>
          <w:szCs w:val="22"/>
          <w:vertAlign w:val="superscript"/>
          <w:lang w:val="fr-FR"/>
        </w:rPr>
        <w:t>o</w:t>
      </w:r>
      <w:r w:rsidR="00B161C4">
        <w:rPr>
          <w:lang w:val="fr-FR"/>
        </w:rPr>
        <w:t> </w:t>
      </w:r>
      <w:r>
        <w:rPr>
          <w:lang w:val="fr-FR"/>
        </w:rPr>
        <w:t>11 (</w:t>
      </w:r>
      <w:r w:rsidR="000F2D25">
        <w:rPr>
          <w:lang w:val="fr-FR"/>
        </w:rPr>
        <w:t>« </w:t>
      </w:r>
      <w:r>
        <w:rPr>
          <w:lang w:val="fr-FR"/>
        </w:rPr>
        <w:t>Villes et collectivités durables</w:t>
      </w:r>
      <w:r w:rsidR="000F2D25">
        <w:rPr>
          <w:lang w:val="fr-FR"/>
        </w:rPr>
        <w:t> »</w:t>
      </w:r>
      <w:r>
        <w:rPr>
          <w:lang w:val="fr-FR"/>
        </w:rPr>
        <w:t xml:space="preserve">), </w:t>
      </w:r>
      <w:r w:rsidR="00B161C4" w:rsidRPr="00B161C4">
        <w:rPr>
          <w:rFonts w:eastAsia="MS Mincho"/>
          <w:szCs w:val="22"/>
          <w:lang w:val="fr-FR"/>
        </w:rPr>
        <w:t>n</w:t>
      </w:r>
      <w:r w:rsidR="00B161C4" w:rsidRPr="00B161C4">
        <w:rPr>
          <w:rFonts w:eastAsia="MS Mincho"/>
          <w:szCs w:val="22"/>
          <w:vertAlign w:val="superscript"/>
          <w:lang w:val="fr-FR"/>
        </w:rPr>
        <w:t>o</w:t>
      </w:r>
      <w:r w:rsidR="00B161C4">
        <w:rPr>
          <w:lang w:val="fr-FR"/>
        </w:rPr>
        <w:t> </w:t>
      </w:r>
      <w:r>
        <w:rPr>
          <w:lang w:val="fr-FR"/>
        </w:rPr>
        <w:t>12 (</w:t>
      </w:r>
      <w:r w:rsidR="000F2D25">
        <w:rPr>
          <w:lang w:val="fr-FR"/>
        </w:rPr>
        <w:t>« </w:t>
      </w:r>
      <w:r>
        <w:rPr>
          <w:lang w:val="fr-FR"/>
        </w:rPr>
        <w:t>Consommation et production responsables</w:t>
      </w:r>
      <w:r w:rsidR="000F2D25">
        <w:rPr>
          <w:lang w:val="fr-FR"/>
        </w:rPr>
        <w:t> »</w:t>
      </w:r>
      <w:r>
        <w:rPr>
          <w:lang w:val="fr-FR"/>
        </w:rPr>
        <w:t xml:space="preserve">) et </w:t>
      </w:r>
      <w:r w:rsidR="00B161C4" w:rsidRPr="00B161C4">
        <w:rPr>
          <w:rFonts w:eastAsia="MS Mincho"/>
          <w:szCs w:val="22"/>
          <w:lang w:val="fr-FR"/>
        </w:rPr>
        <w:t>n</w:t>
      </w:r>
      <w:r w:rsidR="00B161C4" w:rsidRPr="00B161C4">
        <w:rPr>
          <w:rFonts w:eastAsia="MS Mincho"/>
          <w:szCs w:val="22"/>
          <w:vertAlign w:val="superscript"/>
          <w:lang w:val="fr-FR"/>
        </w:rPr>
        <w:t>o</w:t>
      </w:r>
      <w:r w:rsidR="00B161C4">
        <w:rPr>
          <w:lang w:val="fr-FR"/>
        </w:rPr>
        <w:t> </w:t>
      </w:r>
      <w:r>
        <w:rPr>
          <w:lang w:val="fr-FR"/>
        </w:rPr>
        <w:t>13 (</w:t>
      </w:r>
      <w:r w:rsidR="000F2D25">
        <w:rPr>
          <w:lang w:val="fr-FR"/>
        </w:rPr>
        <w:t>« </w:t>
      </w:r>
      <w:r>
        <w:rPr>
          <w:lang w:val="fr-FR"/>
        </w:rPr>
        <w:t>Mesures relatives à la lutte contre les changements climatiques</w:t>
      </w:r>
      <w:r w:rsidR="000F2D25">
        <w:rPr>
          <w:lang w:val="fr-FR"/>
        </w:rPr>
        <w:t> »</w:t>
      </w:r>
      <w:r>
        <w:rPr>
          <w:lang w:val="fr-FR"/>
        </w:rPr>
        <w:t xml:space="preserve">). </w:t>
      </w:r>
      <w:bookmarkStart w:id="0" w:name="_Hlk521511018"/>
      <w:bookmarkEnd w:id="0"/>
    </w:p>
    <w:p w:rsidR="00DD287A" w:rsidRPr="00D63F59" w:rsidRDefault="00DD287A" w:rsidP="00200F9E">
      <w:pPr>
        <w:pStyle w:val="SingleTxtG"/>
      </w:pPr>
      <w:r>
        <w:rPr>
          <w:lang w:val="fr-FR"/>
        </w:rPr>
        <w:t>31.</w:t>
      </w:r>
      <w:r>
        <w:rPr>
          <w:lang w:val="fr-FR"/>
        </w:rPr>
        <w:tab/>
        <w:t>L</w:t>
      </w:r>
      <w:r w:rsidR="000F2D25">
        <w:rPr>
          <w:lang w:val="fr-FR"/>
        </w:rPr>
        <w:t>’</w:t>
      </w:r>
      <w:r>
        <w:rPr>
          <w:lang w:val="fr-FR"/>
        </w:rPr>
        <w:t>alignement sur les objectifs du développement durable sert de cadre pour la contribution à la réalisation de l</w:t>
      </w:r>
      <w:r w:rsidR="000F2D25">
        <w:rPr>
          <w:lang w:val="fr-FR"/>
        </w:rPr>
        <w:t>’</w:t>
      </w:r>
      <w:r>
        <w:rPr>
          <w:lang w:val="fr-FR"/>
        </w:rPr>
        <w:t>objectif du sous-programme. Dans ce cadre, les équipes chargées du sous-programme mettront au point des activités intersectorielles avec des services de la CEE exécutant d</w:t>
      </w:r>
      <w:r w:rsidR="000F2D25">
        <w:rPr>
          <w:lang w:val="fr-FR"/>
        </w:rPr>
        <w:t>’</w:t>
      </w:r>
      <w:r>
        <w:rPr>
          <w:lang w:val="fr-FR"/>
        </w:rPr>
        <w:t>autres sous-programmes, lorsqu</w:t>
      </w:r>
      <w:r w:rsidR="000F2D25">
        <w:rPr>
          <w:lang w:val="fr-FR"/>
        </w:rPr>
        <w:t>’</w:t>
      </w:r>
      <w:r>
        <w:rPr>
          <w:lang w:val="fr-FR"/>
        </w:rPr>
        <w:t>il y a complémentarité entre les cibles et objectifs de développement durable visés de part et d</w:t>
      </w:r>
      <w:r w:rsidR="000F2D25">
        <w:rPr>
          <w:lang w:val="fr-FR"/>
        </w:rPr>
        <w:t>’</w:t>
      </w:r>
      <w:r>
        <w:rPr>
          <w:lang w:val="fr-FR"/>
        </w:rPr>
        <w:t>autre, conformément aux thèmes communs décrits au paragraphe 12 ci-dessus.</w:t>
      </w:r>
    </w:p>
    <w:p w:rsidR="00DD287A" w:rsidRDefault="00DD287A" w:rsidP="00200F9E">
      <w:pPr>
        <w:pStyle w:val="H1G"/>
      </w:pPr>
      <w:r>
        <w:rPr>
          <w:lang w:val="fr-FR"/>
        </w:rPr>
        <w:tab/>
        <w:t>C.</w:t>
      </w:r>
      <w:r>
        <w:rPr>
          <w:lang w:val="fr-FR"/>
        </w:rPr>
        <w:tab/>
      </w:r>
      <w:r>
        <w:rPr>
          <w:bCs/>
          <w:lang w:val="fr-FR"/>
        </w:rPr>
        <w:t>Résultat effectif le plus significatif obtenu en 2018</w:t>
      </w:r>
    </w:p>
    <w:p w:rsidR="00DD287A" w:rsidRPr="00D63F59" w:rsidRDefault="00DD287A" w:rsidP="008D66F7">
      <w:pPr>
        <w:pStyle w:val="H23G"/>
        <w:rPr>
          <w:rFonts w:eastAsia="Calibri"/>
        </w:rPr>
      </w:pPr>
      <w:r>
        <w:rPr>
          <w:lang w:val="fr-FR"/>
        </w:rPr>
        <w:tab/>
      </w:r>
      <w:r>
        <w:rPr>
          <w:lang w:val="fr-FR"/>
        </w:rPr>
        <w:tab/>
        <w:t>En route vers des systèmes de transport terrestre viables</w:t>
      </w:r>
    </w:p>
    <w:p w:rsidR="00DD287A" w:rsidRPr="00D63F59" w:rsidRDefault="00DD287A" w:rsidP="008D66F7">
      <w:pPr>
        <w:pStyle w:val="Bullet1G"/>
        <w:rPr>
          <w:rFonts w:eastAsia="Calibri"/>
        </w:rPr>
      </w:pPr>
      <w:bookmarkStart w:id="1" w:name="_Hlk517874544"/>
      <w:r>
        <w:rPr>
          <w:lang w:val="fr-FR"/>
        </w:rPr>
        <w:t>Concrètement, le sous-programme de la CEE sur les transports est exécuté par l</w:t>
      </w:r>
      <w:r w:rsidR="000F2D25">
        <w:rPr>
          <w:lang w:val="fr-FR"/>
        </w:rPr>
        <w:t>’</w:t>
      </w:r>
      <w:r>
        <w:rPr>
          <w:lang w:val="fr-FR"/>
        </w:rPr>
        <w:t>intermédiaire du programme de travail adopté par le Comité des transports intérieurs (CTI). Par l</w:t>
      </w:r>
      <w:r w:rsidR="000F2D25">
        <w:rPr>
          <w:lang w:val="fr-FR"/>
        </w:rPr>
        <w:t>’</w:t>
      </w:r>
      <w:r>
        <w:rPr>
          <w:lang w:val="fr-FR"/>
        </w:rPr>
        <w:t>entremise de ses 20 groupes de travail et de plus de 50 réseaux formels et informels réunissant plus de 3 500 experts, le Comité promeut notamment des systèmes de transport durables, sûrs, respectueux de l</w:t>
      </w:r>
      <w:r w:rsidR="000F2D25">
        <w:rPr>
          <w:lang w:val="fr-FR"/>
        </w:rPr>
        <w:t>’</w:t>
      </w:r>
      <w:r>
        <w:rPr>
          <w:lang w:val="fr-FR"/>
        </w:rPr>
        <w:t>environnement, efficaces et abordables, tant pour le transport de marchandises que pour la mobilité personnelle. Le pilier central de son travail est l</w:t>
      </w:r>
      <w:r w:rsidR="000F2D25">
        <w:rPr>
          <w:lang w:val="fr-FR"/>
        </w:rPr>
        <w:t>’</w:t>
      </w:r>
      <w:r>
        <w:rPr>
          <w:lang w:val="fr-FR"/>
        </w:rPr>
        <w:t>élaboration et l</w:t>
      </w:r>
      <w:r w:rsidR="000F2D25">
        <w:rPr>
          <w:lang w:val="fr-FR"/>
        </w:rPr>
        <w:t>’</w:t>
      </w:r>
      <w:r>
        <w:rPr>
          <w:lang w:val="fr-FR"/>
        </w:rPr>
        <w:t xml:space="preserve">actualisation constante du cadre réglementaire international pour les transports intérieurs, qui comprend actuellement 58 instruments juridiques des Nations Unies relevant de sa responsabilité. À la demande des États membres et des Parties </w:t>
      </w:r>
      <w:r>
        <w:rPr>
          <w:lang w:val="fr-FR"/>
        </w:rPr>
        <w:lastRenderedPageBreak/>
        <w:t>contractantes, le sous-programme offre aux gouvernements nationaux et aux principales parties prenantes du secteur des transports une plateforme institutionnelle leur permettant d</w:t>
      </w:r>
      <w:r w:rsidR="000F2D25">
        <w:rPr>
          <w:lang w:val="fr-FR"/>
        </w:rPr>
        <w:t>’</w:t>
      </w:r>
      <w:r>
        <w:rPr>
          <w:lang w:val="fr-FR"/>
        </w:rPr>
        <w:t>entretenir ce cadre réglementaire, et ce travail est complété par des activités connexes de dialogue sur les politiques publiques, d</w:t>
      </w:r>
      <w:r w:rsidR="000F2D25">
        <w:rPr>
          <w:lang w:val="fr-FR"/>
        </w:rPr>
        <w:t>’</w:t>
      </w:r>
      <w:r>
        <w:rPr>
          <w:lang w:val="fr-FR"/>
        </w:rPr>
        <w:t>analyse, d</w:t>
      </w:r>
      <w:r w:rsidR="000F2D25">
        <w:rPr>
          <w:lang w:val="fr-FR"/>
        </w:rPr>
        <w:t>’</w:t>
      </w:r>
      <w:r>
        <w:rPr>
          <w:lang w:val="fr-FR"/>
        </w:rPr>
        <w:t>assistance technique et de renforcement des capacités.</w:t>
      </w:r>
      <w:bookmarkEnd w:id="1"/>
    </w:p>
    <w:p w:rsidR="00513F7A" w:rsidRDefault="009F2008" w:rsidP="00936026">
      <w:pPr>
        <w:spacing w:after="120"/>
        <w:ind w:left="1134"/>
        <w:rPr>
          <w:lang w:val="fr-FR"/>
        </w:rPr>
      </w:pPr>
      <w:r w:rsidRPr="00C60233">
        <w:rPr>
          <w:i/>
          <w:lang w:val="fr-FR"/>
        </w:rPr>
        <w:t>Figure 3</w:t>
      </w:r>
      <w:r w:rsidR="000F2D25">
        <w:rPr>
          <w:lang w:val="fr-FR"/>
        </w:rPr>
        <w:t xml:space="preserve"> </w:t>
      </w:r>
      <w:r>
        <w:rPr>
          <w:lang w:val="fr-FR"/>
        </w:rPr>
        <w:br/>
      </w:r>
      <w:r w:rsidR="00AC4BD3" w:rsidRPr="00AC4BD3">
        <w:rPr>
          <w:lang w:val="fr-FR"/>
        </w:rPr>
        <w:t xml:space="preserve">Nombre de tués sur les routes des pays de la CEE, par région </w:t>
      </w:r>
    </w:p>
    <w:p w:rsidR="00513F7A" w:rsidRDefault="00183E08" w:rsidP="00D6734F">
      <w:pPr>
        <w:ind w:left="1134"/>
        <w:rPr>
          <w:lang w:val="fr-FR"/>
        </w:rPr>
      </w:pPr>
      <w:r>
        <w:rPr>
          <w:noProof/>
          <w:lang w:eastAsia="ja-JP"/>
        </w:rPr>
        <w:drawing>
          <wp:inline distT="0" distB="0" distL="0" distR="0" wp14:anchorId="3C349A9A" wp14:editId="3D3BE596">
            <wp:extent cx="4680000" cy="3052800"/>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80000" cy="3052800"/>
                    </a:xfrm>
                    <a:prstGeom prst="rect">
                      <a:avLst/>
                    </a:prstGeom>
                  </pic:spPr>
                </pic:pic>
              </a:graphicData>
            </a:graphic>
          </wp:inline>
        </w:drawing>
      </w:r>
    </w:p>
    <w:p w:rsidR="00DD287A" w:rsidRPr="009F2008" w:rsidRDefault="00DD287A" w:rsidP="009F2008">
      <w:pPr>
        <w:spacing w:before="120"/>
        <w:ind w:left="1134" w:right="1134" w:firstLine="170"/>
        <w:rPr>
          <w:sz w:val="18"/>
          <w:szCs w:val="18"/>
          <w:lang w:val="fr-FR"/>
        </w:rPr>
      </w:pPr>
      <w:r w:rsidRPr="009F2008">
        <w:rPr>
          <w:i/>
          <w:sz w:val="18"/>
          <w:szCs w:val="18"/>
          <w:lang w:val="fr-FR"/>
        </w:rPr>
        <w:t>Source</w:t>
      </w:r>
      <w:r w:rsidRPr="009F2008">
        <w:rPr>
          <w:sz w:val="18"/>
          <w:szCs w:val="18"/>
          <w:lang w:val="fr-FR"/>
        </w:rPr>
        <w:t> : Base de données de la CEE sur les transports</w:t>
      </w:r>
    </w:p>
    <w:p w:rsidR="00DD287A" w:rsidRPr="009F2008" w:rsidRDefault="00DD287A" w:rsidP="00183E08">
      <w:pPr>
        <w:spacing w:after="240"/>
        <w:ind w:left="1134" w:right="1134" w:firstLine="170"/>
        <w:rPr>
          <w:sz w:val="18"/>
          <w:szCs w:val="18"/>
          <w:lang w:val="fr-FR"/>
        </w:rPr>
      </w:pPr>
      <w:r w:rsidRPr="009F2008">
        <w:rPr>
          <w:i/>
          <w:sz w:val="18"/>
          <w:szCs w:val="18"/>
          <w:lang w:val="fr-FR"/>
        </w:rPr>
        <w:t>Note</w:t>
      </w:r>
      <w:r w:rsidRPr="009F2008">
        <w:rPr>
          <w:sz w:val="18"/>
          <w:szCs w:val="18"/>
          <w:lang w:val="fr-FR"/>
        </w:rPr>
        <w:t> : Andorre, Monaco, Saint-Marin et le Turkménistan n’ont pas été inclus en raison de l’insuffisance des données disponibles. « UE + AELE</w:t>
      </w:r>
      <w:r w:rsidR="000F2D25">
        <w:rPr>
          <w:sz w:val="18"/>
          <w:szCs w:val="18"/>
          <w:lang w:val="fr-FR"/>
        </w:rPr>
        <w:t> »</w:t>
      </w:r>
      <w:bookmarkStart w:id="2" w:name="_GoBack"/>
      <w:bookmarkEnd w:id="2"/>
      <w:r w:rsidRPr="009F2008">
        <w:rPr>
          <w:sz w:val="18"/>
          <w:szCs w:val="18"/>
          <w:lang w:val="fr-FR"/>
        </w:rPr>
        <w:t xml:space="preserve"> fait référence aux États membres de l’Union européenne et de l’Association européenne de libre-échange.</w:t>
      </w:r>
    </w:p>
    <w:p w:rsidR="00DD287A" w:rsidRPr="007F428B" w:rsidRDefault="00DD287A" w:rsidP="008D66F7">
      <w:pPr>
        <w:pStyle w:val="Bullet1G"/>
        <w:rPr>
          <w:noProof/>
        </w:rPr>
      </w:pPr>
      <w:r>
        <w:rPr>
          <w:lang w:val="fr-FR"/>
        </w:rPr>
        <w:t>En 2018, les travaux menés dans le cadre du sous-programme ont abouti à une révision en profondeur du cadre réglementaire destiné à assurer la viabilité des systèmes de transport intérieur, avec notamment</w:t>
      </w:r>
      <w:r w:rsidR="000F2D25">
        <w:rPr>
          <w:lang w:val="fr-FR"/>
        </w:rPr>
        <w:t> :</w:t>
      </w:r>
      <w:r>
        <w:rPr>
          <w:lang w:val="fr-FR"/>
        </w:rPr>
        <w:t xml:space="preserve"> a)</w:t>
      </w:r>
      <w:r w:rsidR="000F2D25">
        <w:rPr>
          <w:lang w:val="fr-FR"/>
        </w:rPr>
        <w:t> </w:t>
      </w:r>
      <w:r>
        <w:rPr>
          <w:lang w:val="fr-FR"/>
        </w:rPr>
        <w:t>l</w:t>
      </w:r>
      <w:r w:rsidR="000F2D25">
        <w:rPr>
          <w:lang w:val="fr-FR"/>
        </w:rPr>
        <w:t>’</w:t>
      </w:r>
      <w:r>
        <w:rPr>
          <w:lang w:val="fr-FR"/>
        </w:rPr>
        <w:t>adoption de 100 nouveaux règlements ONU relatifs aux véhicules et la mise à jour de règlements existants, au service de l’approche à 360 degrés en matière de sécurité routière adoptée par le CTI,</w:t>
      </w:r>
      <w:r w:rsidR="00B161C4">
        <w:rPr>
          <w:lang w:val="fr-FR"/>
        </w:rPr>
        <w:t xml:space="preserve"> </w:t>
      </w:r>
      <w:r>
        <w:rPr>
          <w:lang w:val="fr-FR"/>
        </w:rPr>
        <w:t>ainsi que l</w:t>
      </w:r>
      <w:r w:rsidR="000F2D25">
        <w:rPr>
          <w:lang w:val="fr-FR"/>
        </w:rPr>
        <w:t>’</w:t>
      </w:r>
      <w:r>
        <w:rPr>
          <w:lang w:val="fr-FR"/>
        </w:rPr>
        <w:t>adoption de deux règlements techniques mondiaux ONU sur les voitures électriques et les deux-roues électriques pour promouvoir la décarbonisation des transports. Ces modifications réglementaires sont juridiquement contraignantes et affectent la production mondiale de véhicules. Elles ont ainsi un impact immédiat sur la sécurité routière et les performances environnementales</w:t>
      </w:r>
      <w:r w:rsidR="000F2D25">
        <w:rPr>
          <w:lang w:val="fr-FR"/>
        </w:rPr>
        <w:t> ;</w:t>
      </w:r>
      <w:r>
        <w:rPr>
          <w:lang w:val="fr-FR"/>
        </w:rPr>
        <w:t xml:space="preserve"> b)</w:t>
      </w:r>
      <w:r w:rsidR="000F2D25">
        <w:rPr>
          <w:lang w:val="fr-FR"/>
        </w:rPr>
        <w:t> </w:t>
      </w:r>
      <w:r>
        <w:rPr>
          <w:lang w:val="fr-FR"/>
        </w:rPr>
        <w:t>l</w:t>
      </w:r>
      <w:r w:rsidR="000F2D25">
        <w:rPr>
          <w:lang w:val="fr-FR"/>
        </w:rPr>
        <w:t>’</w:t>
      </w:r>
      <w:r>
        <w:rPr>
          <w:lang w:val="fr-FR"/>
        </w:rPr>
        <w:t>adoption de dispositions relatives au transport des marchandises dangereuses pour l</w:t>
      </w:r>
      <w:r w:rsidR="000F2D25">
        <w:rPr>
          <w:lang w:val="fr-FR"/>
        </w:rPr>
        <w:t>’</w:t>
      </w:r>
      <w:r>
        <w:rPr>
          <w:lang w:val="fr-FR"/>
        </w:rPr>
        <w:t>Accord européen relatif au transport international des marchandises dangereuses par voies de navigation intérieures (ADN), qui introduisent un concept modifié de protection contre les explosions à bord des bateaux de navigation intérieure</w:t>
      </w:r>
      <w:r w:rsidR="000F2D25">
        <w:rPr>
          <w:lang w:val="fr-FR"/>
        </w:rPr>
        <w:t> ;</w:t>
      </w:r>
      <w:r>
        <w:rPr>
          <w:lang w:val="fr-FR"/>
        </w:rPr>
        <w:t xml:space="preserve"> c)</w:t>
      </w:r>
      <w:r w:rsidR="000F2D25">
        <w:rPr>
          <w:lang w:val="fr-FR"/>
        </w:rPr>
        <w:t> </w:t>
      </w:r>
      <w:r>
        <w:rPr>
          <w:lang w:val="fr-FR"/>
        </w:rPr>
        <w:t>l</w:t>
      </w:r>
      <w:r w:rsidR="000F2D25">
        <w:rPr>
          <w:lang w:val="fr-FR"/>
        </w:rPr>
        <w:t>’</w:t>
      </w:r>
      <w:r>
        <w:rPr>
          <w:lang w:val="fr-FR"/>
        </w:rPr>
        <w:t>adoption d</w:t>
      </w:r>
      <w:r w:rsidR="000F2D25">
        <w:rPr>
          <w:lang w:val="fr-FR"/>
        </w:rPr>
        <w:t>’</w:t>
      </w:r>
      <w:r>
        <w:rPr>
          <w:lang w:val="fr-FR"/>
        </w:rPr>
        <w:t>une série d</w:t>
      </w:r>
      <w:r w:rsidR="000F2D25">
        <w:rPr>
          <w:lang w:val="fr-FR"/>
        </w:rPr>
        <w:t>’</w:t>
      </w:r>
      <w:r>
        <w:rPr>
          <w:lang w:val="fr-FR"/>
        </w:rPr>
        <w:t>amendements à l</w:t>
      </w:r>
      <w:r w:rsidR="000F2D25">
        <w:rPr>
          <w:lang w:val="fr-FR"/>
        </w:rPr>
        <w:t>’</w:t>
      </w:r>
      <w:r>
        <w:rPr>
          <w:lang w:val="fr-FR"/>
        </w:rPr>
        <w:t>Accord européen relatif au transport international des marchandises dangereuses par route (ADR), qui traite des questions nouvelles résultant du développement croissant du transport et de l</w:t>
      </w:r>
      <w:r w:rsidR="000F2D25">
        <w:rPr>
          <w:lang w:val="fr-FR"/>
        </w:rPr>
        <w:t>’</w:t>
      </w:r>
      <w:r>
        <w:rPr>
          <w:lang w:val="fr-FR"/>
        </w:rPr>
        <w:t>utilisation des piles au lithium et des véhicules fonctionnant avec des carburants moins polluants (tels que le gaz naturel liquéfié ou comprimé ou les piles à hydrogène)</w:t>
      </w:r>
      <w:r w:rsidR="000F2D25">
        <w:rPr>
          <w:lang w:val="fr-FR"/>
        </w:rPr>
        <w:t> ;</w:t>
      </w:r>
      <w:r>
        <w:rPr>
          <w:lang w:val="fr-FR"/>
        </w:rPr>
        <w:t xml:space="preserve"> d)</w:t>
      </w:r>
      <w:r w:rsidR="000F2D25">
        <w:rPr>
          <w:lang w:val="fr-FR"/>
        </w:rPr>
        <w:t> </w:t>
      </w:r>
      <w:r>
        <w:rPr>
          <w:lang w:val="fr-FR"/>
        </w:rPr>
        <w:t>l</w:t>
      </w:r>
      <w:r w:rsidR="000F2D25">
        <w:rPr>
          <w:lang w:val="fr-FR"/>
        </w:rPr>
        <w:t>’</w:t>
      </w:r>
      <w:r>
        <w:rPr>
          <w:lang w:val="fr-FR"/>
        </w:rPr>
        <w:t>accélération de l</w:t>
      </w:r>
      <w:r w:rsidR="000F2D25">
        <w:rPr>
          <w:lang w:val="fr-FR"/>
        </w:rPr>
        <w:t>’</w:t>
      </w:r>
      <w:r>
        <w:rPr>
          <w:lang w:val="fr-FR"/>
        </w:rPr>
        <w:t xml:space="preserve">informatisation du Système TIR, sous le nom de </w:t>
      </w:r>
      <w:r w:rsidR="000F2D25">
        <w:rPr>
          <w:lang w:val="fr-FR"/>
        </w:rPr>
        <w:t>« </w:t>
      </w:r>
      <w:r>
        <w:rPr>
          <w:lang w:val="fr-FR"/>
        </w:rPr>
        <w:t>eTIR</w:t>
      </w:r>
      <w:r w:rsidR="000F2D25">
        <w:rPr>
          <w:lang w:val="fr-FR"/>
        </w:rPr>
        <w:t> »</w:t>
      </w:r>
      <w:r>
        <w:rPr>
          <w:lang w:val="fr-FR"/>
        </w:rPr>
        <w:t>, qui s</w:t>
      </w:r>
      <w:r w:rsidR="000F2D25">
        <w:rPr>
          <w:lang w:val="fr-FR"/>
        </w:rPr>
        <w:t>’</w:t>
      </w:r>
      <w:r>
        <w:rPr>
          <w:lang w:val="fr-FR"/>
        </w:rPr>
        <w:t>est traduite par un attrait accru pour le Système dans les pays à croissance rapide et ceux qui s</w:t>
      </w:r>
      <w:r w:rsidR="000F2D25">
        <w:rPr>
          <w:lang w:val="fr-FR"/>
        </w:rPr>
        <w:t>’</w:t>
      </w:r>
      <w:r>
        <w:rPr>
          <w:lang w:val="fr-FR"/>
        </w:rPr>
        <w:t>efforcent de mettre en place une administration sans papier. Les opérations eTIR menées dans le cadre de projets pilotes entre l</w:t>
      </w:r>
      <w:r w:rsidR="000F2D25">
        <w:rPr>
          <w:lang w:val="fr-FR"/>
        </w:rPr>
        <w:t>’</w:t>
      </w:r>
      <w:r>
        <w:rPr>
          <w:lang w:val="fr-FR"/>
        </w:rPr>
        <w:t>Iran et la Turquie ainsi qu</w:t>
      </w:r>
      <w:r w:rsidR="000F2D25">
        <w:rPr>
          <w:lang w:val="fr-FR"/>
        </w:rPr>
        <w:t>’</w:t>
      </w:r>
      <w:r>
        <w:rPr>
          <w:lang w:val="fr-FR"/>
        </w:rPr>
        <w:t>entre la Géorgie et la Turquie ont fourni la preuve du bon fonctionnement du système en situation dans un environnement réel. L</w:t>
      </w:r>
      <w:r w:rsidR="000F2D25">
        <w:rPr>
          <w:lang w:val="fr-FR"/>
        </w:rPr>
        <w:t>’</w:t>
      </w:r>
      <w:r>
        <w:rPr>
          <w:lang w:val="fr-FR"/>
        </w:rPr>
        <w:t xml:space="preserve">efficacité de </w:t>
      </w:r>
      <w:r>
        <w:rPr>
          <w:lang w:val="fr-FR"/>
        </w:rPr>
        <w:lastRenderedPageBreak/>
        <w:t>ces activités est attestée par l</w:t>
      </w:r>
      <w:r w:rsidR="000F2D25">
        <w:rPr>
          <w:lang w:val="fr-FR"/>
        </w:rPr>
        <w:t>’</w:t>
      </w:r>
      <w:r>
        <w:rPr>
          <w:lang w:val="fr-FR"/>
        </w:rPr>
        <w:t>adhésion accrue des pays d</w:t>
      </w:r>
      <w:r w:rsidR="000F2D25">
        <w:rPr>
          <w:lang w:val="fr-FR"/>
        </w:rPr>
        <w:t>’</w:t>
      </w:r>
      <w:r>
        <w:rPr>
          <w:lang w:val="fr-FR"/>
        </w:rPr>
        <w:t>Asie et du Moyen-Orient à la Convention TIR. Parmi les dernières parties contractantes figurent la Chine, l</w:t>
      </w:r>
      <w:r w:rsidR="000F2D25">
        <w:rPr>
          <w:lang w:val="fr-FR"/>
        </w:rPr>
        <w:t>’</w:t>
      </w:r>
      <w:r>
        <w:rPr>
          <w:lang w:val="fr-FR"/>
        </w:rPr>
        <w:t>Inde et le Pakistan, qui représentent à eux seuls 40</w:t>
      </w:r>
      <w:r w:rsidR="00B161C4">
        <w:rPr>
          <w:lang w:val="fr-FR"/>
        </w:rPr>
        <w:t> </w:t>
      </w:r>
      <w:r>
        <w:rPr>
          <w:lang w:val="fr-FR"/>
        </w:rPr>
        <w:t xml:space="preserve">% de la population mondiale. </w:t>
      </w:r>
    </w:p>
    <w:p w:rsidR="00DD287A" w:rsidRPr="00D63F59" w:rsidRDefault="00DD287A" w:rsidP="008D66F7">
      <w:pPr>
        <w:pStyle w:val="Bullet1G"/>
      </w:pPr>
      <w:r>
        <w:rPr>
          <w:lang w:val="fr-FR"/>
        </w:rPr>
        <w:t>Les résultats cités ci-dessus ont contribué au renforcement de la viabilité des systèmes de transport dans les domaines suivants</w:t>
      </w:r>
      <w:r w:rsidR="000F2D25">
        <w:rPr>
          <w:lang w:val="fr-FR"/>
        </w:rPr>
        <w:t> :</w:t>
      </w:r>
      <w:r>
        <w:rPr>
          <w:lang w:val="fr-FR"/>
        </w:rPr>
        <w:t xml:space="preserve"> a)</w:t>
      </w:r>
      <w:r w:rsidR="000F2D25">
        <w:rPr>
          <w:lang w:val="fr-FR"/>
        </w:rPr>
        <w:t> </w:t>
      </w:r>
      <w:r>
        <w:rPr>
          <w:lang w:val="fr-FR"/>
        </w:rPr>
        <w:t>la sécurité, en particulier routière, pour laquelle les performances de la région de la CEE, notamment la réduction de 24</w:t>
      </w:r>
      <w:r w:rsidR="00B161C4">
        <w:rPr>
          <w:lang w:val="fr-FR"/>
        </w:rPr>
        <w:t> </w:t>
      </w:r>
      <w:r>
        <w:rPr>
          <w:lang w:val="fr-FR"/>
        </w:rPr>
        <w:t>% du nombre de tués et de blessés graves dont fait état la figure 3, la rapprochent de l</w:t>
      </w:r>
      <w:r w:rsidR="000F2D25">
        <w:rPr>
          <w:lang w:val="fr-FR"/>
        </w:rPr>
        <w:t>’</w:t>
      </w:r>
      <w:r>
        <w:rPr>
          <w:lang w:val="fr-FR"/>
        </w:rPr>
        <w:t>objectif 3.6 des OMD, à savoir réduire de moitié le nombre de tués et de blessés sur la route d</w:t>
      </w:r>
      <w:r w:rsidR="000F2D25">
        <w:rPr>
          <w:lang w:val="fr-FR"/>
        </w:rPr>
        <w:t>’</w:t>
      </w:r>
      <w:r>
        <w:rPr>
          <w:lang w:val="fr-FR"/>
        </w:rPr>
        <w:t>ici à 2020</w:t>
      </w:r>
      <w:r w:rsidR="000F2D25">
        <w:rPr>
          <w:lang w:val="fr-FR"/>
        </w:rPr>
        <w:t> ;</w:t>
      </w:r>
      <w:r>
        <w:rPr>
          <w:lang w:val="fr-FR"/>
        </w:rPr>
        <w:t xml:space="preserve"> b)</w:t>
      </w:r>
      <w:r w:rsidR="000F2D25">
        <w:rPr>
          <w:lang w:val="fr-FR"/>
        </w:rPr>
        <w:t> </w:t>
      </w:r>
      <w:r>
        <w:rPr>
          <w:lang w:val="fr-FR"/>
        </w:rPr>
        <w:t>les performances environnementales des transports (le transport vert)</w:t>
      </w:r>
      <w:r w:rsidR="000F2D25">
        <w:rPr>
          <w:lang w:val="fr-FR"/>
        </w:rPr>
        <w:t> :</w:t>
      </w:r>
      <w:r>
        <w:rPr>
          <w:lang w:val="fr-FR"/>
        </w:rPr>
        <w:t xml:space="preserve"> on prévoit une réduction de près de la moitié des émissions de CO</w:t>
      </w:r>
      <w:r>
        <w:rPr>
          <w:vertAlign w:val="subscript"/>
          <w:lang w:val="fr-FR"/>
        </w:rPr>
        <w:t>2</w:t>
      </w:r>
      <w:r>
        <w:rPr>
          <w:lang w:val="fr-FR"/>
        </w:rPr>
        <w:t xml:space="preserve"> par véhicule électrique par rapport à celles d</w:t>
      </w:r>
      <w:r w:rsidR="000F2D25">
        <w:rPr>
          <w:lang w:val="fr-FR"/>
        </w:rPr>
        <w:t>’</w:t>
      </w:r>
      <w:r>
        <w:rPr>
          <w:lang w:val="fr-FR"/>
        </w:rPr>
        <w:t>un véhicule équivalent fonctionnant aux combustibles fossiles</w:t>
      </w:r>
      <w:r w:rsidR="000F2D25">
        <w:rPr>
          <w:lang w:val="fr-FR"/>
        </w:rPr>
        <w:t> ;</w:t>
      </w:r>
      <w:r>
        <w:rPr>
          <w:lang w:val="fr-FR"/>
        </w:rPr>
        <w:t xml:space="preserve"> et c)</w:t>
      </w:r>
      <w:r w:rsidR="000F2D25">
        <w:rPr>
          <w:lang w:val="fr-FR"/>
        </w:rPr>
        <w:t> </w:t>
      </w:r>
      <w:r>
        <w:rPr>
          <w:lang w:val="fr-FR"/>
        </w:rPr>
        <w:t>l</w:t>
      </w:r>
      <w:r w:rsidR="000F2D25">
        <w:rPr>
          <w:lang w:val="fr-FR"/>
        </w:rPr>
        <w:t>’</w:t>
      </w:r>
      <w:r>
        <w:rPr>
          <w:lang w:val="fr-FR"/>
        </w:rPr>
        <w:t>efficacité</w:t>
      </w:r>
      <w:r w:rsidR="000F2D25">
        <w:rPr>
          <w:lang w:val="fr-FR"/>
        </w:rPr>
        <w:t> :</w:t>
      </w:r>
      <w:r>
        <w:rPr>
          <w:lang w:val="fr-FR"/>
        </w:rPr>
        <w:t xml:space="preserve"> les participants au projet pilote de transport eTIR ont mené avec succès 84 opérations, et ont décidé de continuer à en effectuer après l</w:t>
      </w:r>
      <w:r w:rsidR="000F2D25">
        <w:rPr>
          <w:lang w:val="fr-FR"/>
        </w:rPr>
        <w:t>’</w:t>
      </w:r>
      <w:r>
        <w:rPr>
          <w:lang w:val="fr-FR"/>
        </w:rPr>
        <w:t>achèvement de ce projet.</w:t>
      </w:r>
    </w:p>
    <w:p w:rsidR="00DD287A" w:rsidRPr="00D63F59" w:rsidRDefault="00DD287A" w:rsidP="008D66F7">
      <w:pPr>
        <w:pStyle w:val="Bullet1G"/>
      </w:pPr>
      <w:r>
        <w:rPr>
          <w:lang w:val="fr-FR"/>
        </w:rPr>
        <w:t>Ces résultats témoignent des progrès accomplis en 2018 sur la voie de la réalisation collective de l</w:t>
      </w:r>
      <w:r w:rsidR="000F2D25">
        <w:rPr>
          <w:lang w:val="fr-FR"/>
        </w:rPr>
        <w:t>’</w:t>
      </w:r>
      <w:r>
        <w:rPr>
          <w:lang w:val="fr-FR"/>
        </w:rPr>
        <w:t>objectif du sous-programme.</w:t>
      </w:r>
    </w:p>
    <w:p w:rsidR="00DD287A" w:rsidRPr="00D63F59" w:rsidRDefault="00DD287A" w:rsidP="00200F9E">
      <w:pPr>
        <w:pStyle w:val="SingleTxtG"/>
      </w:pPr>
      <w:r>
        <w:rPr>
          <w:lang w:val="fr-FR"/>
        </w:rPr>
        <w:t>32.</w:t>
      </w:r>
      <w:r>
        <w:rPr>
          <w:lang w:val="fr-FR"/>
        </w:rPr>
        <w:tab/>
        <w:t xml:space="preserve">Le résultat escompté pour 2018 indiqué dans le projet de budget-programme pour 2018-2019, à savoir le </w:t>
      </w:r>
      <w:r w:rsidR="000F2D25">
        <w:rPr>
          <w:lang w:val="fr-FR"/>
        </w:rPr>
        <w:t>« </w:t>
      </w:r>
      <w:r>
        <w:rPr>
          <w:lang w:val="fr-FR"/>
        </w:rPr>
        <w:t>Renforcement du cadre juridique et réglementaire concernant les transports intérieurs internationaux (routiers, ferroviaires, fluviaux et intermodaux), y</w:t>
      </w:r>
      <w:r w:rsidR="00C60233">
        <w:rPr>
          <w:lang w:val="fr-FR"/>
        </w:rPr>
        <w:t> </w:t>
      </w:r>
      <w:r>
        <w:rPr>
          <w:lang w:val="fr-FR"/>
        </w:rPr>
        <w:t>compris les infrastructures, la facilitation du passage des frontières, le transport des marchandises dangereuses, la construction automobile et d’autres services liés aux transports</w:t>
      </w:r>
      <w:r w:rsidR="000F2D25">
        <w:rPr>
          <w:lang w:val="fr-FR"/>
        </w:rPr>
        <w:t> »</w:t>
      </w:r>
      <w:r>
        <w:rPr>
          <w:lang w:val="fr-FR"/>
        </w:rPr>
        <w:t>, a été atteint comme prévu, avec l</w:t>
      </w:r>
      <w:r w:rsidR="000F2D25">
        <w:rPr>
          <w:lang w:val="fr-FR"/>
        </w:rPr>
        <w:t>’</w:t>
      </w:r>
      <w:r>
        <w:rPr>
          <w:lang w:val="fr-FR"/>
        </w:rPr>
        <w:t>adoption de 100 nouveaux règlements et de mises à jour de règlements existants. Grâce à ce résultat, les travaux menés dans le cadre du sous-programme ont contribué à la réalisation des objectifs visés pour les thèmes communs suivants : utilisation durable des ressources naturelles, villes intelligentes et durables</w:t>
      </w:r>
      <w:r w:rsidR="000F2D25">
        <w:rPr>
          <w:lang w:val="fr-FR"/>
        </w:rPr>
        <w:t> ;</w:t>
      </w:r>
      <w:r>
        <w:rPr>
          <w:lang w:val="fr-FR"/>
        </w:rPr>
        <w:t xml:space="preserve"> et mobilité durable et connectivité intelligente.</w:t>
      </w:r>
    </w:p>
    <w:p w:rsidR="00DD287A" w:rsidRPr="007F428B" w:rsidRDefault="00200F9E" w:rsidP="00200F9E">
      <w:pPr>
        <w:pStyle w:val="H1G"/>
      </w:pPr>
      <w:r>
        <w:rPr>
          <w:lang w:val="fr-FR"/>
        </w:rPr>
        <w:tab/>
      </w:r>
      <w:r w:rsidR="00DD287A">
        <w:rPr>
          <w:lang w:val="fr-FR"/>
        </w:rPr>
        <w:t>D.</w:t>
      </w:r>
      <w:r w:rsidR="00DD287A">
        <w:rPr>
          <w:lang w:val="fr-FR"/>
        </w:rPr>
        <w:tab/>
      </w:r>
      <w:r w:rsidR="00DD287A">
        <w:rPr>
          <w:bCs/>
          <w:lang w:val="fr-FR"/>
        </w:rPr>
        <w:t>Résultat le plus significatif prévu pour 2020</w:t>
      </w:r>
    </w:p>
    <w:p w:rsidR="00DD287A" w:rsidRPr="00D63F59" w:rsidRDefault="00DD287A" w:rsidP="008D66F7">
      <w:pPr>
        <w:pStyle w:val="H23G"/>
      </w:pPr>
      <w:r>
        <w:rPr>
          <w:lang w:val="fr-FR"/>
        </w:rPr>
        <w:tab/>
      </w:r>
      <w:r>
        <w:rPr>
          <w:lang w:val="fr-FR"/>
        </w:rPr>
        <w:tab/>
        <w:t>Renforcement de l’action d</w:t>
      </w:r>
      <w:r w:rsidR="000F2D25">
        <w:rPr>
          <w:lang w:val="fr-FR"/>
        </w:rPr>
        <w:t>’</w:t>
      </w:r>
      <w:r>
        <w:rPr>
          <w:lang w:val="fr-FR"/>
        </w:rPr>
        <w:t>appui à la viabilité des systèmes de transport intérieur</w:t>
      </w:r>
    </w:p>
    <w:p w:rsidR="00DD287A" w:rsidRPr="00D63F59" w:rsidRDefault="00DD287A" w:rsidP="008D66F7">
      <w:pPr>
        <w:pStyle w:val="Bullet1G"/>
      </w:pPr>
      <w:r>
        <w:rPr>
          <w:lang w:val="fr-FR"/>
        </w:rPr>
        <w:t>Les auteurs du Rapport sur les objectifs de développement durable 2017 ont conclu que, si des progrès considérables avaient été accomplis au cours de la dernière décennie dans tous les domaines du développement, les avancées étaient inégales d</w:t>
      </w:r>
      <w:r w:rsidR="000F2D25">
        <w:rPr>
          <w:lang w:val="fr-FR"/>
        </w:rPr>
        <w:t>’</w:t>
      </w:r>
      <w:r>
        <w:rPr>
          <w:lang w:val="fr-FR"/>
        </w:rPr>
        <w:t>une région à l</w:t>
      </w:r>
      <w:r w:rsidR="000F2D25">
        <w:rPr>
          <w:lang w:val="fr-FR"/>
        </w:rPr>
        <w:t>’</w:t>
      </w:r>
      <w:r>
        <w:rPr>
          <w:lang w:val="fr-FR"/>
        </w:rPr>
        <w:t>autre et le rythme des progrès n</w:t>
      </w:r>
      <w:r w:rsidR="000F2D25">
        <w:rPr>
          <w:lang w:val="fr-FR"/>
        </w:rPr>
        <w:t>’</w:t>
      </w:r>
      <w:r>
        <w:rPr>
          <w:lang w:val="fr-FR"/>
        </w:rPr>
        <w:t>était pas suffisant pour atteindre pleinement d’ici à 2030 les cibles définies dans le cadre des objectifs de développement durable. La sécurité routière en fournit la meilleure illustration</w:t>
      </w:r>
      <w:r w:rsidR="000F2D25">
        <w:rPr>
          <w:lang w:val="fr-FR"/>
        </w:rPr>
        <w:t> :</w:t>
      </w:r>
      <w:r>
        <w:rPr>
          <w:lang w:val="fr-FR"/>
        </w:rPr>
        <w:t xml:space="preserve"> en 2018, l</w:t>
      </w:r>
      <w:r w:rsidR="000F2D25">
        <w:rPr>
          <w:lang w:val="fr-FR"/>
        </w:rPr>
        <w:t>’</w:t>
      </w:r>
      <w:r>
        <w:rPr>
          <w:lang w:val="fr-FR"/>
        </w:rPr>
        <w:t>Assemblée générale a conclu que la cible 3.6 (diminuer de moitié d</w:t>
      </w:r>
      <w:r w:rsidR="000F2D25">
        <w:rPr>
          <w:lang w:val="fr-FR"/>
        </w:rPr>
        <w:t>’</w:t>
      </w:r>
      <w:r>
        <w:rPr>
          <w:lang w:val="fr-FR"/>
        </w:rPr>
        <w:t>ici à 2020 le nombre de décès et de blessures dus à des accidents de la route dans le monde) ne serait pas atteint. Malgré l</w:t>
      </w:r>
      <w:r w:rsidR="000F2D25">
        <w:rPr>
          <w:lang w:val="fr-FR"/>
        </w:rPr>
        <w:t>’</w:t>
      </w:r>
      <w:r>
        <w:rPr>
          <w:lang w:val="fr-FR"/>
        </w:rPr>
        <w:t xml:space="preserve">action menée dans le monde entier, et les améliorations globales obtenues dans la région de la CEE, la tendance mondiale semble en effet aller dans la direction opposée de la réalisation effective de cette cible. </w:t>
      </w:r>
    </w:p>
    <w:p w:rsidR="00DD287A" w:rsidRPr="00D63F59" w:rsidRDefault="00DD287A" w:rsidP="008D66F7">
      <w:pPr>
        <w:pStyle w:val="Bullet1G"/>
      </w:pPr>
      <w:r>
        <w:rPr>
          <w:lang w:val="fr-FR"/>
        </w:rPr>
        <w:t>Pour 2020, il est donc prévu de redoubler d</w:t>
      </w:r>
      <w:r w:rsidR="000F2D25">
        <w:rPr>
          <w:lang w:val="fr-FR"/>
        </w:rPr>
        <w:t>’</w:t>
      </w:r>
      <w:r>
        <w:rPr>
          <w:lang w:val="fr-FR"/>
        </w:rPr>
        <w:t>efforts dans le cadre du sous-programme pour faire en sorte que ses activités profitent davantage à d</w:t>
      </w:r>
      <w:r w:rsidR="000F2D25">
        <w:rPr>
          <w:lang w:val="fr-FR"/>
        </w:rPr>
        <w:t>’</w:t>
      </w:r>
      <w:r>
        <w:rPr>
          <w:lang w:val="fr-FR"/>
        </w:rPr>
        <w:t>autres régions qui s</w:t>
      </w:r>
      <w:r w:rsidR="000F2D25">
        <w:rPr>
          <w:lang w:val="fr-FR"/>
        </w:rPr>
        <w:t>’</w:t>
      </w:r>
      <w:r>
        <w:rPr>
          <w:lang w:val="fr-FR"/>
        </w:rPr>
        <w:t>emploient à réduire le nombre de tués et de blessés sur les routes</w:t>
      </w:r>
      <w:r w:rsidR="000F2D25">
        <w:rPr>
          <w:lang w:val="fr-FR"/>
        </w:rPr>
        <w:t> ;</w:t>
      </w:r>
      <w:r>
        <w:rPr>
          <w:lang w:val="fr-FR"/>
        </w:rPr>
        <w:t xml:space="preserve"> à améliorer la performance environnementale des systèmes de transport intérieur, y compris dans le domaine du transport des denrées alimentaires périssables</w:t>
      </w:r>
      <w:r w:rsidR="000F2D25">
        <w:rPr>
          <w:lang w:val="fr-FR"/>
        </w:rPr>
        <w:t> ;</w:t>
      </w:r>
      <w:r>
        <w:rPr>
          <w:lang w:val="fr-FR"/>
        </w:rPr>
        <w:t xml:space="preserve"> et à améliorer l</w:t>
      </w:r>
      <w:r w:rsidR="000F2D25">
        <w:rPr>
          <w:lang w:val="fr-FR"/>
        </w:rPr>
        <w:t>’</w:t>
      </w:r>
      <w:r>
        <w:rPr>
          <w:lang w:val="fr-FR"/>
        </w:rPr>
        <w:t>efficacité et la connectivité, notamment grâce à la numérisation et à la dématérialisation de la documentation dans les transports. Le Comité prévoit de s</w:t>
      </w:r>
      <w:r w:rsidR="000F2D25">
        <w:rPr>
          <w:lang w:val="fr-FR"/>
        </w:rPr>
        <w:t>’</w:t>
      </w:r>
      <w:r>
        <w:rPr>
          <w:lang w:val="fr-FR"/>
        </w:rPr>
        <w:t>y consacrer par la mise en œuvre de sa stratégie, notamment en encourageant la participation de pays extérieurs à la région de la CEE aux activités du Comité et de ses organes subsidiaires, et en intensifiant les activités de sensibilisation et de renforcement des capacités, notamment par des partenariats avec d</w:t>
      </w:r>
      <w:r w:rsidR="000F2D25">
        <w:rPr>
          <w:lang w:val="fr-FR"/>
        </w:rPr>
        <w:t>’</w:t>
      </w:r>
      <w:r>
        <w:rPr>
          <w:lang w:val="fr-FR"/>
        </w:rPr>
        <w:t xml:space="preserve">autres entités des Nations Unies et des parties prenantes extérieures et la participation aux initiatives régionales et mondiales. </w:t>
      </w:r>
    </w:p>
    <w:p w:rsidR="00DD287A" w:rsidRPr="00D63F59" w:rsidRDefault="00DD287A" w:rsidP="008D66F7">
      <w:pPr>
        <w:pStyle w:val="Bullet1G"/>
      </w:pPr>
      <w:r>
        <w:rPr>
          <w:lang w:val="fr-FR"/>
        </w:rPr>
        <w:lastRenderedPageBreak/>
        <w:t>Il a été démontré que les pays comptant le plus grand nombre d</w:t>
      </w:r>
      <w:r w:rsidR="000F2D25">
        <w:rPr>
          <w:lang w:val="fr-FR"/>
        </w:rPr>
        <w:t>’</w:t>
      </w:r>
      <w:r>
        <w:rPr>
          <w:lang w:val="fr-FR"/>
        </w:rPr>
        <w:t>adhésions aux conventions et accords relevant de la compétence du Comité avaient, entre autres, de meilleurs résultats en matière de sécurité routière. Par conséquent, le résultat escompté correspondant à l</w:t>
      </w:r>
      <w:r w:rsidR="000F2D25">
        <w:rPr>
          <w:lang w:val="fr-FR"/>
        </w:rPr>
        <w:t>’</w:t>
      </w:r>
      <w:r>
        <w:rPr>
          <w:lang w:val="fr-FR"/>
        </w:rPr>
        <w:t xml:space="preserve">accent supplémentaire mis sur les activités </w:t>
      </w:r>
      <w:r w:rsidR="001B4D3E">
        <w:rPr>
          <w:lang w:val="fr-FR"/>
        </w:rPr>
        <w:t>menées</w:t>
      </w:r>
      <w:r>
        <w:rPr>
          <w:lang w:val="fr-FR"/>
        </w:rPr>
        <w:t xml:space="preserve"> dans le cadre du sous-programme à l</w:t>
      </w:r>
      <w:r w:rsidR="000F2D25">
        <w:rPr>
          <w:lang w:val="fr-FR"/>
        </w:rPr>
        <w:t>’</w:t>
      </w:r>
      <w:r>
        <w:rPr>
          <w:lang w:val="fr-FR"/>
        </w:rPr>
        <w:t>appui du développement à l</w:t>
      </w:r>
      <w:r w:rsidR="000F2D25">
        <w:rPr>
          <w:lang w:val="fr-FR"/>
        </w:rPr>
        <w:t>’</w:t>
      </w:r>
      <w:r>
        <w:rPr>
          <w:lang w:val="fr-FR"/>
        </w:rPr>
        <w:t>échelle internationale de systèmes de transport intérieur durables sera un renforcement des cadres juridiques et réglementaires visant à assurer la viabilité des transports intérieurs. Ce résultat sera notamment démontré par une augmentation du nombre d</w:t>
      </w:r>
      <w:r w:rsidR="000F2D25">
        <w:rPr>
          <w:lang w:val="fr-FR"/>
        </w:rPr>
        <w:t>’</w:t>
      </w:r>
      <w:r>
        <w:rPr>
          <w:lang w:val="fr-FR"/>
        </w:rPr>
        <w:t>adhésions aux conventions et accords relevant de la compétence du Comité, en particulier dans les pays extérieurs à la région de la CEE, comme le montre la figure ci-dessous. Ce résultat escompté serait la preuve que des progrès auront été accomplis en 2020 sur la voie de la réalisation collective de l</w:t>
      </w:r>
      <w:r w:rsidR="000F2D25">
        <w:rPr>
          <w:lang w:val="fr-FR"/>
        </w:rPr>
        <w:t>’</w:t>
      </w:r>
      <w:r>
        <w:rPr>
          <w:lang w:val="fr-FR"/>
        </w:rPr>
        <w:t>objectif du sous-programme. En effet, il marquerait un progrès dans les travaux menés sur les thèmes communs suivants</w:t>
      </w:r>
      <w:r w:rsidR="000F2D25">
        <w:rPr>
          <w:lang w:val="fr-FR"/>
        </w:rPr>
        <w:t> :</w:t>
      </w:r>
      <w:r>
        <w:rPr>
          <w:lang w:val="fr-FR"/>
        </w:rPr>
        <w:t xml:space="preserve"> utilisation durable des ressources naturelles, villes intelligentes et durables</w:t>
      </w:r>
      <w:r w:rsidR="000F2D25">
        <w:rPr>
          <w:lang w:val="fr-FR"/>
        </w:rPr>
        <w:t> ;</w:t>
      </w:r>
      <w:r>
        <w:rPr>
          <w:lang w:val="fr-FR"/>
        </w:rPr>
        <w:t xml:space="preserve"> mobilité durable et connectivité intelligente</w:t>
      </w:r>
      <w:r w:rsidR="000F2D25">
        <w:rPr>
          <w:lang w:val="fr-FR"/>
        </w:rPr>
        <w:t> ;</w:t>
      </w:r>
      <w:r>
        <w:rPr>
          <w:lang w:val="fr-FR"/>
        </w:rPr>
        <w:t xml:space="preserve"> et mesure et suivi de la mise en application des objectifs de développement durable.</w:t>
      </w:r>
    </w:p>
    <w:p w:rsidR="00050ADB" w:rsidRDefault="00DD287A" w:rsidP="004F5BB3">
      <w:pPr>
        <w:pStyle w:val="Titre1"/>
        <w:spacing w:after="120"/>
        <w:rPr>
          <w:lang w:val="fr-FR"/>
        </w:rPr>
      </w:pPr>
      <w:r w:rsidRPr="00C60233">
        <w:rPr>
          <w:i/>
          <w:lang w:val="fr-FR"/>
        </w:rPr>
        <w:t>Figure 4</w:t>
      </w:r>
      <w:r w:rsidR="00183E08">
        <w:rPr>
          <w:lang w:val="fr-FR"/>
        </w:rPr>
        <w:t xml:space="preserve"> </w:t>
      </w:r>
      <w:r w:rsidR="00183E08">
        <w:rPr>
          <w:lang w:val="fr-FR"/>
        </w:rPr>
        <w:br/>
      </w:r>
      <w:r w:rsidR="008A49F5">
        <w:rPr>
          <w:noProof/>
          <w:lang w:eastAsia="ja-JP"/>
        </w:rPr>
        <w:drawing>
          <wp:inline distT="0" distB="0" distL="0" distR="0" wp14:anchorId="6BFBAC80" wp14:editId="31158AEF">
            <wp:extent cx="4680000" cy="1159200"/>
            <wp:effectExtent l="0" t="0" r="6350" b="317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0000" cy="1159200"/>
                    </a:xfrm>
                    <a:prstGeom prst="rect">
                      <a:avLst/>
                    </a:prstGeom>
                  </pic:spPr>
                </pic:pic>
              </a:graphicData>
            </a:graphic>
          </wp:inline>
        </w:drawing>
      </w:r>
    </w:p>
    <w:p w:rsidR="00DD287A" w:rsidRPr="00D63F59" w:rsidRDefault="00DD287A" w:rsidP="008D66F7">
      <w:pPr>
        <w:pStyle w:val="SingleTxtG"/>
      </w:pPr>
      <w:r>
        <w:rPr>
          <w:lang w:val="fr-FR"/>
        </w:rPr>
        <w:t>33.</w:t>
      </w:r>
      <w:r>
        <w:rPr>
          <w:lang w:val="fr-FR"/>
        </w:rPr>
        <w:tab/>
        <w:t>Les principaux mandats correspondant au sous-programme sont énoncés dans les résolutions suivantes de l</w:t>
      </w:r>
      <w:r w:rsidR="000F2D25">
        <w:rPr>
          <w:lang w:val="fr-FR"/>
        </w:rPr>
        <w:t>’</w:t>
      </w:r>
      <w:r>
        <w:rPr>
          <w:lang w:val="fr-FR"/>
        </w:rPr>
        <w:t>Assemblée générale</w:t>
      </w:r>
      <w:r w:rsidR="000F2D25">
        <w:rPr>
          <w:lang w:val="fr-FR"/>
        </w:rPr>
        <w:t> :</w:t>
      </w:r>
      <w:r>
        <w:rPr>
          <w:lang w:val="fr-FR"/>
        </w:rPr>
        <w:t xml:space="preserve"> 58/9 (Crise mondiale de la sécurité routière)</w:t>
      </w:r>
      <w:r w:rsidR="000F2D25">
        <w:rPr>
          <w:lang w:val="fr-FR"/>
        </w:rPr>
        <w:t> ;</w:t>
      </w:r>
      <w:r>
        <w:rPr>
          <w:lang w:val="fr-FR"/>
        </w:rPr>
        <w:t xml:space="preserve"> 68/269 (Amélioration de la sécurité routière mondiale)</w:t>
      </w:r>
      <w:r w:rsidR="000F2D25">
        <w:rPr>
          <w:lang w:val="fr-FR"/>
        </w:rPr>
        <w:t> ;</w:t>
      </w:r>
      <w:r>
        <w:rPr>
          <w:lang w:val="fr-FR"/>
        </w:rPr>
        <w:t xml:space="preserve"> 69/137 (Programme d’action en faveur des pays en développement sans littoral pour la décennie 2014-2024)</w:t>
      </w:r>
      <w:r w:rsidR="000F2D25">
        <w:rPr>
          <w:lang w:val="fr-FR"/>
        </w:rPr>
        <w:t> ;</w:t>
      </w:r>
      <w:r>
        <w:rPr>
          <w:lang w:val="fr-FR"/>
        </w:rPr>
        <w:t xml:space="preserve"> 69/213 (Le rôle des couloirs de transport et de transit en matière de coopération internationale et de développement durable)</w:t>
      </w:r>
      <w:r w:rsidR="000F2D25">
        <w:rPr>
          <w:lang w:val="fr-FR"/>
        </w:rPr>
        <w:t> ;</w:t>
      </w:r>
      <w:r>
        <w:rPr>
          <w:lang w:val="fr-FR"/>
        </w:rPr>
        <w:t xml:space="preserve"> 70/197 (Vers une coopération de tous les acteurs du secteur des transports pour la promotion de couloirs de transit multimodal durables)</w:t>
      </w:r>
      <w:r w:rsidR="000F2D25">
        <w:rPr>
          <w:lang w:val="fr-FR"/>
        </w:rPr>
        <w:t> ;</w:t>
      </w:r>
      <w:r>
        <w:rPr>
          <w:lang w:val="fr-FR"/>
        </w:rPr>
        <w:t xml:space="preserve"> 70/217 (Suivi de la deuxième Conférence des Nations Unies sur les pays en développement sans littoral)</w:t>
      </w:r>
      <w:r w:rsidR="000F2D25">
        <w:rPr>
          <w:lang w:val="fr-FR"/>
        </w:rPr>
        <w:t> ;</w:t>
      </w:r>
      <w:r>
        <w:rPr>
          <w:lang w:val="fr-FR"/>
        </w:rPr>
        <w:t xml:space="preserve"> 72/212 (Renforcer les liens entre tous les modes de transport pour atteindre les objectifs de développement durable)</w:t>
      </w:r>
      <w:r w:rsidR="000F2D25">
        <w:rPr>
          <w:lang w:val="fr-FR"/>
        </w:rPr>
        <w:t> ;</w:t>
      </w:r>
      <w:r>
        <w:rPr>
          <w:lang w:val="fr-FR"/>
        </w:rPr>
        <w:t xml:space="preserve"> et 72/232 (Suivi de la deuxième Conférence des Nations Unies sur les pays en développement sans littoral). </w:t>
      </w:r>
    </w:p>
    <w:p w:rsidR="00DD287A" w:rsidRPr="00D63F59" w:rsidRDefault="00DD287A" w:rsidP="00200F9E">
      <w:pPr>
        <w:pStyle w:val="SingleTxtG"/>
      </w:pPr>
      <w:r>
        <w:rPr>
          <w:lang w:val="fr-FR"/>
        </w:rPr>
        <w:t>34.</w:t>
      </w:r>
      <w:r>
        <w:rPr>
          <w:lang w:val="fr-FR"/>
        </w:rPr>
        <w:tab/>
        <w:t>Un nouveau mandat a été défini pour le sous-programme en 2018 par la résolution 72/271 de l</w:t>
      </w:r>
      <w:r w:rsidR="000F2D25">
        <w:rPr>
          <w:lang w:val="fr-FR"/>
        </w:rPr>
        <w:t>’</w:t>
      </w:r>
      <w:r>
        <w:rPr>
          <w:lang w:val="fr-FR"/>
        </w:rPr>
        <w:t>Assemblée générale, sur l</w:t>
      </w:r>
      <w:r w:rsidR="000F2D25">
        <w:rPr>
          <w:lang w:val="fr-FR"/>
        </w:rPr>
        <w:t>’</w:t>
      </w:r>
      <w:r>
        <w:rPr>
          <w:lang w:val="fr-FR"/>
        </w:rPr>
        <w:t xml:space="preserve">amélioration de la sécurité routière mondiale. </w:t>
      </w:r>
    </w:p>
    <w:p w:rsidR="00DD287A" w:rsidRPr="00D63F59" w:rsidRDefault="00DD287A" w:rsidP="00200F9E">
      <w:pPr>
        <w:pStyle w:val="SingleTxtG"/>
        <w:rPr>
          <w:spacing w:val="4"/>
          <w:kern w:val="14"/>
        </w:rPr>
      </w:pPr>
      <w:r>
        <w:rPr>
          <w:lang w:val="fr-FR"/>
        </w:rPr>
        <w:t>35.</w:t>
      </w:r>
      <w:r>
        <w:rPr>
          <w:lang w:val="fr-FR"/>
        </w:rPr>
        <w:tab/>
        <w:t xml:space="preserve">Tous les mandats définis pour le sous-programme, lesquels constituent le cadre législatif de ses </w:t>
      </w:r>
      <w:r w:rsidRPr="00BE5C66">
        <w:rPr>
          <w:lang w:val="fr-FR"/>
        </w:rPr>
        <w:t>éléments à livrer</w:t>
      </w:r>
      <w:r>
        <w:rPr>
          <w:lang w:val="fr-FR"/>
        </w:rPr>
        <w:t xml:space="preserve">, continueront de guider ses travaux. </w:t>
      </w:r>
    </w:p>
    <w:p w:rsidR="00DD287A" w:rsidRPr="00D63F59" w:rsidRDefault="00DD287A" w:rsidP="00200F9E">
      <w:pPr>
        <w:pStyle w:val="H1G"/>
        <w:rPr>
          <w:rFonts w:eastAsia="Calibri"/>
        </w:rPr>
      </w:pPr>
      <w:r>
        <w:rPr>
          <w:lang w:val="fr-FR"/>
        </w:rPr>
        <w:tab/>
        <w:t>E.</w:t>
      </w:r>
      <w:r>
        <w:rPr>
          <w:lang w:val="fr-FR"/>
        </w:rPr>
        <w:tab/>
        <w:t>Éléments à livrer pour la période 2018-2020</w:t>
      </w:r>
    </w:p>
    <w:p w:rsidR="00DD287A" w:rsidRPr="00D63F59" w:rsidRDefault="00DD287A" w:rsidP="00200F9E">
      <w:pPr>
        <w:pStyle w:val="SingleTxtG"/>
      </w:pPr>
      <w:r>
        <w:rPr>
          <w:lang w:val="fr-FR"/>
        </w:rPr>
        <w:t>36.</w:t>
      </w:r>
      <w:r>
        <w:rPr>
          <w:lang w:val="fr-FR"/>
        </w:rPr>
        <w:tab/>
        <w:t>Le tableau ci-dessous énumère tous les éléments à livrer pour la période 2018-2020, par catégorie et sous-catégorie, qui contribueront à la réalisation de l</w:t>
      </w:r>
      <w:r w:rsidR="000F2D25">
        <w:rPr>
          <w:lang w:val="fr-FR"/>
        </w:rPr>
        <w:t>’</w:t>
      </w:r>
      <w:r>
        <w:rPr>
          <w:lang w:val="fr-FR"/>
        </w:rPr>
        <w:t>objectif énoncé ci-dessus.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9"/>
        <w:gridCol w:w="1928"/>
        <w:gridCol w:w="851"/>
        <w:gridCol w:w="851"/>
        <w:gridCol w:w="851"/>
        <w:gridCol w:w="851"/>
      </w:tblGrid>
      <w:tr w:rsidR="00D85309" w:rsidRPr="00DB4171" w:rsidTr="00D85309">
        <w:trPr>
          <w:tblHeader/>
        </w:trPr>
        <w:tc>
          <w:tcPr>
            <w:tcW w:w="4309" w:type="dxa"/>
            <w:tcBorders>
              <w:top w:val="single" w:sz="4" w:space="0" w:color="auto"/>
              <w:bottom w:val="single" w:sz="12" w:space="0" w:color="auto"/>
            </w:tcBorders>
            <w:shd w:val="clear" w:color="auto" w:fill="auto"/>
            <w:vAlign w:val="bottom"/>
          </w:tcPr>
          <w:p w:rsidR="005F6821" w:rsidRPr="00DB4171" w:rsidRDefault="005F6821" w:rsidP="00DB4171">
            <w:pPr>
              <w:suppressAutoHyphens w:val="0"/>
              <w:spacing w:before="80" w:after="80" w:line="200" w:lineRule="exact"/>
              <w:rPr>
                <w:rFonts w:eastAsia="DengXian"/>
                <w:i/>
                <w:sz w:val="16"/>
              </w:rPr>
            </w:pPr>
            <w:r w:rsidRPr="00DB4171">
              <w:rPr>
                <w:i/>
                <w:sz w:val="16"/>
                <w:lang w:val="fr-FR"/>
              </w:rPr>
              <w:t>Catégorie</w:t>
            </w:r>
          </w:p>
        </w:tc>
        <w:tc>
          <w:tcPr>
            <w:tcW w:w="1928" w:type="dxa"/>
            <w:tcBorders>
              <w:top w:val="single" w:sz="4" w:space="0" w:color="auto"/>
              <w:bottom w:val="single" w:sz="12" w:space="0" w:color="auto"/>
            </w:tcBorders>
            <w:shd w:val="clear" w:color="auto" w:fill="auto"/>
            <w:vAlign w:val="bottom"/>
          </w:tcPr>
          <w:p w:rsidR="005F6821" w:rsidRPr="00DB4171" w:rsidRDefault="005F6821" w:rsidP="00D85309">
            <w:pPr>
              <w:suppressAutoHyphens w:val="0"/>
              <w:spacing w:before="80" w:after="80" w:line="200" w:lineRule="exact"/>
              <w:rPr>
                <w:rFonts w:eastAsia="DengXian"/>
                <w:i/>
                <w:sz w:val="16"/>
              </w:rPr>
            </w:pPr>
            <w:r w:rsidRPr="00DB4171">
              <w:rPr>
                <w:i/>
                <w:sz w:val="16"/>
                <w:lang w:val="fr-FR"/>
              </w:rPr>
              <w:t>Unités de mesure</w:t>
            </w:r>
          </w:p>
        </w:tc>
        <w:tc>
          <w:tcPr>
            <w:tcW w:w="851" w:type="dxa"/>
            <w:tcBorders>
              <w:top w:val="single" w:sz="4" w:space="0" w:color="auto"/>
              <w:bottom w:val="single" w:sz="12" w:space="0" w:color="auto"/>
            </w:tcBorders>
            <w:shd w:val="clear" w:color="auto" w:fill="auto"/>
            <w:vAlign w:val="bottom"/>
          </w:tcPr>
          <w:p w:rsidR="005F6821" w:rsidRPr="00DB4171" w:rsidRDefault="005F6821" w:rsidP="00DB4171">
            <w:pPr>
              <w:suppressAutoHyphens w:val="0"/>
              <w:spacing w:before="80" w:after="80" w:line="200" w:lineRule="exact"/>
              <w:jc w:val="right"/>
              <w:rPr>
                <w:rFonts w:eastAsia="Calibri"/>
                <w:i/>
                <w:sz w:val="16"/>
              </w:rPr>
            </w:pPr>
            <w:r w:rsidRPr="00DB4171">
              <w:rPr>
                <w:i/>
                <w:sz w:val="16"/>
                <w:lang w:val="fr-FR"/>
              </w:rPr>
              <w:t>2018 (prévisions)</w:t>
            </w:r>
          </w:p>
        </w:tc>
        <w:tc>
          <w:tcPr>
            <w:tcW w:w="851" w:type="dxa"/>
            <w:tcBorders>
              <w:top w:val="single" w:sz="4" w:space="0" w:color="auto"/>
              <w:bottom w:val="single" w:sz="12" w:space="0" w:color="auto"/>
            </w:tcBorders>
            <w:shd w:val="clear" w:color="auto" w:fill="auto"/>
            <w:vAlign w:val="bottom"/>
          </w:tcPr>
          <w:p w:rsidR="005F6821" w:rsidRPr="00DB4171" w:rsidRDefault="005F6821" w:rsidP="00DB4171">
            <w:pPr>
              <w:suppressAutoHyphens w:val="0"/>
              <w:spacing w:before="80" w:after="80" w:line="200" w:lineRule="exact"/>
              <w:jc w:val="right"/>
              <w:rPr>
                <w:rFonts w:eastAsia="Calibri"/>
                <w:i/>
                <w:sz w:val="16"/>
              </w:rPr>
            </w:pPr>
            <w:r w:rsidRPr="00DB4171">
              <w:rPr>
                <w:i/>
                <w:sz w:val="16"/>
                <w:lang w:val="fr-FR"/>
              </w:rPr>
              <w:t>2018 (montants effectifs)</w:t>
            </w:r>
          </w:p>
        </w:tc>
        <w:tc>
          <w:tcPr>
            <w:tcW w:w="851" w:type="dxa"/>
            <w:tcBorders>
              <w:top w:val="single" w:sz="4" w:space="0" w:color="auto"/>
              <w:bottom w:val="single" w:sz="12" w:space="0" w:color="auto"/>
            </w:tcBorders>
            <w:shd w:val="clear" w:color="auto" w:fill="auto"/>
            <w:vAlign w:val="bottom"/>
          </w:tcPr>
          <w:p w:rsidR="005F6821" w:rsidRPr="00DB4171" w:rsidRDefault="005F6821" w:rsidP="005F6821">
            <w:pPr>
              <w:spacing w:before="80" w:after="80" w:line="200" w:lineRule="exact"/>
              <w:jc w:val="right"/>
              <w:rPr>
                <w:rFonts w:eastAsia="Calibri"/>
                <w:i/>
                <w:sz w:val="16"/>
              </w:rPr>
            </w:pPr>
            <w:r w:rsidRPr="005F6821">
              <w:rPr>
                <w:i/>
                <w:sz w:val="16"/>
                <w:lang w:val="fr-FR"/>
              </w:rPr>
              <w:t>2019 (prévisions)</w:t>
            </w:r>
          </w:p>
        </w:tc>
        <w:tc>
          <w:tcPr>
            <w:tcW w:w="851" w:type="dxa"/>
            <w:tcBorders>
              <w:top w:val="single" w:sz="4" w:space="0" w:color="auto"/>
              <w:bottom w:val="single" w:sz="12" w:space="0" w:color="auto"/>
            </w:tcBorders>
            <w:shd w:val="clear" w:color="auto" w:fill="auto"/>
            <w:vAlign w:val="bottom"/>
          </w:tcPr>
          <w:p w:rsidR="005F6821" w:rsidRPr="00DB4171" w:rsidRDefault="005F6821" w:rsidP="005F6821">
            <w:pPr>
              <w:spacing w:before="80" w:after="80" w:line="200" w:lineRule="exact"/>
              <w:jc w:val="right"/>
              <w:rPr>
                <w:rFonts w:eastAsia="Calibri"/>
                <w:i/>
                <w:sz w:val="16"/>
              </w:rPr>
            </w:pPr>
            <w:r w:rsidRPr="005F6821">
              <w:rPr>
                <w:i/>
                <w:sz w:val="16"/>
                <w:lang w:val="fr-FR"/>
              </w:rPr>
              <w:t>2020 (prévisions)</w:t>
            </w:r>
          </w:p>
        </w:tc>
      </w:tr>
      <w:tr w:rsidR="005F6821" w:rsidRPr="00DB4171" w:rsidTr="00D85309">
        <w:tc>
          <w:tcPr>
            <w:tcW w:w="4309" w:type="dxa"/>
            <w:shd w:val="clear" w:color="auto" w:fill="auto"/>
          </w:tcPr>
          <w:p w:rsidR="00DD287A" w:rsidRPr="00DB4171" w:rsidRDefault="00DD287A" w:rsidP="007445FE">
            <w:pPr>
              <w:suppressAutoHyphens w:val="0"/>
              <w:spacing w:before="40" w:after="40" w:line="220" w:lineRule="exact"/>
              <w:rPr>
                <w:rFonts w:eastAsia="DengXian"/>
                <w:sz w:val="18"/>
              </w:rPr>
            </w:pPr>
            <w:r w:rsidRPr="00DB4171">
              <w:rPr>
                <w:sz w:val="18"/>
                <w:lang w:val="fr-FR"/>
              </w:rPr>
              <w:t>Éléments à livrer quantifiés</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r>
      <w:tr w:rsidR="00997E89" w:rsidRPr="00DB4171" w:rsidTr="00D85309">
        <w:tc>
          <w:tcPr>
            <w:tcW w:w="4309" w:type="dxa"/>
            <w:shd w:val="clear" w:color="auto" w:fill="auto"/>
          </w:tcPr>
          <w:p w:rsidR="00997E89" w:rsidRPr="00DB4171" w:rsidRDefault="007445FE" w:rsidP="007445FE">
            <w:pPr>
              <w:tabs>
                <w:tab w:val="left" w:pos="284"/>
              </w:tabs>
              <w:suppressAutoHyphens w:val="0"/>
              <w:spacing w:before="40" w:after="40" w:line="220" w:lineRule="exact"/>
              <w:ind w:left="284" w:hanging="284"/>
              <w:rPr>
                <w:sz w:val="18"/>
                <w:lang w:val="fr-FR"/>
              </w:rPr>
            </w:pPr>
            <w:r>
              <w:rPr>
                <w:sz w:val="18"/>
                <w:lang w:val="fr-FR"/>
              </w:rPr>
              <w:t>A.</w:t>
            </w:r>
            <w:r>
              <w:rPr>
                <w:sz w:val="18"/>
                <w:lang w:val="fr-FR"/>
              </w:rPr>
              <w:tab/>
            </w:r>
            <w:r w:rsidRPr="00DB4171">
              <w:rPr>
                <w:sz w:val="18"/>
                <w:lang w:val="fr-FR"/>
              </w:rPr>
              <w:t>Facilitation des travaux d’organes intergouvernementaux et d’organes d’experts</w:t>
            </w:r>
          </w:p>
        </w:tc>
        <w:tc>
          <w:tcPr>
            <w:tcW w:w="1928" w:type="dxa"/>
            <w:shd w:val="clear" w:color="auto" w:fill="auto"/>
            <w:vAlign w:val="bottom"/>
          </w:tcPr>
          <w:p w:rsidR="00997E89" w:rsidRPr="00DB4171" w:rsidRDefault="00997E89" w:rsidP="00DB4171">
            <w:pPr>
              <w:suppressAutoHyphens w:val="0"/>
              <w:spacing w:before="40" w:after="40" w:line="220" w:lineRule="exact"/>
              <w:jc w:val="right"/>
              <w:rPr>
                <w:sz w:val="18"/>
                <w:lang w:val="fr-FR"/>
              </w:rPr>
            </w:pPr>
          </w:p>
        </w:tc>
        <w:tc>
          <w:tcPr>
            <w:tcW w:w="851" w:type="dxa"/>
            <w:shd w:val="clear" w:color="auto" w:fill="auto"/>
            <w:vAlign w:val="bottom"/>
          </w:tcPr>
          <w:p w:rsidR="00997E89" w:rsidRPr="00DB4171" w:rsidRDefault="00997E89" w:rsidP="00DB4171">
            <w:pPr>
              <w:suppressAutoHyphens w:val="0"/>
              <w:spacing w:before="40" w:after="40" w:line="220" w:lineRule="exact"/>
              <w:jc w:val="right"/>
              <w:rPr>
                <w:sz w:val="18"/>
                <w:lang w:val="fr-FR"/>
              </w:rPr>
            </w:pPr>
          </w:p>
        </w:tc>
        <w:tc>
          <w:tcPr>
            <w:tcW w:w="851" w:type="dxa"/>
            <w:shd w:val="clear" w:color="auto" w:fill="auto"/>
            <w:vAlign w:val="bottom"/>
          </w:tcPr>
          <w:p w:rsidR="00997E89" w:rsidRPr="00DB4171" w:rsidRDefault="00997E89" w:rsidP="00DB4171">
            <w:pPr>
              <w:suppressAutoHyphens w:val="0"/>
              <w:spacing w:before="40" w:after="40" w:line="220" w:lineRule="exact"/>
              <w:jc w:val="right"/>
              <w:rPr>
                <w:sz w:val="18"/>
                <w:lang w:val="fr-FR"/>
              </w:rPr>
            </w:pPr>
          </w:p>
        </w:tc>
        <w:tc>
          <w:tcPr>
            <w:tcW w:w="851" w:type="dxa"/>
            <w:shd w:val="clear" w:color="auto" w:fill="auto"/>
            <w:vAlign w:val="bottom"/>
          </w:tcPr>
          <w:p w:rsidR="00997E89" w:rsidRPr="00DB4171" w:rsidRDefault="00997E89" w:rsidP="00DB4171">
            <w:pPr>
              <w:suppressAutoHyphens w:val="0"/>
              <w:spacing w:before="40" w:after="40" w:line="220" w:lineRule="exact"/>
              <w:jc w:val="right"/>
              <w:rPr>
                <w:sz w:val="18"/>
                <w:lang w:val="fr-FR"/>
              </w:rPr>
            </w:pPr>
          </w:p>
        </w:tc>
        <w:tc>
          <w:tcPr>
            <w:tcW w:w="851" w:type="dxa"/>
            <w:shd w:val="clear" w:color="auto" w:fill="auto"/>
            <w:vAlign w:val="bottom"/>
          </w:tcPr>
          <w:p w:rsidR="00997E89" w:rsidRPr="00DB4171" w:rsidRDefault="00997E89" w:rsidP="00DB4171">
            <w:pPr>
              <w:suppressAutoHyphens w:val="0"/>
              <w:spacing w:before="40" w:after="40" w:line="220" w:lineRule="exact"/>
              <w:jc w:val="right"/>
              <w:rPr>
                <w:sz w:val="18"/>
                <w:lang w:val="fr-FR"/>
              </w:rPr>
            </w:pPr>
          </w:p>
        </w:tc>
      </w:tr>
      <w:tr w:rsidR="007445FE" w:rsidRPr="00DB4171" w:rsidTr="00D85309">
        <w:tc>
          <w:tcPr>
            <w:tcW w:w="4309" w:type="dxa"/>
            <w:shd w:val="clear" w:color="auto" w:fill="auto"/>
          </w:tcPr>
          <w:p w:rsidR="007445FE" w:rsidRPr="00DB4171" w:rsidRDefault="007445FE" w:rsidP="00795F02">
            <w:pPr>
              <w:suppressAutoHyphens w:val="0"/>
              <w:spacing w:before="40" w:after="40" w:line="220" w:lineRule="exact"/>
              <w:ind w:left="284"/>
              <w:rPr>
                <w:sz w:val="18"/>
                <w:lang w:val="fr-FR"/>
              </w:rPr>
            </w:pPr>
            <w:r w:rsidRPr="00DB4171">
              <w:rPr>
                <w:sz w:val="18"/>
                <w:lang w:val="fr-FR"/>
              </w:rPr>
              <w:lastRenderedPageBreak/>
              <w:t>Documentation destinée aux organes délibérants</w:t>
            </w:r>
          </w:p>
        </w:tc>
        <w:tc>
          <w:tcPr>
            <w:tcW w:w="1928" w:type="dxa"/>
            <w:shd w:val="clear" w:color="auto" w:fill="auto"/>
            <w:vAlign w:val="bottom"/>
          </w:tcPr>
          <w:p w:rsidR="007445FE" w:rsidRPr="00DB4171" w:rsidRDefault="007445FE" w:rsidP="00D85309">
            <w:pPr>
              <w:suppressAutoHyphens w:val="0"/>
              <w:spacing w:before="40" w:after="40" w:line="220" w:lineRule="exact"/>
              <w:rPr>
                <w:sz w:val="18"/>
                <w:lang w:val="fr-FR"/>
              </w:rPr>
            </w:pPr>
            <w:r w:rsidRPr="00DB4171">
              <w:rPr>
                <w:sz w:val="18"/>
                <w:lang w:val="fr-FR"/>
              </w:rPr>
              <w:t>Nombre de documents</w:t>
            </w:r>
          </w:p>
        </w:tc>
        <w:tc>
          <w:tcPr>
            <w:tcW w:w="851" w:type="dxa"/>
            <w:shd w:val="clear" w:color="auto" w:fill="auto"/>
            <w:vAlign w:val="bottom"/>
          </w:tcPr>
          <w:p w:rsidR="007445FE" w:rsidRPr="00DB4171" w:rsidRDefault="007445FE" w:rsidP="007445FE">
            <w:pPr>
              <w:suppressAutoHyphens w:val="0"/>
              <w:spacing w:before="40" w:after="40" w:line="220" w:lineRule="exact"/>
              <w:jc w:val="right"/>
              <w:rPr>
                <w:rFonts w:eastAsia="DengXian"/>
                <w:sz w:val="18"/>
              </w:rPr>
            </w:pPr>
            <w:r w:rsidRPr="00DB4171">
              <w:rPr>
                <w:sz w:val="18"/>
                <w:lang w:val="fr-FR"/>
              </w:rPr>
              <w:t>1645</w:t>
            </w:r>
          </w:p>
        </w:tc>
        <w:tc>
          <w:tcPr>
            <w:tcW w:w="851" w:type="dxa"/>
            <w:shd w:val="clear" w:color="auto" w:fill="auto"/>
            <w:vAlign w:val="bottom"/>
          </w:tcPr>
          <w:p w:rsidR="007445FE" w:rsidRPr="00DB4171" w:rsidRDefault="007445FE" w:rsidP="007445FE">
            <w:pPr>
              <w:suppressAutoHyphens w:val="0"/>
              <w:spacing w:before="40" w:after="40" w:line="220" w:lineRule="exact"/>
              <w:jc w:val="right"/>
              <w:rPr>
                <w:rFonts w:eastAsia="DengXian"/>
                <w:sz w:val="18"/>
              </w:rPr>
            </w:pPr>
            <w:r w:rsidRPr="00DB4171">
              <w:rPr>
                <w:sz w:val="18"/>
                <w:lang w:val="fr-FR"/>
              </w:rPr>
              <w:t>1650</w:t>
            </w:r>
          </w:p>
        </w:tc>
        <w:tc>
          <w:tcPr>
            <w:tcW w:w="851" w:type="dxa"/>
            <w:shd w:val="clear" w:color="auto" w:fill="auto"/>
            <w:vAlign w:val="bottom"/>
          </w:tcPr>
          <w:p w:rsidR="007445FE" w:rsidRPr="00DB4171" w:rsidRDefault="007445FE" w:rsidP="007445FE">
            <w:pPr>
              <w:suppressAutoHyphens w:val="0"/>
              <w:spacing w:before="40" w:after="40" w:line="220" w:lineRule="exact"/>
              <w:jc w:val="right"/>
              <w:rPr>
                <w:rFonts w:eastAsia="DengXian"/>
                <w:sz w:val="18"/>
              </w:rPr>
            </w:pPr>
            <w:r w:rsidRPr="00DB4171">
              <w:rPr>
                <w:sz w:val="18"/>
                <w:lang w:val="fr-FR"/>
              </w:rPr>
              <w:t>1514</w:t>
            </w:r>
          </w:p>
        </w:tc>
        <w:tc>
          <w:tcPr>
            <w:tcW w:w="851" w:type="dxa"/>
            <w:shd w:val="clear" w:color="auto" w:fill="auto"/>
            <w:vAlign w:val="bottom"/>
          </w:tcPr>
          <w:p w:rsidR="007445FE" w:rsidRPr="00DB4171" w:rsidRDefault="007445FE" w:rsidP="007445FE">
            <w:pPr>
              <w:suppressAutoHyphens w:val="0"/>
              <w:spacing w:before="40" w:after="40" w:line="220" w:lineRule="exact"/>
              <w:jc w:val="right"/>
              <w:rPr>
                <w:rFonts w:eastAsia="DengXian"/>
                <w:sz w:val="18"/>
              </w:rPr>
            </w:pPr>
            <w:r w:rsidRPr="00DB4171">
              <w:rPr>
                <w:sz w:val="18"/>
                <w:lang w:val="fr-FR"/>
              </w:rPr>
              <w:t>1660</w:t>
            </w:r>
          </w:p>
        </w:tc>
      </w:tr>
      <w:tr w:rsidR="005F6821" w:rsidRPr="00DB4171" w:rsidTr="00D85309">
        <w:tc>
          <w:tcPr>
            <w:tcW w:w="4309" w:type="dxa"/>
            <w:shd w:val="clear" w:color="auto" w:fill="auto"/>
          </w:tcPr>
          <w:p w:rsidR="00DD287A" w:rsidRPr="00BC6C65" w:rsidRDefault="00DD287A" w:rsidP="00BC6C65">
            <w:pPr>
              <w:suppressAutoHyphens w:val="0"/>
              <w:spacing w:before="40" w:after="40" w:line="220" w:lineRule="exact"/>
              <w:ind w:left="284"/>
              <w:rPr>
                <w:rFonts w:eastAsia="DengXian"/>
                <w:i/>
                <w:sz w:val="18"/>
              </w:rPr>
            </w:pPr>
            <w:bookmarkStart w:id="3" w:name="_Hlk514854839"/>
            <w:r w:rsidRPr="00BC6C65">
              <w:rPr>
                <w:i/>
                <w:sz w:val="18"/>
                <w:lang w:val="fr-FR"/>
              </w:rPr>
              <w:t>Comité des transports intérieurs et ses organes subsidiaires</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1320</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1321</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1320</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1331</w:t>
            </w:r>
          </w:p>
        </w:tc>
      </w:tr>
      <w:tr w:rsidR="005F6821" w:rsidRPr="00DB4171" w:rsidTr="00D85309">
        <w:tc>
          <w:tcPr>
            <w:tcW w:w="4309" w:type="dxa"/>
            <w:shd w:val="clear" w:color="auto" w:fill="auto"/>
          </w:tcPr>
          <w:p w:rsidR="00DD287A" w:rsidRPr="00BC6C65" w:rsidRDefault="00DD287A" w:rsidP="00D85309">
            <w:pPr>
              <w:suppressAutoHyphens w:val="0"/>
              <w:spacing w:before="40" w:after="40" w:line="220" w:lineRule="exact"/>
              <w:ind w:left="284"/>
              <w:rPr>
                <w:i/>
                <w:sz w:val="18"/>
                <w:lang w:val="fr-FR"/>
              </w:rPr>
            </w:pPr>
            <w:r w:rsidRPr="00BC6C65">
              <w:rPr>
                <w:i/>
                <w:sz w:val="18"/>
                <w:lang w:val="fr-FR"/>
              </w:rPr>
              <w:t>Comité d’experts du transport des marchandises dangereuses et du Système général harmonisé de classification et d’étiquetage des produits chimiques du</w:t>
            </w:r>
            <w:r w:rsidR="00D85309">
              <w:rPr>
                <w:i/>
                <w:sz w:val="18"/>
                <w:lang w:val="fr-FR"/>
              </w:rPr>
              <w:t> </w:t>
            </w:r>
            <w:r w:rsidRPr="00BC6C65">
              <w:rPr>
                <w:i/>
                <w:sz w:val="18"/>
                <w:lang w:val="fr-FR"/>
              </w:rPr>
              <w:t>Conseil économique et social</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321</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324</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190</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324</w:t>
            </w:r>
          </w:p>
        </w:tc>
      </w:tr>
      <w:tr w:rsidR="005F6821" w:rsidRPr="00DB4171" w:rsidTr="00D85309">
        <w:tc>
          <w:tcPr>
            <w:tcW w:w="4309" w:type="dxa"/>
            <w:shd w:val="clear" w:color="auto" w:fill="auto"/>
          </w:tcPr>
          <w:p w:rsidR="00DD287A" w:rsidRPr="00BC6C65" w:rsidRDefault="00DD287A" w:rsidP="00D85309">
            <w:pPr>
              <w:suppressAutoHyphens w:val="0"/>
              <w:spacing w:before="40" w:after="40" w:line="220" w:lineRule="exact"/>
              <w:ind w:left="284"/>
              <w:rPr>
                <w:i/>
                <w:sz w:val="18"/>
                <w:lang w:val="fr-FR"/>
              </w:rPr>
            </w:pPr>
            <w:r w:rsidRPr="00BC6C65">
              <w:rPr>
                <w:i/>
                <w:sz w:val="18"/>
                <w:lang w:val="fr-FR"/>
              </w:rPr>
              <w:t>Réunion de haut niveau sur les transports, la santé et</w:t>
            </w:r>
            <w:r w:rsidR="00D85309">
              <w:rPr>
                <w:i/>
                <w:sz w:val="18"/>
                <w:lang w:val="fr-FR"/>
              </w:rPr>
              <w:t> </w:t>
            </w:r>
            <w:r w:rsidRPr="00BC6C65">
              <w:rPr>
                <w:i/>
                <w:sz w:val="18"/>
                <w:lang w:val="fr-FR"/>
              </w:rPr>
              <w:t>l</w:t>
            </w:r>
            <w:r w:rsidR="000F2D25">
              <w:rPr>
                <w:i/>
                <w:sz w:val="18"/>
                <w:lang w:val="fr-FR"/>
              </w:rPr>
              <w:t>’</w:t>
            </w:r>
            <w:r w:rsidRPr="00BC6C65">
              <w:rPr>
                <w:i/>
                <w:sz w:val="18"/>
                <w:lang w:val="fr-FR"/>
              </w:rPr>
              <w:t xml:space="preserve">environnement </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5</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5</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5</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5</w:t>
            </w:r>
          </w:p>
        </w:tc>
      </w:tr>
      <w:bookmarkEnd w:id="3"/>
      <w:tr w:rsidR="005F6821" w:rsidRPr="00DB4171" w:rsidTr="00D85309">
        <w:tc>
          <w:tcPr>
            <w:tcW w:w="4309" w:type="dxa"/>
            <w:shd w:val="clear" w:color="auto" w:fill="auto"/>
          </w:tcPr>
          <w:p w:rsidR="00DD287A" w:rsidRPr="00DB4171" w:rsidRDefault="00DD287A" w:rsidP="00795F02">
            <w:pPr>
              <w:suppressAutoHyphens w:val="0"/>
              <w:spacing w:before="40" w:after="40" w:line="220" w:lineRule="exact"/>
              <w:ind w:left="284"/>
              <w:rPr>
                <w:rFonts w:eastAsia="DengXian"/>
                <w:sz w:val="18"/>
              </w:rPr>
            </w:pPr>
            <w:r w:rsidRPr="00DB4171">
              <w:rPr>
                <w:sz w:val="18"/>
                <w:lang w:val="fr-FR"/>
              </w:rPr>
              <w:t>Services fonctionnels pour les réunions</w:t>
            </w:r>
          </w:p>
        </w:tc>
        <w:tc>
          <w:tcPr>
            <w:tcW w:w="1928" w:type="dxa"/>
            <w:shd w:val="clear" w:color="auto" w:fill="auto"/>
            <w:vAlign w:val="bottom"/>
          </w:tcPr>
          <w:p w:rsidR="00DD287A" w:rsidRPr="00DB4171" w:rsidRDefault="00DD287A" w:rsidP="00D85309">
            <w:pPr>
              <w:suppressAutoHyphens w:val="0"/>
              <w:spacing w:before="40" w:after="40" w:line="220" w:lineRule="exact"/>
              <w:rPr>
                <w:rFonts w:eastAsia="DengXian"/>
                <w:sz w:val="18"/>
              </w:rPr>
            </w:pPr>
            <w:r w:rsidRPr="00DB4171">
              <w:rPr>
                <w:sz w:val="18"/>
                <w:lang w:val="fr-FR"/>
              </w:rPr>
              <w:t xml:space="preserve">Nombre de séances </w:t>
            </w:r>
            <w:r w:rsidR="00D85309">
              <w:rPr>
                <w:sz w:val="18"/>
                <w:lang w:val="fr-FR"/>
              </w:rPr>
              <w:br/>
            </w:r>
            <w:r w:rsidRPr="00DB4171">
              <w:rPr>
                <w:sz w:val="18"/>
                <w:lang w:val="fr-FR"/>
              </w:rPr>
              <w:t>d</w:t>
            </w:r>
            <w:r w:rsidR="000F2D25">
              <w:rPr>
                <w:sz w:val="18"/>
                <w:lang w:val="fr-FR"/>
              </w:rPr>
              <w:t>’</w:t>
            </w:r>
            <w:r w:rsidRPr="00DB4171">
              <w:rPr>
                <w:sz w:val="18"/>
                <w:lang w:val="fr-FR"/>
              </w:rPr>
              <w:t>une durée de 3 heures</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349</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349</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354</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369</w:t>
            </w:r>
          </w:p>
        </w:tc>
      </w:tr>
      <w:tr w:rsidR="005F6821" w:rsidRPr="00DB4171" w:rsidTr="00D85309">
        <w:tc>
          <w:tcPr>
            <w:tcW w:w="4309" w:type="dxa"/>
            <w:shd w:val="clear" w:color="auto" w:fill="auto"/>
          </w:tcPr>
          <w:p w:rsidR="00DD287A" w:rsidRPr="00BC6C65" w:rsidRDefault="00DD287A" w:rsidP="00BC6C65">
            <w:pPr>
              <w:suppressAutoHyphens w:val="0"/>
              <w:spacing w:before="40" w:after="40" w:line="220" w:lineRule="exact"/>
              <w:ind w:left="284"/>
              <w:rPr>
                <w:i/>
                <w:sz w:val="18"/>
                <w:lang w:val="fr-FR"/>
              </w:rPr>
            </w:pPr>
            <w:r w:rsidRPr="00BC6C65">
              <w:rPr>
                <w:i/>
                <w:sz w:val="18"/>
                <w:lang w:val="fr-FR"/>
              </w:rPr>
              <w:t>Comité des transports intérieurs et ses organes subsidiaires</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307</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307</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317</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327</w:t>
            </w:r>
          </w:p>
        </w:tc>
      </w:tr>
      <w:tr w:rsidR="005F6821" w:rsidRPr="00DB4171" w:rsidTr="00D85309">
        <w:tc>
          <w:tcPr>
            <w:tcW w:w="4309" w:type="dxa"/>
            <w:shd w:val="clear" w:color="auto" w:fill="auto"/>
          </w:tcPr>
          <w:p w:rsidR="00DD287A" w:rsidRPr="00BC6C65" w:rsidRDefault="00DD287A" w:rsidP="00D85309">
            <w:pPr>
              <w:suppressAutoHyphens w:val="0"/>
              <w:spacing w:before="40" w:after="40" w:line="220" w:lineRule="exact"/>
              <w:ind w:left="284"/>
              <w:rPr>
                <w:i/>
                <w:sz w:val="18"/>
                <w:lang w:val="fr-FR"/>
              </w:rPr>
            </w:pPr>
            <w:r w:rsidRPr="00BC6C65">
              <w:rPr>
                <w:i/>
                <w:sz w:val="18"/>
                <w:lang w:val="fr-FR"/>
              </w:rPr>
              <w:t>Comité d’experts du transport des marchandises dangereuses et du Système général harmonisé de classification et d’étiquetage des produits chimiques du</w:t>
            </w:r>
            <w:r w:rsidR="00D85309">
              <w:rPr>
                <w:i/>
                <w:sz w:val="18"/>
                <w:lang w:val="fr-FR"/>
              </w:rPr>
              <w:t> </w:t>
            </w:r>
            <w:r w:rsidRPr="00BC6C65">
              <w:rPr>
                <w:i/>
                <w:sz w:val="18"/>
                <w:lang w:val="fr-FR"/>
              </w:rPr>
              <w:t>Conseil économique et social</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40</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40</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35</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40</w:t>
            </w:r>
          </w:p>
        </w:tc>
      </w:tr>
      <w:tr w:rsidR="005F6821" w:rsidRPr="00DB4171" w:rsidTr="00D85309">
        <w:tc>
          <w:tcPr>
            <w:tcW w:w="4309" w:type="dxa"/>
            <w:shd w:val="clear" w:color="auto" w:fill="auto"/>
          </w:tcPr>
          <w:p w:rsidR="00DD287A" w:rsidRPr="00BC6C65" w:rsidRDefault="00DD287A" w:rsidP="00D85309">
            <w:pPr>
              <w:suppressAutoHyphens w:val="0"/>
              <w:spacing w:before="40" w:after="40" w:line="220" w:lineRule="exact"/>
              <w:ind w:left="284"/>
              <w:rPr>
                <w:i/>
                <w:sz w:val="18"/>
                <w:lang w:val="fr-FR"/>
              </w:rPr>
            </w:pPr>
            <w:r w:rsidRPr="00BC6C65">
              <w:rPr>
                <w:i/>
                <w:sz w:val="18"/>
                <w:lang w:val="fr-FR"/>
              </w:rPr>
              <w:t>Réunion de haut niveau sur les transports, la santé et</w:t>
            </w:r>
            <w:r w:rsidR="00D85309">
              <w:rPr>
                <w:i/>
                <w:sz w:val="18"/>
                <w:lang w:val="fr-FR"/>
              </w:rPr>
              <w:t> </w:t>
            </w:r>
            <w:r w:rsidRPr="00BC6C65">
              <w:rPr>
                <w:i/>
                <w:sz w:val="18"/>
                <w:lang w:val="fr-FR"/>
              </w:rPr>
              <w:t>l</w:t>
            </w:r>
            <w:r w:rsidR="000F2D25">
              <w:rPr>
                <w:i/>
                <w:sz w:val="18"/>
                <w:lang w:val="fr-FR"/>
              </w:rPr>
              <w:t>’</w:t>
            </w:r>
            <w:r w:rsidRPr="00BC6C65">
              <w:rPr>
                <w:i/>
                <w:sz w:val="18"/>
                <w:lang w:val="fr-FR"/>
              </w:rPr>
              <w:t>environnement</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2</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2</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2</w:t>
            </w:r>
          </w:p>
        </w:tc>
        <w:tc>
          <w:tcPr>
            <w:tcW w:w="851" w:type="dxa"/>
            <w:shd w:val="clear" w:color="auto" w:fill="auto"/>
            <w:vAlign w:val="bottom"/>
          </w:tcPr>
          <w:p w:rsidR="00DD287A" w:rsidRPr="00D85309" w:rsidRDefault="00DD287A" w:rsidP="00DB4171">
            <w:pPr>
              <w:suppressAutoHyphens w:val="0"/>
              <w:spacing w:before="40" w:after="40" w:line="220" w:lineRule="exact"/>
              <w:jc w:val="right"/>
              <w:rPr>
                <w:rFonts w:eastAsia="DengXian"/>
                <w:i/>
                <w:sz w:val="18"/>
              </w:rPr>
            </w:pPr>
            <w:r w:rsidRPr="00D85309">
              <w:rPr>
                <w:i/>
                <w:sz w:val="18"/>
                <w:lang w:val="fr-FR"/>
              </w:rPr>
              <w:t>2</w:t>
            </w:r>
          </w:p>
        </w:tc>
      </w:tr>
      <w:tr w:rsidR="005F6821" w:rsidRPr="00DB4171" w:rsidTr="00D85309">
        <w:tc>
          <w:tcPr>
            <w:tcW w:w="4309" w:type="dxa"/>
            <w:shd w:val="clear" w:color="auto" w:fill="auto"/>
          </w:tcPr>
          <w:p w:rsidR="00DD287A" w:rsidRPr="00DB4171" w:rsidRDefault="00DD287A" w:rsidP="00BC6C65">
            <w:pPr>
              <w:tabs>
                <w:tab w:val="left" w:pos="284"/>
              </w:tabs>
              <w:suppressAutoHyphens w:val="0"/>
              <w:spacing w:before="40" w:after="40" w:line="220" w:lineRule="exact"/>
              <w:ind w:left="284" w:hanging="284"/>
              <w:rPr>
                <w:rFonts w:eastAsia="DengXian"/>
                <w:bCs/>
                <w:sz w:val="18"/>
              </w:rPr>
            </w:pPr>
            <w:r w:rsidRPr="00DB4171">
              <w:rPr>
                <w:sz w:val="18"/>
                <w:lang w:val="fr-FR"/>
              </w:rPr>
              <w:t>B.</w:t>
            </w:r>
            <w:r w:rsidRPr="00DB4171">
              <w:rPr>
                <w:sz w:val="18"/>
                <w:lang w:val="fr-FR"/>
              </w:rPr>
              <w:tab/>
              <w:t>Production et transfert de connaissances</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r>
      <w:tr w:rsidR="005F6821" w:rsidRPr="00DB4171" w:rsidTr="00D85309">
        <w:tc>
          <w:tcPr>
            <w:tcW w:w="4309" w:type="dxa"/>
            <w:shd w:val="clear" w:color="auto" w:fill="auto"/>
          </w:tcPr>
          <w:p w:rsidR="00DD287A" w:rsidRPr="00DB4171" w:rsidRDefault="00DD287A" w:rsidP="00BC6C65">
            <w:pPr>
              <w:tabs>
                <w:tab w:val="left" w:pos="284"/>
              </w:tabs>
              <w:suppressAutoHyphens w:val="0"/>
              <w:spacing w:before="40" w:after="40" w:line="220" w:lineRule="exact"/>
              <w:ind w:left="568" w:hanging="284"/>
              <w:rPr>
                <w:rFonts w:eastAsia="DengXian"/>
                <w:sz w:val="18"/>
              </w:rPr>
            </w:pPr>
            <w:r w:rsidRPr="00DB4171">
              <w:rPr>
                <w:sz w:val="18"/>
                <w:lang w:val="fr-FR"/>
              </w:rPr>
              <w:t>Projets de coopération technique</w:t>
            </w:r>
          </w:p>
        </w:tc>
        <w:tc>
          <w:tcPr>
            <w:tcW w:w="1928" w:type="dxa"/>
            <w:shd w:val="clear" w:color="auto" w:fill="auto"/>
            <w:vAlign w:val="bottom"/>
          </w:tcPr>
          <w:p w:rsidR="00DD287A" w:rsidRPr="00DB4171" w:rsidRDefault="00DD287A" w:rsidP="00D85309">
            <w:pPr>
              <w:suppressAutoHyphens w:val="0"/>
              <w:spacing w:before="40" w:after="40" w:line="220" w:lineRule="exact"/>
              <w:rPr>
                <w:rFonts w:eastAsia="DengXian"/>
                <w:sz w:val="18"/>
              </w:rPr>
            </w:pPr>
            <w:r w:rsidRPr="00DB4171">
              <w:rPr>
                <w:sz w:val="18"/>
                <w:lang w:val="fr-FR"/>
              </w:rPr>
              <w:t>Nombre de projets</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2</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2</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2</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2</w:t>
            </w:r>
          </w:p>
        </w:tc>
      </w:tr>
      <w:tr w:rsidR="005F6821" w:rsidRPr="00DB4171" w:rsidTr="00D85309">
        <w:tc>
          <w:tcPr>
            <w:tcW w:w="4309" w:type="dxa"/>
            <w:shd w:val="clear" w:color="auto" w:fill="auto"/>
          </w:tcPr>
          <w:p w:rsidR="00DD287A" w:rsidRPr="00DB4171" w:rsidRDefault="00DD287A" w:rsidP="00BC6C65">
            <w:pPr>
              <w:tabs>
                <w:tab w:val="left" w:pos="284"/>
              </w:tabs>
              <w:suppressAutoHyphens w:val="0"/>
              <w:spacing w:before="40" w:after="40" w:line="220" w:lineRule="exact"/>
              <w:ind w:left="568" w:hanging="284"/>
              <w:rPr>
                <w:rFonts w:eastAsia="DengXian"/>
                <w:sz w:val="18"/>
              </w:rPr>
            </w:pPr>
            <w:r w:rsidRPr="00DB4171">
              <w:rPr>
                <w:sz w:val="18"/>
                <w:lang w:val="fr-FR"/>
              </w:rPr>
              <w:t>Séminaires, ateliers, bourses</w:t>
            </w:r>
            <w:r w:rsidR="00BC6C65">
              <w:rPr>
                <w:sz w:val="18"/>
                <w:lang w:val="fr-FR"/>
              </w:rPr>
              <w:t xml:space="preserve"> </w:t>
            </w:r>
            <w:r w:rsidRPr="00DB4171">
              <w:rPr>
                <w:sz w:val="18"/>
                <w:lang w:val="fr-FR"/>
              </w:rPr>
              <w:t>et activités de formation</w:t>
            </w:r>
          </w:p>
        </w:tc>
        <w:tc>
          <w:tcPr>
            <w:tcW w:w="1928" w:type="dxa"/>
            <w:shd w:val="clear" w:color="auto" w:fill="auto"/>
            <w:vAlign w:val="bottom"/>
          </w:tcPr>
          <w:p w:rsidR="00DD287A" w:rsidRPr="00DB4171" w:rsidRDefault="00DD287A" w:rsidP="00D85309">
            <w:pPr>
              <w:suppressAutoHyphens w:val="0"/>
              <w:spacing w:before="40" w:after="40" w:line="220" w:lineRule="exact"/>
              <w:rPr>
                <w:rFonts w:eastAsia="DengXian"/>
                <w:sz w:val="18"/>
              </w:rPr>
            </w:pPr>
            <w:r w:rsidRPr="00DB4171">
              <w:rPr>
                <w:sz w:val="18"/>
                <w:lang w:val="fr-FR"/>
              </w:rPr>
              <w:t>Nombre de jours</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11</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11</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11</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13</w:t>
            </w:r>
          </w:p>
        </w:tc>
      </w:tr>
      <w:tr w:rsidR="005F6821" w:rsidRPr="00DB4171" w:rsidTr="00D85309">
        <w:tc>
          <w:tcPr>
            <w:tcW w:w="4309" w:type="dxa"/>
            <w:shd w:val="clear" w:color="auto" w:fill="auto"/>
          </w:tcPr>
          <w:p w:rsidR="00DD287A" w:rsidRPr="00DB4171" w:rsidRDefault="00DD287A" w:rsidP="00BC6C65">
            <w:pPr>
              <w:tabs>
                <w:tab w:val="left" w:pos="284"/>
              </w:tabs>
              <w:suppressAutoHyphens w:val="0"/>
              <w:spacing w:before="40" w:after="40" w:line="220" w:lineRule="exact"/>
              <w:ind w:left="568" w:hanging="284"/>
              <w:rPr>
                <w:rFonts w:eastAsia="DengXian"/>
                <w:sz w:val="18"/>
              </w:rPr>
            </w:pPr>
            <w:r w:rsidRPr="00DB4171">
              <w:rPr>
                <w:sz w:val="18"/>
                <w:lang w:val="fr-FR"/>
              </w:rPr>
              <w:t>Publications</w:t>
            </w:r>
          </w:p>
        </w:tc>
        <w:tc>
          <w:tcPr>
            <w:tcW w:w="1928" w:type="dxa"/>
            <w:shd w:val="clear" w:color="auto" w:fill="auto"/>
            <w:vAlign w:val="bottom"/>
          </w:tcPr>
          <w:p w:rsidR="00DD287A" w:rsidRPr="00DB4171" w:rsidRDefault="00DD287A" w:rsidP="00D85309">
            <w:pPr>
              <w:suppressAutoHyphens w:val="0"/>
              <w:spacing w:before="40" w:after="40" w:line="220" w:lineRule="exact"/>
              <w:rPr>
                <w:rFonts w:eastAsia="DengXian"/>
                <w:sz w:val="18"/>
              </w:rPr>
            </w:pPr>
            <w:r w:rsidRPr="00DB4171">
              <w:rPr>
                <w:sz w:val="18"/>
                <w:lang w:val="fr-FR"/>
              </w:rPr>
              <w:t>Nombre de publications</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6</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6</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14</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13</w:t>
            </w:r>
          </w:p>
        </w:tc>
      </w:tr>
      <w:tr w:rsidR="005F6821" w:rsidRPr="00DB4171" w:rsidTr="00D85309">
        <w:tc>
          <w:tcPr>
            <w:tcW w:w="4309" w:type="dxa"/>
            <w:shd w:val="clear" w:color="auto" w:fill="auto"/>
          </w:tcPr>
          <w:p w:rsidR="00DD287A" w:rsidRPr="00DB4171" w:rsidRDefault="00DD287A" w:rsidP="00BC6C65">
            <w:pPr>
              <w:tabs>
                <w:tab w:val="left" w:pos="284"/>
              </w:tabs>
              <w:suppressAutoHyphens w:val="0"/>
              <w:spacing w:before="40" w:after="40" w:line="220" w:lineRule="exact"/>
              <w:ind w:left="568" w:hanging="284"/>
              <w:rPr>
                <w:rFonts w:eastAsia="DengXian"/>
                <w:sz w:val="18"/>
              </w:rPr>
            </w:pPr>
            <w:r w:rsidRPr="00DB4171">
              <w:rPr>
                <w:sz w:val="18"/>
                <w:lang w:val="fr-FR"/>
              </w:rPr>
              <w:t>Activités ou documentation techniques</w:t>
            </w:r>
          </w:p>
        </w:tc>
        <w:tc>
          <w:tcPr>
            <w:tcW w:w="1928" w:type="dxa"/>
            <w:shd w:val="clear" w:color="auto" w:fill="auto"/>
            <w:vAlign w:val="bottom"/>
          </w:tcPr>
          <w:p w:rsidR="00DD287A" w:rsidRPr="00DB4171" w:rsidRDefault="00DD287A" w:rsidP="004F5BB3">
            <w:pPr>
              <w:suppressAutoHyphens w:val="0"/>
              <w:spacing w:before="40" w:after="40" w:line="220" w:lineRule="exact"/>
              <w:rPr>
                <w:rFonts w:eastAsia="DengXian"/>
                <w:sz w:val="18"/>
              </w:rPr>
            </w:pPr>
            <w:r w:rsidRPr="00DB4171">
              <w:rPr>
                <w:sz w:val="18"/>
                <w:lang w:val="fr-FR"/>
              </w:rPr>
              <w:t>Nombre d</w:t>
            </w:r>
            <w:r w:rsidR="000F2D25">
              <w:rPr>
                <w:sz w:val="18"/>
                <w:lang w:val="fr-FR"/>
              </w:rPr>
              <w:t>’</w:t>
            </w:r>
            <w:r w:rsidRPr="00DB4171">
              <w:rPr>
                <w:sz w:val="18"/>
                <w:lang w:val="fr-FR"/>
              </w:rPr>
              <w:t>activités ou</w:t>
            </w:r>
            <w:r w:rsidR="005C6FFE">
              <w:rPr>
                <w:sz w:val="18"/>
                <w:lang w:val="fr-FR"/>
              </w:rPr>
              <w:t> </w:t>
            </w:r>
            <w:r w:rsidRPr="00DB4171">
              <w:rPr>
                <w:sz w:val="18"/>
                <w:lang w:val="fr-FR"/>
              </w:rPr>
              <w:t>d</w:t>
            </w:r>
            <w:r w:rsidR="000F2D25">
              <w:rPr>
                <w:sz w:val="18"/>
                <w:lang w:val="fr-FR"/>
              </w:rPr>
              <w:t>’</w:t>
            </w:r>
            <w:r w:rsidRPr="00DB4171">
              <w:rPr>
                <w:sz w:val="18"/>
                <w:lang w:val="fr-FR"/>
              </w:rPr>
              <w:t>éléments de</w:t>
            </w:r>
            <w:r w:rsidR="004F5BB3">
              <w:rPr>
                <w:sz w:val="18"/>
                <w:lang w:val="fr-FR"/>
              </w:rPr>
              <w:t> </w:t>
            </w:r>
            <w:r w:rsidRPr="00DB4171">
              <w:rPr>
                <w:sz w:val="18"/>
                <w:lang w:val="fr-FR"/>
              </w:rPr>
              <w:t>documentation</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1</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1</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2</w:t>
            </w: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r w:rsidRPr="00DB4171">
              <w:rPr>
                <w:sz w:val="18"/>
                <w:lang w:val="fr-FR"/>
              </w:rPr>
              <w:t>2</w:t>
            </w:r>
          </w:p>
        </w:tc>
      </w:tr>
      <w:tr w:rsidR="005F6821" w:rsidRPr="00DB4171" w:rsidTr="00D85309">
        <w:tc>
          <w:tcPr>
            <w:tcW w:w="4309" w:type="dxa"/>
            <w:shd w:val="clear" w:color="auto" w:fill="auto"/>
          </w:tcPr>
          <w:p w:rsidR="00DD287A" w:rsidRPr="00DB4171" w:rsidRDefault="00DD287A" w:rsidP="00795F02">
            <w:pPr>
              <w:suppressAutoHyphens w:val="0"/>
              <w:spacing w:before="40" w:after="40" w:line="220" w:lineRule="exact"/>
              <w:ind w:left="284"/>
              <w:rPr>
                <w:rFonts w:eastAsia="DengXian"/>
                <w:bCs/>
                <w:sz w:val="18"/>
              </w:rPr>
            </w:pPr>
            <w:r w:rsidRPr="00DB4171">
              <w:rPr>
                <w:sz w:val="18"/>
                <w:lang w:val="fr-FR"/>
              </w:rPr>
              <w:t>Éléments à livrer non quantifiés</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r>
      <w:tr w:rsidR="007445FE" w:rsidRPr="00DB4171" w:rsidTr="00D85309">
        <w:tc>
          <w:tcPr>
            <w:tcW w:w="4309" w:type="dxa"/>
            <w:shd w:val="clear" w:color="auto" w:fill="auto"/>
          </w:tcPr>
          <w:p w:rsidR="007445FE" w:rsidRPr="00DB4171" w:rsidRDefault="007445FE" w:rsidP="007445FE">
            <w:pPr>
              <w:tabs>
                <w:tab w:val="left" w:pos="284"/>
              </w:tabs>
              <w:suppressAutoHyphens w:val="0"/>
              <w:spacing w:before="40" w:after="40" w:line="220" w:lineRule="exact"/>
              <w:ind w:left="284" w:hanging="284"/>
              <w:rPr>
                <w:sz w:val="18"/>
                <w:lang w:val="fr-FR"/>
              </w:rPr>
            </w:pPr>
            <w:r w:rsidRPr="00DB4171">
              <w:rPr>
                <w:sz w:val="18"/>
                <w:lang w:val="fr-FR"/>
              </w:rPr>
              <w:t>C.</w:t>
            </w:r>
            <w:r w:rsidRPr="00DB4171">
              <w:rPr>
                <w:sz w:val="18"/>
                <w:lang w:val="fr-FR"/>
              </w:rPr>
              <w:tab/>
              <w:t>Éléments à livrer de fond</w:t>
            </w:r>
          </w:p>
        </w:tc>
        <w:tc>
          <w:tcPr>
            <w:tcW w:w="1928" w:type="dxa"/>
            <w:shd w:val="clear" w:color="auto" w:fill="auto"/>
            <w:vAlign w:val="bottom"/>
          </w:tcPr>
          <w:p w:rsidR="007445FE" w:rsidRPr="00DB4171" w:rsidRDefault="007445FE" w:rsidP="00DB4171">
            <w:pPr>
              <w:suppressAutoHyphens w:val="0"/>
              <w:spacing w:before="40" w:after="40" w:line="220" w:lineRule="exact"/>
              <w:jc w:val="right"/>
              <w:rPr>
                <w:rFonts w:eastAsia="DengXian"/>
                <w:sz w:val="18"/>
              </w:rPr>
            </w:pPr>
          </w:p>
        </w:tc>
        <w:tc>
          <w:tcPr>
            <w:tcW w:w="851" w:type="dxa"/>
            <w:shd w:val="clear" w:color="auto" w:fill="auto"/>
            <w:vAlign w:val="bottom"/>
          </w:tcPr>
          <w:p w:rsidR="007445FE" w:rsidRPr="00DB4171" w:rsidRDefault="007445FE" w:rsidP="00DB4171">
            <w:pPr>
              <w:suppressAutoHyphens w:val="0"/>
              <w:spacing w:before="40" w:after="40" w:line="220" w:lineRule="exact"/>
              <w:jc w:val="right"/>
              <w:rPr>
                <w:rFonts w:eastAsia="DengXian"/>
                <w:sz w:val="18"/>
              </w:rPr>
            </w:pPr>
          </w:p>
        </w:tc>
        <w:tc>
          <w:tcPr>
            <w:tcW w:w="851" w:type="dxa"/>
            <w:shd w:val="clear" w:color="auto" w:fill="auto"/>
            <w:vAlign w:val="bottom"/>
          </w:tcPr>
          <w:p w:rsidR="007445FE" w:rsidRPr="00DB4171" w:rsidRDefault="007445FE" w:rsidP="00DB4171">
            <w:pPr>
              <w:suppressAutoHyphens w:val="0"/>
              <w:spacing w:before="40" w:after="40" w:line="220" w:lineRule="exact"/>
              <w:jc w:val="right"/>
              <w:rPr>
                <w:rFonts w:eastAsia="DengXian"/>
                <w:sz w:val="18"/>
              </w:rPr>
            </w:pPr>
          </w:p>
        </w:tc>
        <w:tc>
          <w:tcPr>
            <w:tcW w:w="851" w:type="dxa"/>
            <w:shd w:val="clear" w:color="auto" w:fill="auto"/>
            <w:vAlign w:val="bottom"/>
          </w:tcPr>
          <w:p w:rsidR="007445FE" w:rsidRPr="00DB4171" w:rsidRDefault="007445FE" w:rsidP="00DB4171">
            <w:pPr>
              <w:suppressAutoHyphens w:val="0"/>
              <w:spacing w:before="40" w:after="40" w:line="220" w:lineRule="exact"/>
              <w:jc w:val="right"/>
              <w:rPr>
                <w:rFonts w:eastAsia="DengXian"/>
                <w:sz w:val="18"/>
              </w:rPr>
            </w:pPr>
          </w:p>
        </w:tc>
        <w:tc>
          <w:tcPr>
            <w:tcW w:w="851" w:type="dxa"/>
            <w:shd w:val="clear" w:color="auto" w:fill="auto"/>
            <w:vAlign w:val="bottom"/>
          </w:tcPr>
          <w:p w:rsidR="007445FE" w:rsidRPr="00DB4171" w:rsidRDefault="007445FE" w:rsidP="00DB4171">
            <w:pPr>
              <w:suppressAutoHyphens w:val="0"/>
              <w:spacing w:before="40" w:after="40" w:line="220" w:lineRule="exact"/>
              <w:jc w:val="right"/>
              <w:rPr>
                <w:rFonts w:eastAsia="DengXian"/>
                <w:sz w:val="18"/>
              </w:rPr>
            </w:pPr>
          </w:p>
        </w:tc>
      </w:tr>
      <w:tr w:rsidR="005F6821" w:rsidRPr="00DB4171" w:rsidTr="00D85309">
        <w:tc>
          <w:tcPr>
            <w:tcW w:w="4309" w:type="dxa"/>
            <w:shd w:val="clear" w:color="auto" w:fill="auto"/>
          </w:tcPr>
          <w:p w:rsidR="00DD287A" w:rsidRPr="00DB4171" w:rsidRDefault="00DD287A" w:rsidP="00997E89">
            <w:pPr>
              <w:tabs>
                <w:tab w:val="left" w:pos="284"/>
              </w:tabs>
              <w:suppressAutoHyphens w:val="0"/>
              <w:spacing w:before="40" w:after="40" w:line="220" w:lineRule="exact"/>
              <w:ind w:left="568" w:hanging="284"/>
              <w:rPr>
                <w:rFonts w:eastAsia="DengXian"/>
                <w:sz w:val="18"/>
              </w:rPr>
            </w:pPr>
            <w:r w:rsidRPr="00DB4171">
              <w:rPr>
                <w:sz w:val="18"/>
                <w:lang w:val="fr-FR"/>
              </w:rPr>
              <w:t>Consultations, conseils et activités de promotion</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r>
      <w:tr w:rsidR="005F6821" w:rsidRPr="00DB4171" w:rsidTr="00D85309">
        <w:tc>
          <w:tcPr>
            <w:tcW w:w="4309" w:type="dxa"/>
            <w:shd w:val="clear" w:color="auto" w:fill="auto"/>
          </w:tcPr>
          <w:p w:rsidR="00DD287A" w:rsidRPr="00DB4171" w:rsidRDefault="00DD287A" w:rsidP="00997E89">
            <w:pPr>
              <w:tabs>
                <w:tab w:val="left" w:pos="284"/>
              </w:tabs>
              <w:suppressAutoHyphens w:val="0"/>
              <w:spacing w:before="40" w:after="40" w:line="220" w:lineRule="exact"/>
              <w:ind w:left="568" w:hanging="284"/>
              <w:rPr>
                <w:rFonts w:eastAsia="DengXian"/>
                <w:sz w:val="18"/>
              </w:rPr>
            </w:pPr>
            <w:r w:rsidRPr="00DB4171">
              <w:rPr>
                <w:sz w:val="18"/>
                <w:lang w:val="fr-FR"/>
              </w:rPr>
              <w:t>Bases de données et supports numériques de fond</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r>
      <w:tr w:rsidR="005F6821" w:rsidRPr="00DB4171" w:rsidTr="00D85309">
        <w:tc>
          <w:tcPr>
            <w:tcW w:w="4309" w:type="dxa"/>
            <w:shd w:val="clear" w:color="auto" w:fill="auto"/>
          </w:tcPr>
          <w:p w:rsidR="00DD287A" w:rsidRPr="00DB4171" w:rsidRDefault="00DD287A" w:rsidP="00BC6C65">
            <w:pPr>
              <w:tabs>
                <w:tab w:val="left" w:pos="284"/>
              </w:tabs>
              <w:suppressAutoHyphens w:val="0"/>
              <w:spacing w:before="40" w:after="40" w:line="220" w:lineRule="exact"/>
              <w:ind w:left="284" w:hanging="284"/>
              <w:rPr>
                <w:rFonts w:eastAsia="DengXian"/>
                <w:bCs/>
                <w:sz w:val="18"/>
              </w:rPr>
            </w:pPr>
            <w:r w:rsidRPr="00DB4171">
              <w:rPr>
                <w:sz w:val="18"/>
                <w:lang w:val="fr-FR"/>
              </w:rPr>
              <w:t>D.</w:t>
            </w:r>
            <w:r w:rsidRPr="00DB4171">
              <w:rPr>
                <w:sz w:val="18"/>
                <w:lang w:val="fr-FR"/>
              </w:rPr>
              <w:tab/>
              <w:t>Éléments à livrer en matière de communication</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r>
      <w:tr w:rsidR="00DD287A" w:rsidRPr="00DB4171" w:rsidTr="00D85309">
        <w:tc>
          <w:tcPr>
            <w:tcW w:w="851" w:type="dxa"/>
            <w:gridSpan w:val="6"/>
            <w:shd w:val="clear" w:color="auto" w:fill="auto"/>
          </w:tcPr>
          <w:p w:rsidR="00DD287A" w:rsidRPr="00DB4171" w:rsidRDefault="00DD287A" w:rsidP="00997E89">
            <w:pPr>
              <w:tabs>
                <w:tab w:val="left" w:pos="284"/>
              </w:tabs>
              <w:suppressAutoHyphens w:val="0"/>
              <w:spacing w:before="40" w:after="40" w:line="220" w:lineRule="exact"/>
              <w:ind w:left="568" w:hanging="284"/>
              <w:rPr>
                <w:rFonts w:eastAsia="DengXian"/>
                <w:sz w:val="18"/>
              </w:rPr>
            </w:pPr>
            <w:r w:rsidRPr="00DB4171">
              <w:rPr>
                <w:sz w:val="18"/>
                <w:lang w:val="fr-FR"/>
              </w:rPr>
              <w:t>Programmes de sensibilisation, manifestations spéciales et supports d</w:t>
            </w:r>
            <w:r w:rsidR="000F2D25">
              <w:rPr>
                <w:sz w:val="18"/>
                <w:lang w:val="fr-FR"/>
              </w:rPr>
              <w:t>’</w:t>
            </w:r>
            <w:r w:rsidRPr="00DB4171">
              <w:rPr>
                <w:sz w:val="18"/>
                <w:lang w:val="fr-FR"/>
              </w:rPr>
              <w:t>information</w:t>
            </w:r>
          </w:p>
        </w:tc>
      </w:tr>
      <w:tr w:rsidR="005F6821" w:rsidRPr="00DB4171" w:rsidTr="00D85309">
        <w:tc>
          <w:tcPr>
            <w:tcW w:w="4309" w:type="dxa"/>
            <w:shd w:val="clear" w:color="auto" w:fill="auto"/>
          </w:tcPr>
          <w:p w:rsidR="00DD287A" w:rsidRPr="00DB4171" w:rsidRDefault="00DD287A" w:rsidP="00997E89">
            <w:pPr>
              <w:tabs>
                <w:tab w:val="left" w:pos="284"/>
              </w:tabs>
              <w:suppressAutoHyphens w:val="0"/>
              <w:spacing w:before="40" w:after="40" w:line="220" w:lineRule="exact"/>
              <w:ind w:left="568" w:hanging="284"/>
              <w:rPr>
                <w:rFonts w:eastAsia="DengXian"/>
                <w:sz w:val="18"/>
              </w:rPr>
            </w:pPr>
            <w:r w:rsidRPr="00DB4171">
              <w:rPr>
                <w:sz w:val="18"/>
                <w:lang w:val="fr-FR"/>
              </w:rPr>
              <w:t>Relations extérieures et relations avec les médias</w:t>
            </w:r>
          </w:p>
        </w:tc>
        <w:tc>
          <w:tcPr>
            <w:tcW w:w="1928"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c>
          <w:tcPr>
            <w:tcW w:w="851" w:type="dxa"/>
            <w:shd w:val="clear" w:color="auto" w:fill="auto"/>
            <w:vAlign w:val="bottom"/>
          </w:tcPr>
          <w:p w:rsidR="00DD287A" w:rsidRPr="00DB4171" w:rsidRDefault="00DD287A" w:rsidP="00DB4171">
            <w:pPr>
              <w:suppressAutoHyphens w:val="0"/>
              <w:spacing w:before="40" w:after="40" w:line="220" w:lineRule="exact"/>
              <w:jc w:val="right"/>
              <w:rPr>
                <w:rFonts w:eastAsia="DengXian"/>
                <w:sz w:val="18"/>
              </w:rPr>
            </w:pPr>
          </w:p>
        </w:tc>
      </w:tr>
      <w:tr w:rsidR="00DD287A" w:rsidRPr="00DB4171" w:rsidTr="00D85309">
        <w:tc>
          <w:tcPr>
            <w:tcW w:w="851" w:type="dxa"/>
            <w:gridSpan w:val="6"/>
            <w:tcBorders>
              <w:bottom w:val="single" w:sz="12" w:space="0" w:color="auto"/>
            </w:tcBorders>
            <w:shd w:val="clear" w:color="auto" w:fill="auto"/>
          </w:tcPr>
          <w:p w:rsidR="00DD287A" w:rsidRPr="00DB4171" w:rsidRDefault="00DD287A" w:rsidP="005C6FFE">
            <w:pPr>
              <w:tabs>
                <w:tab w:val="left" w:pos="284"/>
              </w:tabs>
              <w:suppressAutoHyphens w:val="0"/>
              <w:spacing w:before="40" w:after="40" w:line="220" w:lineRule="exact"/>
              <w:ind w:left="568" w:hanging="284"/>
              <w:rPr>
                <w:rFonts w:eastAsia="DengXian"/>
                <w:strike/>
                <w:sz w:val="18"/>
              </w:rPr>
            </w:pPr>
            <w:r w:rsidRPr="00DB4171">
              <w:rPr>
                <w:sz w:val="18"/>
                <w:lang w:val="fr-FR"/>
              </w:rPr>
              <w:t>Plateformes numériques et contenu multimédia</w:t>
            </w:r>
          </w:p>
        </w:tc>
      </w:tr>
    </w:tbl>
    <w:p w:rsidR="00DD287A" w:rsidRPr="00D63F59" w:rsidRDefault="00DD287A" w:rsidP="00200F9E">
      <w:pPr>
        <w:pStyle w:val="H1G"/>
        <w:rPr>
          <w:rFonts w:eastAsia="Calibri"/>
        </w:rPr>
      </w:pPr>
      <w:bookmarkStart w:id="4" w:name="_Hlk509921908"/>
      <w:r>
        <w:rPr>
          <w:lang w:val="fr-FR"/>
        </w:rPr>
        <w:tab/>
        <w:t>F.</w:t>
      </w:r>
      <w:r>
        <w:rPr>
          <w:lang w:val="fr-FR"/>
        </w:rPr>
        <w:tab/>
        <w:t>Écarts et variations des éléments à livrer</w:t>
      </w:r>
      <w:r w:rsidR="000F2D25">
        <w:rPr>
          <w:lang w:val="fr-FR"/>
        </w:rPr>
        <w:t> :</w:t>
      </w:r>
      <w:r>
        <w:rPr>
          <w:lang w:val="fr-FR"/>
        </w:rPr>
        <w:t xml:space="preserve"> montants les plus significatifs</w:t>
      </w:r>
      <w:bookmarkEnd w:id="4"/>
    </w:p>
    <w:p w:rsidR="00DD287A" w:rsidRPr="00D63F59" w:rsidRDefault="00DD287A" w:rsidP="006576B4">
      <w:pPr>
        <w:pStyle w:val="H23G"/>
        <w:rPr>
          <w:rFonts w:eastAsia="Calibri"/>
        </w:rPr>
      </w:pPr>
      <w:r>
        <w:rPr>
          <w:lang w:val="fr-FR"/>
        </w:rPr>
        <w:tab/>
      </w:r>
      <w:r>
        <w:rPr>
          <w:lang w:val="fr-FR"/>
        </w:rPr>
        <w:tab/>
        <w:t>Écarts entre les prévisions pour 2018 et les montants effectifs</w:t>
      </w:r>
    </w:p>
    <w:p w:rsidR="00DD287A" w:rsidRPr="00D63F59" w:rsidRDefault="00DD287A" w:rsidP="00200F9E">
      <w:pPr>
        <w:pStyle w:val="SingleTxtG"/>
        <w:rPr>
          <w:b/>
          <w:bCs/>
        </w:rPr>
      </w:pPr>
      <w:r>
        <w:rPr>
          <w:lang w:val="fr-FR"/>
        </w:rPr>
        <w:t>37.</w:t>
      </w:r>
      <w:r>
        <w:rPr>
          <w:lang w:val="fr-FR"/>
        </w:rPr>
        <w:tab/>
        <w:t>Les chiffres sont sujets à nouvelle révision sur la base des montants effectifs qui seront enregistrés à la fin de 2018.</w:t>
      </w:r>
    </w:p>
    <w:p w:rsidR="00DD287A" w:rsidRPr="00D63F59" w:rsidRDefault="00DD287A" w:rsidP="006576B4">
      <w:pPr>
        <w:pStyle w:val="H23G"/>
        <w:rPr>
          <w:rFonts w:eastAsia="Calibri"/>
        </w:rPr>
      </w:pPr>
      <w:r>
        <w:rPr>
          <w:lang w:val="fr-FR"/>
        </w:rPr>
        <w:tab/>
      </w:r>
      <w:r>
        <w:rPr>
          <w:lang w:val="fr-FR"/>
        </w:rPr>
        <w:tab/>
        <w:t>Variations entre les chiffres prévus pour 2019 et 2020</w:t>
      </w:r>
    </w:p>
    <w:p w:rsidR="002D27AF" w:rsidRDefault="00DD287A" w:rsidP="00200F9E">
      <w:pPr>
        <w:pStyle w:val="SingleTxtG"/>
        <w:rPr>
          <w:lang w:val="fr-FR"/>
        </w:rPr>
      </w:pPr>
      <w:r>
        <w:rPr>
          <w:lang w:val="fr-FR"/>
        </w:rPr>
        <w:t>38.</w:t>
      </w:r>
      <w:r>
        <w:rPr>
          <w:lang w:val="fr-FR"/>
        </w:rPr>
        <w:tab/>
        <w:t>La variation des éléments à livrer quantifiés, qui concerne principalement la documentation destinée aux organes délibérants, est due à une asymétrie structurelle de la documentation publiée les années paires et impaires pour les travaux du Comité d</w:t>
      </w:r>
      <w:r w:rsidR="000F2D25">
        <w:rPr>
          <w:lang w:val="fr-FR"/>
        </w:rPr>
        <w:t>’</w:t>
      </w:r>
      <w:r>
        <w:rPr>
          <w:lang w:val="fr-FR"/>
        </w:rPr>
        <w:t>experts du transport des marchandises dangereuses et du Système général harmonisé de classification et d</w:t>
      </w:r>
      <w:r w:rsidR="000F2D25">
        <w:rPr>
          <w:lang w:val="fr-FR"/>
        </w:rPr>
        <w:t>’</w:t>
      </w:r>
      <w:r>
        <w:rPr>
          <w:lang w:val="fr-FR"/>
        </w:rPr>
        <w:t xml:space="preserve">étiquetage des produits chimiques et des sous-comités connexes (Conseil économique et social). </w:t>
      </w:r>
    </w:p>
    <w:p w:rsidR="002D27AF" w:rsidRDefault="002D27AF" w:rsidP="00200F9E">
      <w:pPr>
        <w:pStyle w:val="SingleTxtG"/>
        <w:rPr>
          <w:lang w:val="fr-FR"/>
        </w:rPr>
        <w:sectPr w:rsidR="002D27AF" w:rsidSect="00EA5218">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pPr>
    </w:p>
    <w:p w:rsidR="00DD287A" w:rsidRDefault="00DD287A" w:rsidP="001B4D3E">
      <w:pPr>
        <w:pStyle w:val="HChG"/>
        <w:spacing w:before="120"/>
      </w:pPr>
      <w:r>
        <w:rPr>
          <w:lang w:val="fr-FR"/>
        </w:rPr>
        <w:t>Annexe II</w:t>
      </w:r>
    </w:p>
    <w:p w:rsidR="00DD287A" w:rsidRPr="00D63F59" w:rsidRDefault="00DD287A" w:rsidP="00007B86">
      <w:pPr>
        <w:pStyle w:val="HChG"/>
        <w:rPr>
          <w:rFonts w:eastAsia="Calibri"/>
        </w:rPr>
      </w:pPr>
      <w:r>
        <w:rPr>
          <w:lang w:val="fr-FR"/>
        </w:rPr>
        <w:tab/>
      </w:r>
      <w:r>
        <w:rPr>
          <w:lang w:val="fr-FR"/>
        </w:rPr>
        <w:tab/>
        <w:t>(…)</w:t>
      </w:r>
    </w:p>
    <w:p w:rsidR="00DD287A" w:rsidRPr="00D63F59" w:rsidRDefault="00DD287A" w:rsidP="00007B86">
      <w:pPr>
        <w:pStyle w:val="HChG"/>
        <w:rPr>
          <w:rFonts w:eastAsia="Calibri"/>
        </w:rPr>
      </w:pPr>
      <w:r>
        <w:rPr>
          <w:lang w:val="fr-FR"/>
        </w:rPr>
        <w:tab/>
      </w:r>
      <w:r>
        <w:rPr>
          <w:lang w:val="fr-FR"/>
        </w:rPr>
        <w:tab/>
        <w:t>Avant-projet de budget-programme pour 2020</w:t>
      </w:r>
    </w:p>
    <w:p w:rsidR="00DD287A" w:rsidRPr="00D63F59" w:rsidRDefault="00DD287A" w:rsidP="00007B86">
      <w:pPr>
        <w:pStyle w:val="HChG"/>
        <w:rPr>
          <w:rFonts w:eastAsia="Calibri"/>
        </w:rPr>
      </w:pPr>
      <w:r>
        <w:rPr>
          <w:lang w:val="fr-FR"/>
        </w:rPr>
        <w:tab/>
      </w:r>
      <w:r>
        <w:rPr>
          <w:lang w:val="fr-FR"/>
        </w:rPr>
        <w:tab/>
        <w:t>Partie II. Plan-programme</w:t>
      </w:r>
      <w:r w:rsidR="000F2D25">
        <w:rPr>
          <w:lang w:val="fr-FR"/>
        </w:rPr>
        <w:t> :</w:t>
      </w:r>
      <w:r>
        <w:rPr>
          <w:lang w:val="fr-FR"/>
        </w:rPr>
        <w:t xml:space="preserve"> description des programmes </w:t>
      </w:r>
      <w:r w:rsidR="00810CED">
        <w:rPr>
          <w:lang w:val="fr-FR"/>
        </w:rPr>
        <w:br/>
      </w:r>
      <w:r>
        <w:rPr>
          <w:lang w:val="fr-FR"/>
        </w:rPr>
        <w:t>et sous-programmes et informations sur les résultats escomptés</w:t>
      </w:r>
    </w:p>
    <w:p w:rsidR="00DD287A" w:rsidRPr="00D63F59" w:rsidRDefault="00DD287A" w:rsidP="00007B86">
      <w:pPr>
        <w:pStyle w:val="HChG"/>
        <w:rPr>
          <w:rFonts w:eastAsia="Calibri"/>
        </w:rPr>
      </w:pPr>
      <w:r>
        <w:rPr>
          <w:lang w:val="fr-FR"/>
        </w:rPr>
        <w:tab/>
      </w:r>
      <w:r>
        <w:rPr>
          <w:lang w:val="fr-FR"/>
        </w:rPr>
        <w:tab/>
        <w:t>Renseignements complémentaires sur le plan-programme et</w:t>
      </w:r>
      <w:r w:rsidR="00007B86">
        <w:rPr>
          <w:lang w:val="fr-FR"/>
        </w:rPr>
        <w:t> </w:t>
      </w:r>
      <w:r>
        <w:rPr>
          <w:lang w:val="fr-FR"/>
        </w:rPr>
        <w:t>informations sur l</w:t>
      </w:r>
      <w:r w:rsidR="000F2D25">
        <w:rPr>
          <w:lang w:val="fr-FR"/>
        </w:rPr>
        <w:t>’</w:t>
      </w:r>
      <w:r>
        <w:rPr>
          <w:lang w:val="fr-FR"/>
        </w:rPr>
        <w:t>exécution du programme</w:t>
      </w:r>
      <w:r w:rsidRPr="002D27AF">
        <w:rPr>
          <w:rStyle w:val="Appelnotedebasdep"/>
          <w:b w:val="0"/>
        </w:rPr>
        <w:footnoteReference w:id="3"/>
      </w:r>
    </w:p>
    <w:p w:rsidR="00DD287A" w:rsidRPr="00D63F59" w:rsidRDefault="00DD287A" w:rsidP="006576B4">
      <w:pPr>
        <w:pStyle w:val="H1G"/>
        <w:rPr>
          <w:rFonts w:eastAsia="Calibri"/>
        </w:rPr>
      </w:pPr>
      <w:r>
        <w:rPr>
          <w:lang w:val="fr-FR"/>
        </w:rPr>
        <w:tab/>
      </w:r>
      <w:r>
        <w:rPr>
          <w:lang w:val="fr-FR"/>
        </w:rPr>
        <w:tab/>
        <w:t>Programme de travail</w:t>
      </w:r>
    </w:p>
    <w:p w:rsidR="00DD287A" w:rsidRPr="00D63F59" w:rsidRDefault="00DD287A" w:rsidP="00007B86">
      <w:pPr>
        <w:pStyle w:val="HChG"/>
        <w:rPr>
          <w:rFonts w:eastAsia="Calibri"/>
        </w:rPr>
      </w:pPr>
      <w:r>
        <w:rPr>
          <w:lang w:val="fr-FR"/>
        </w:rPr>
        <w:tab/>
      </w:r>
      <w:r>
        <w:rPr>
          <w:lang w:val="fr-FR"/>
        </w:rPr>
        <w:tab/>
        <w:t>(…)</w:t>
      </w:r>
    </w:p>
    <w:p w:rsidR="00DD287A" w:rsidRPr="00D63F59" w:rsidRDefault="00DD287A" w:rsidP="00007B86">
      <w:pPr>
        <w:pStyle w:val="HChG"/>
        <w:rPr>
          <w:rFonts w:eastAsia="Calibri"/>
          <w:spacing w:val="-2"/>
          <w:kern w:val="14"/>
        </w:rPr>
      </w:pPr>
      <w:r>
        <w:rPr>
          <w:lang w:val="fr-FR"/>
        </w:rPr>
        <w:tab/>
      </w:r>
      <w:r>
        <w:rPr>
          <w:lang w:val="fr-FR"/>
        </w:rPr>
        <w:tab/>
        <w:t>Sous-programme 2</w:t>
      </w:r>
      <w:r w:rsidR="000F2D25">
        <w:rPr>
          <w:lang w:val="fr-FR"/>
        </w:rPr>
        <w:t> :</w:t>
      </w:r>
      <w:r>
        <w:rPr>
          <w:lang w:val="fr-FR"/>
        </w:rPr>
        <w:t xml:space="preserve"> Transports</w:t>
      </w:r>
    </w:p>
    <w:p w:rsidR="00DD287A" w:rsidRPr="00D63F59" w:rsidRDefault="00DD287A" w:rsidP="00007B86">
      <w:pPr>
        <w:pStyle w:val="SingleTxtG"/>
        <w:tabs>
          <w:tab w:val="left" w:pos="1985"/>
        </w:tabs>
      </w:pPr>
      <w:r>
        <w:rPr>
          <w:lang w:val="fr-FR"/>
        </w:rPr>
        <w:t>S.20.4.</w:t>
      </w:r>
      <w:r>
        <w:rPr>
          <w:lang w:val="fr-FR"/>
        </w:rPr>
        <w:tab/>
        <w:t>Les activités menées dans le cadre du sous-programme continueront d</w:t>
      </w:r>
      <w:r w:rsidR="000F2D25">
        <w:rPr>
          <w:lang w:val="fr-FR"/>
        </w:rPr>
        <w:t>’</w:t>
      </w:r>
      <w:r>
        <w:rPr>
          <w:lang w:val="fr-FR"/>
        </w:rPr>
        <w:t>être guidées par tous les mandats qui lui ont été attribués, dont la liste figure ci-dessous.</w:t>
      </w:r>
    </w:p>
    <w:p w:rsidR="00DD287A" w:rsidRPr="00D63F59" w:rsidRDefault="00DD287A" w:rsidP="00007B86">
      <w:pPr>
        <w:pStyle w:val="H1G"/>
        <w:rPr>
          <w:rFonts w:eastAsia="Calibri"/>
          <w:spacing w:val="4"/>
          <w:kern w:val="14"/>
        </w:rPr>
      </w:pPr>
      <w:r>
        <w:rPr>
          <w:lang w:val="fr-FR"/>
        </w:rPr>
        <w:tab/>
      </w:r>
      <w:r>
        <w:rPr>
          <w:lang w:val="fr-FR"/>
        </w:rPr>
        <w:tab/>
        <w:t>Liste des mandats</w:t>
      </w:r>
    </w:p>
    <w:tbl>
      <w:tblPr>
        <w:tblW w:w="17010" w:type="dxa"/>
        <w:tblInd w:w="1134" w:type="dxa"/>
        <w:tblLayout w:type="fixed"/>
        <w:tblCellMar>
          <w:left w:w="0" w:type="dxa"/>
          <w:right w:w="0" w:type="dxa"/>
        </w:tblCellMar>
        <w:tblLook w:val="04A0" w:firstRow="1" w:lastRow="0" w:firstColumn="1" w:lastColumn="0" w:noHBand="0" w:noVBand="1"/>
      </w:tblPr>
      <w:tblGrid>
        <w:gridCol w:w="2410"/>
        <w:gridCol w:w="6095"/>
        <w:gridCol w:w="8505"/>
      </w:tblGrid>
      <w:tr w:rsidR="00DD287A" w:rsidRPr="00D63F59" w:rsidTr="00B80639">
        <w:trPr>
          <w:gridAfter w:val="1"/>
          <w:wAfter w:w="8505" w:type="dxa"/>
        </w:trPr>
        <w:tc>
          <w:tcPr>
            <w:tcW w:w="8505" w:type="dxa"/>
            <w:gridSpan w:val="2"/>
            <w:shd w:val="clear" w:color="auto" w:fill="auto"/>
          </w:tcPr>
          <w:p w:rsidR="00DD287A" w:rsidRPr="00D63F59" w:rsidRDefault="00DD287A" w:rsidP="00007B86">
            <w:pPr>
              <w:spacing w:after="120"/>
              <w:rPr>
                <w:rFonts w:eastAsia="Calibri"/>
                <w:spacing w:val="4"/>
                <w:kern w:val="14"/>
              </w:rPr>
            </w:pPr>
            <w:r w:rsidRPr="00D63F59">
              <w:rPr>
                <w:i/>
                <w:iCs/>
                <w:lang w:val="fr-FR"/>
              </w:rPr>
              <w:t>Résolutions de l’Assemblée générale</w:t>
            </w:r>
          </w:p>
        </w:tc>
      </w:tr>
      <w:tr w:rsidR="00DD287A" w:rsidRPr="007F428B" w:rsidTr="00154E68">
        <w:trPr>
          <w:gridAfter w:val="1"/>
          <w:wAfter w:w="8505" w:type="dxa"/>
        </w:trPr>
        <w:tc>
          <w:tcPr>
            <w:tcW w:w="2410" w:type="dxa"/>
            <w:shd w:val="clear" w:color="auto" w:fill="auto"/>
          </w:tcPr>
          <w:p w:rsidR="00DD287A" w:rsidRPr="00D63F59" w:rsidRDefault="00513F7A" w:rsidP="00007B86">
            <w:pPr>
              <w:spacing w:after="120"/>
              <w:rPr>
                <w:rFonts w:eastAsia="Calibri"/>
                <w:spacing w:val="4"/>
                <w:kern w:val="14"/>
              </w:rPr>
            </w:pPr>
            <w:hyperlink r:id="rId24" w:history="1">
              <w:r w:rsidR="00DD287A" w:rsidRPr="00D63F59">
                <w:rPr>
                  <w:rStyle w:val="Lienhypertexte"/>
                  <w:rFonts w:eastAsia="Calibri"/>
                  <w:spacing w:val="4"/>
                  <w:kern w:val="14"/>
                </w:rPr>
                <w:t>58/9</w:t>
              </w:r>
            </w:hyperlink>
          </w:p>
        </w:tc>
        <w:tc>
          <w:tcPr>
            <w:tcW w:w="6095" w:type="dxa"/>
            <w:shd w:val="clear" w:color="auto" w:fill="auto"/>
          </w:tcPr>
          <w:p w:rsidR="00DD287A" w:rsidRPr="007F428B" w:rsidRDefault="00DD287A" w:rsidP="00007B86">
            <w:pPr>
              <w:spacing w:after="120"/>
              <w:rPr>
                <w:rFonts w:eastAsia="Calibri"/>
                <w:spacing w:val="4"/>
                <w:w w:val="103"/>
                <w:kern w:val="14"/>
              </w:rPr>
            </w:pPr>
            <w:r>
              <w:rPr>
                <w:lang w:val="fr-FR"/>
              </w:rPr>
              <w:t>Crise mondiale de la sécurité routière</w:t>
            </w:r>
          </w:p>
        </w:tc>
      </w:tr>
      <w:tr w:rsidR="00DD287A" w:rsidRPr="007F428B" w:rsidTr="00154E68">
        <w:trPr>
          <w:gridAfter w:val="1"/>
          <w:wAfter w:w="8505" w:type="dxa"/>
        </w:trPr>
        <w:tc>
          <w:tcPr>
            <w:tcW w:w="2410" w:type="dxa"/>
            <w:shd w:val="clear" w:color="auto" w:fill="auto"/>
          </w:tcPr>
          <w:p w:rsidR="00DD287A" w:rsidRPr="00D63F59" w:rsidRDefault="00513F7A" w:rsidP="00007B86">
            <w:pPr>
              <w:spacing w:after="120"/>
              <w:rPr>
                <w:rFonts w:eastAsia="Calibri"/>
                <w:spacing w:val="4"/>
                <w:kern w:val="14"/>
              </w:rPr>
            </w:pPr>
            <w:hyperlink r:id="rId25" w:history="1">
              <w:r w:rsidR="00DD287A" w:rsidRPr="00D63F59">
                <w:rPr>
                  <w:rStyle w:val="Lienhypertexte"/>
                  <w:rFonts w:eastAsia="Calibri"/>
                  <w:spacing w:val="4"/>
                  <w:kern w:val="14"/>
                </w:rPr>
                <w:t>68/269</w:t>
              </w:r>
            </w:hyperlink>
          </w:p>
        </w:tc>
        <w:tc>
          <w:tcPr>
            <w:tcW w:w="6095" w:type="dxa"/>
            <w:shd w:val="clear" w:color="auto" w:fill="auto"/>
          </w:tcPr>
          <w:p w:rsidR="00DD287A" w:rsidRPr="007F428B" w:rsidRDefault="00DD287A" w:rsidP="00007B86">
            <w:pPr>
              <w:spacing w:after="120"/>
              <w:rPr>
                <w:rFonts w:eastAsia="Calibri"/>
                <w:spacing w:val="4"/>
                <w:w w:val="103"/>
                <w:kern w:val="14"/>
              </w:rPr>
            </w:pPr>
            <w:r>
              <w:rPr>
                <w:lang w:val="fr-FR"/>
              </w:rPr>
              <w:t>Amélioration de la sécurité routière mondiale</w:t>
            </w:r>
          </w:p>
        </w:tc>
      </w:tr>
      <w:tr w:rsidR="00DD287A" w:rsidRPr="007F428B" w:rsidTr="00154E68">
        <w:trPr>
          <w:gridAfter w:val="1"/>
          <w:wAfter w:w="8505" w:type="dxa"/>
        </w:trPr>
        <w:tc>
          <w:tcPr>
            <w:tcW w:w="2410" w:type="dxa"/>
            <w:shd w:val="clear" w:color="auto" w:fill="auto"/>
          </w:tcPr>
          <w:p w:rsidR="00DD287A" w:rsidRPr="00D63F59" w:rsidRDefault="00513F7A" w:rsidP="00007B86">
            <w:pPr>
              <w:spacing w:after="120"/>
              <w:rPr>
                <w:rFonts w:eastAsia="Calibri"/>
                <w:spacing w:val="4"/>
                <w:kern w:val="14"/>
              </w:rPr>
            </w:pPr>
            <w:hyperlink r:id="rId26" w:history="1">
              <w:r w:rsidR="00DD287A" w:rsidRPr="00D63F59">
                <w:rPr>
                  <w:rStyle w:val="Lienhypertexte"/>
                  <w:rFonts w:eastAsia="Calibri"/>
                  <w:spacing w:val="4"/>
                  <w:kern w:val="14"/>
                </w:rPr>
                <w:t>69/137</w:t>
              </w:r>
            </w:hyperlink>
          </w:p>
        </w:tc>
        <w:tc>
          <w:tcPr>
            <w:tcW w:w="6095" w:type="dxa"/>
            <w:shd w:val="clear" w:color="auto" w:fill="auto"/>
          </w:tcPr>
          <w:p w:rsidR="00DD287A" w:rsidRPr="007F428B" w:rsidRDefault="00DD287A" w:rsidP="00810CED">
            <w:pPr>
              <w:spacing w:after="120"/>
              <w:rPr>
                <w:rFonts w:eastAsia="Calibri"/>
                <w:spacing w:val="4"/>
                <w:w w:val="103"/>
                <w:kern w:val="14"/>
              </w:rPr>
            </w:pPr>
            <w:r>
              <w:rPr>
                <w:lang w:val="fr-FR"/>
              </w:rPr>
              <w:t>Programme d’action en faveur des pays en développement sans littoral pour</w:t>
            </w:r>
            <w:r w:rsidR="00810CED">
              <w:rPr>
                <w:lang w:val="fr-FR"/>
              </w:rPr>
              <w:t> </w:t>
            </w:r>
            <w:r>
              <w:rPr>
                <w:lang w:val="fr-FR"/>
              </w:rPr>
              <w:t>la décennie 2014-2024</w:t>
            </w:r>
          </w:p>
        </w:tc>
      </w:tr>
      <w:tr w:rsidR="00DD287A" w:rsidRPr="007F428B" w:rsidTr="00154E68">
        <w:trPr>
          <w:gridAfter w:val="1"/>
          <w:wAfter w:w="8505" w:type="dxa"/>
        </w:trPr>
        <w:tc>
          <w:tcPr>
            <w:tcW w:w="2410" w:type="dxa"/>
            <w:shd w:val="clear" w:color="auto" w:fill="auto"/>
          </w:tcPr>
          <w:p w:rsidR="00DD287A" w:rsidRPr="00D63F59" w:rsidRDefault="00513F7A" w:rsidP="00007B86">
            <w:pPr>
              <w:spacing w:after="120"/>
              <w:rPr>
                <w:rFonts w:eastAsia="Calibri"/>
                <w:spacing w:val="4"/>
                <w:kern w:val="14"/>
              </w:rPr>
            </w:pPr>
            <w:hyperlink r:id="rId27" w:history="1">
              <w:r w:rsidR="00DD287A" w:rsidRPr="00D63F59">
                <w:rPr>
                  <w:rStyle w:val="Lienhypertexte"/>
                  <w:rFonts w:eastAsia="Calibri"/>
                  <w:spacing w:val="4"/>
                  <w:kern w:val="14"/>
                </w:rPr>
                <w:t>69/213</w:t>
              </w:r>
            </w:hyperlink>
          </w:p>
        </w:tc>
        <w:tc>
          <w:tcPr>
            <w:tcW w:w="6095" w:type="dxa"/>
            <w:shd w:val="clear" w:color="auto" w:fill="auto"/>
          </w:tcPr>
          <w:p w:rsidR="00DD287A" w:rsidRPr="007F428B" w:rsidRDefault="00DD287A" w:rsidP="00007B86">
            <w:pPr>
              <w:spacing w:after="120"/>
              <w:rPr>
                <w:rFonts w:eastAsia="Calibri"/>
                <w:spacing w:val="4"/>
                <w:w w:val="103"/>
                <w:kern w:val="14"/>
              </w:rPr>
            </w:pPr>
            <w:r>
              <w:rPr>
                <w:lang w:val="fr-FR"/>
              </w:rPr>
              <w:t xml:space="preserve">Le rôle des couloirs de transport et de transit en matière de coopération internationale et de développement durable </w:t>
            </w:r>
          </w:p>
        </w:tc>
      </w:tr>
      <w:tr w:rsidR="00DD287A" w:rsidRPr="007F428B" w:rsidTr="00154E68">
        <w:trPr>
          <w:gridAfter w:val="1"/>
          <w:wAfter w:w="8505" w:type="dxa"/>
        </w:trPr>
        <w:tc>
          <w:tcPr>
            <w:tcW w:w="2410" w:type="dxa"/>
            <w:shd w:val="clear" w:color="auto" w:fill="auto"/>
          </w:tcPr>
          <w:p w:rsidR="00DD287A" w:rsidRPr="00D63F59" w:rsidRDefault="00513F7A" w:rsidP="00007B86">
            <w:pPr>
              <w:spacing w:after="120"/>
              <w:rPr>
                <w:rFonts w:eastAsia="Calibri"/>
                <w:spacing w:val="4"/>
                <w:kern w:val="14"/>
              </w:rPr>
            </w:pPr>
            <w:hyperlink r:id="rId28" w:history="1">
              <w:r w:rsidR="00DD287A" w:rsidRPr="00D63F59">
                <w:rPr>
                  <w:rStyle w:val="Lienhypertexte"/>
                  <w:rFonts w:eastAsia="Calibri"/>
                  <w:spacing w:val="4"/>
                  <w:kern w:val="14"/>
                </w:rPr>
                <w:t>70/197</w:t>
              </w:r>
            </w:hyperlink>
          </w:p>
        </w:tc>
        <w:tc>
          <w:tcPr>
            <w:tcW w:w="6095" w:type="dxa"/>
            <w:shd w:val="clear" w:color="auto" w:fill="auto"/>
          </w:tcPr>
          <w:p w:rsidR="00DD287A" w:rsidRPr="007F428B" w:rsidRDefault="00DD287A" w:rsidP="00810CED">
            <w:pPr>
              <w:spacing w:after="120"/>
              <w:rPr>
                <w:rFonts w:eastAsia="Calibri"/>
                <w:spacing w:val="4"/>
                <w:w w:val="103"/>
                <w:kern w:val="14"/>
              </w:rPr>
            </w:pPr>
            <w:r>
              <w:rPr>
                <w:lang w:val="fr-FR"/>
              </w:rPr>
              <w:t>Vers une coopération de tous les acteurs du secteur des transports pour la</w:t>
            </w:r>
            <w:r w:rsidR="00810CED">
              <w:rPr>
                <w:lang w:val="fr-FR"/>
              </w:rPr>
              <w:t> </w:t>
            </w:r>
            <w:r>
              <w:rPr>
                <w:lang w:val="fr-FR"/>
              </w:rPr>
              <w:t>promotion de couloirs de transit multimodal durables</w:t>
            </w:r>
          </w:p>
        </w:tc>
      </w:tr>
      <w:tr w:rsidR="00DD287A" w:rsidRPr="007F428B" w:rsidTr="00154E68">
        <w:trPr>
          <w:gridAfter w:val="1"/>
          <w:wAfter w:w="8505" w:type="dxa"/>
        </w:trPr>
        <w:tc>
          <w:tcPr>
            <w:tcW w:w="2410" w:type="dxa"/>
            <w:shd w:val="clear" w:color="auto" w:fill="auto"/>
          </w:tcPr>
          <w:p w:rsidR="00DD287A" w:rsidRPr="007F428B" w:rsidRDefault="00513F7A" w:rsidP="00007B86">
            <w:pPr>
              <w:spacing w:after="120"/>
              <w:rPr>
                <w:rFonts w:eastAsia="Calibri"/>
                <w:spacing w:val="4"/>
                <w:w w:val="103"/>
                <w:kern w:val="14"/>
              </w:rPr>
            </w:pPr>
            <w:hyperlink r:id="rId29" w:history="1">
              <w:r w:rsidR="00DD287A" w:rsidRPr="00E558E5">
                <w:rPr>
                  <w:rStyle w:val="Lienhypertexte"/>
                </w:rPr>
                <w:t>70/217</w:t>
              </w:r>
            </w:hyperlink>
          </w:p>
        </w:tc>
        <w:tc>
          <w:tcPr>
            <w:tcW w:w="6095" w:type="dxa"/>
            <w:shd w:val="clear" w:color="auto" w:fill="auto"/>
          </w:tcPr>
          <w:p w:rsidR="00DD287A" w:rsidRPr="007F428B" w:rsidRDefault="00DD287A" w:rsidP="00810CED">
            <w:pPr>
              <w:spacing w:after="120"/>
              <w:rPr>
                <w:rFonts w:eastAsia="Calibri"/>
                <w:spacing w:val="4"/>
                <w:w w:val="103"/>
                <w:kern w:val="14"/>
              </w:rPr>
            </w:pPr>
            <w:r>
              <w:rPr>
                <w:lang w:val="fr-FR"/>
              </w:rPr>
              <w:t>Suivi de la deuxième Conférence des Nations Unies sur les pays en</w:t>
            </w:r>
            <w:r w:rsidR="00810CED">
              <w:rPr>
                <w:lang w:val="fr-FR"/>
              </w:rPr>
              <w:t> </w:t>
            </w:r>
            <w:r>
              <w:rPr>
                <w:lang w:val="fr-FR"/>
              </w:rPr>
              <w:t>développement sans littoral</w:t>
            </w:r>
          </w:p>
        </w:tc>
      </w:tr>
      <w:tr w:rsidR="00DD287A" w:rsidRPr="007F428B" w:rsidTr="00154E68">
        <w:trPr>
          <w:gridAfter w:val="1"/>
          <w:wAfter w:w="8505" w:type="dxa"/>
        </w:trPr>
        <w:tc>
          <w:tcPr>
            <w:tcW w:w="2410" w:type="dxa"/>
            <w:shd w:val="clear" w:color="auto" w:fill="auto"/>
          </w:tcPr>
          <w:p w:rsidR="00DD287A" w:rsidRPr="00D63F59" w:rsidRDefault="00513F7A" w:rsidP="00007B86">
            <w:pPr>
              <w:spacing w:after="120"/>
              <w:rPr>
                <w:rFonts w:eastAsia="Calibri"/>
                <w:spacing w:val="4"/>
                <w:kern w:val="14"/>
              </w:rPr>
            </w:pPr>
            <w:hyperlink r:id="rId30" w:history="1">
              <w:r w:rsidR="00DD287A" w:rsidRPr="00D63F59">
                <w:rPr>
                  <w:rStyle w:val="Lienhypertexte"/>
                  <w:rFonts w:eastAsia="Calibri"/>
                  <w:spacing w:val="4"/>
                  <w:kern w:val="14"/>
                </w:rPr>
                <w:t>72/212</w:t>
              </w:r>
            </w:hyperlink>
          </w:p>
        </w:tc>
        <w:tc>
          <w:tcPr>
            <w:tcW w:w="6095" w:type="dxa"/>
            <w:shd w:val="clear" w:color="auto" w:fill="auto"/>
          </w:tcPr>
          <w:p w:rsidR="00DD287A" w:rsidRPr="007F428B" w:rsidRDefault="00DD287A" w:rsidP="00810CED">
            <w:pPr>
              <w:spacing w:after="120"/>
              <w:rPr>
                <w:rFonts w:eastAsia="Calibri"/>
                <w:spacing w:val="4"/>
                <w:w w:val="103"/>
                <w:kern w:val="14"/>
              </w:rPr>
            </w:pPr>
            <w:r w:rsidRPr="00D63F59">
              <w:rPr>
                <w:lang w:val="fr-FR"/>
              </w:rPr>
              <w:t>Renforcer les liens entre tous les modes de transport pour atteindre les</w:t>
            </w:r>
            <w:r w:rsidR="00810CED" w:rsidRPr="00D63F59">
              <w:rPr>
                <w:lang w:val="fr-FR"/>
              </w:rPr>
              <w:t> </w:t>
            </w:r>
            <w:r w:rsidRPr="00D63F59">
              <w:rPr>
                <w:lang w:val="fr-FR"/>
              </w:rPr>
              <w:t>objectifs de développement durable</w:t>
            </w:r>
            <w:r w:rsidRPr="00D63F59">
              <w:rPr>
                <w:rFonts w:eastAsia="Calibri"/>
                <w:spacing w:val="4"/>
                <w:kern w:val="14"/>
              </w:rPr>
              <w:t xml:space="preserve"> </w:t>
            </w:r>
          </w:p>
        </w:tc>
      </w:tr>
      <w:tr w:rsidR="00DD287A" w:rsidRPr="007F428B" w:rsidTr="00154E68">
        <w:trPr>
          <w:gridAfter w:val="1"/>
          <w:wAfter w:w="8505" w:type="dxa"/>
        </w:trPr>
        <w:tc>
          <w:tcPr>
            <w:tcW w:w="2410" w:type="dxa"/>
            <w:shd w:val="clear" w:color="auto" w:fill="auto"/>
          </w:tcPr>
          <w:p w:rsidR="00DD287A" w:rsidRPr="00D63F59" w:rsidRDefault="00513F7A" w:rsidP="00007B86">
            <w:pPr>
              <w:spacing w:after="120"/>
              <w:rPr>
                <w:rFonts w:eastAsia="Calibri"/>
                <w:spacing w:val="4"/>
                <w:kern w:val="14"/>
              </w:rPr>
            </w:pPr>
            <w:hyperlink r:id="rId31" w:history="1">
              <w:r w:rsidR="00DD287A" w:rsidRPr="00D63F59">
                <w:rPr>
                  <w:rStyle w:val="Lienhypertexte"/>
                  <w:rFonts w:eastAsia="Calibri"/>
                  <w:spacing w:val="4"/>
                  <w:kern w:val="14"/>
                </w:rPr>
                <w:t>72/232</w:t>
              </w:r>
            </w:hyperlink>
          </w:p>
        </w:tc>
        <w:tc>
          <w:tcPr>
            <w:tcW w:w="6095" w:type="dxa"/>
            <w:shd w:val="clear" w:color="auto" w:fill="auto"/>
          </w:tcPr>
          <w:p w:rsidR="00DD287A" w:rsidRPr="007F428B" w:rsidRDefault="00DD287A" w:rsidP="00810CED">
            <w:pPr>
              <w:spacing w:after="120"/>
              <w:rPr>
                <w:rFonts w:eastAsia="Calibri"/>
                <w:spacing w:val="4"/>
                <w:w w:val="103"/>
                <w:kern w:val="14"/>
              </w:rPr>
            </w:pPr>
            <w:r>
              <w:rPr>
                <w:lang w:val="fr-FR"/>
              </w:rPr>
              <w:t>Suivi de la deuxième Conférence des Nations Unies sur les pays en</w:t>
            </w:r>
            <w:r w:rsidR="00810CED">
              <w:rPr>
                <w:lang w:val="fr-FR"/>
              </w:rPr>
              <w:t> </w:t>
            </w:r>
            <w:r>
              <w:rPr>
                <w:lang w:val="fr-FR"/>
              </w:rPr>
              <w:t>développement sans littoral</w:t>
            </w:r>
          </w:p>
        </w:tc>
      </w:tr>
      <w:tr w:rsidR="00DD287A" w:rsidRPr="007F428B" w:rsidTr="00154E68">
        <w:trPr>
          <w:gridAfter w:val="1"/>
          <w:wAfter w:w="8505" w:type="dxa"/>
        </w:trPr>
        <w:tc>
          <w:tcPr>
            <w:tcW w:w="2410" w:type="dxa"/>
            <w:shd w:val="clear" w:color="auto" w:fill="auto"/>
          </w:tcPr>
          <w:p w:rsidR="00DD287A" w:rsidRPr="00D63F59" w:rsidRDefault="00513F7A" w:rsidP="00007B86">
            <w:pPr>
              <w:spacing w:after="120"/>
              <w:rPr>
                <w:rFonts w:eastAsia="Calibri"/>
                <w:spacing w:val="4"/>
                <w:kern w:val="14"/>
              </w:rPr>
            </w:pPr>
            <w:hyperlink r:id="rId32" w:history="1">
              <w:r w:rsidR="00DD287A" w:rsidRPr="00D63F59">
                <w:rPr>
                  <w:rStyle w:val="Lienhypertexte"/>
                  <w:rFonts w:eastAsia="Calibri"/>
                  <w:spacing w:val="4"/>
                  <w:kern w:val="14"/>
                </w:rPr>
                <w:t>72/271</w:t>
              </w:r>
            </w:hyperlink>
          </w:p>
        </w:tc>
        <w:tc>
          <w:tcPr>
            <w:tcW w:w="6095" w:type="dxa"/>
            <w:shd w:val="clear" w:color="auto" w:fill="auto"/>
          </w:tcPr>
          <w:p w:rsidR="00DD287A" w:rsidRPr="007F428B" w:rsidRDefault="00DD287A" w:rsidP="00007B86">
            <w:pPr>
              <w:spacing w:after="120"/>
              <w:rPr>
                <w:rFonts w:eastAsia="Calibri"/>
                <w:spacing w:val="4"/>
                <w:w w:val="103"/>
                <w:kern w:val="14"/>
              </w:rPr>
            </w:pPr>
            <w:r>
              <w:rPr>
                <w:lang w:val="fr-FR"/>
              </w:rPr>
              <w:t>Amélioration de la sécurité routière mondiale</w:t>
            </w:r>
          </w:p>
        </w:tc>
      </w:tr>
      <w:tr w:rsidR="00DD287A" w:rsidRPr="00D63F59" w:rsidTr="00154E68">
        <w:trPr>
          <w:gridAfter w:val="1"/>
          <w:wAfter w:w="8505" w:type="dxa"/>
        </w:trPr>
        <w:tc>
          <w:tcPr>
            <w:tcW w:w="2410" w:type="dxa"/>
            <w:shd w:val="clear" w:color="auto" w:fill="auto"/>
          </w:tcPr>
          <w:p w:rsidR="00DD287A" w:rsidRPr="00D63F59" w:rsidRDefault="00DD287A" w:rsidP="00007B86">
            <w:pPr>
              <w:spacing w:after="120"/>
              <w:rPr>
                <w:rFonts w:eastAsia="Calibri"/>
                <w:spacing w:val="4"/>
                <w:kern w:val="14"/>
              </w:rPr>
            </w:pPr>
          </w:p>
        </w:tc>
        <w:tc>
          <w:tcPr>
            <w:tcW w:w="6095" w:type="dxa"/>
            <w:shd w:val="clear" w:color="auto" w:fill="auto"/>
          </w:tcPr>
          <w:p w:rsidR="00DD287A" w:rsidRPr="00D63F59" w:rsidRDefault="00DD287A" w:rsidP="00007B86">
            <w:pPr>
              <w:spacing w:after="120"/>
              <w:rPr>
                <w:rFonts w:eastAsia="Calibri"/>
                <w:spacing w:val="4"/>
                <w:kern w:val="14"/>
              </w:rPr>
            </w:pPr>
          </w:p>
        </w:tc>
      </w:tr>
      <w:tr w:rsidR="00DD287A" w:rsidRPr="007F428B" w:rsidTr="00B80639">
        <w:trPr>
          <w:gridAfter w:val="1"/>
          <w:wAfter w:w="8505" w:type="dxa"/>
        </w:trPr>
        <w:tc>
          <w:tcPr>
            <w:tcW w:w="8505" w:type="dxa"/>
            <w:gridSpan w:val="2"/>
            <w:shd w:val="clear" w:color="auto" w:fill="auto"/>
          </w:tcPr>
          <w:p w:rsidR="00DD287A" w:rsidRPr="007F428B" w:rsidRDefault="00DD287A" w:rsidP="00314385">
            <w:pPr>
              <w:keepNext/>
              <w:keepLines/>
              <w:spacing w:after="100"/>
              <w:rPr>
                <w:rFonts w:eastAsia="Calibri"/>
                <w:spacing w:val="4"/>
                <w:w w:val="103"/>
                <w:kern w:val="14"/>
              </w:rPr>
            </w:pPr>
            <w:r>
              <w:rPr>
                <w:i/>
                <w:iCs/>
                <w:lang w:val="fr-FR"/>
              </w:rPr>
              <w:lastRenderedPageBreak/>
              <w:t>Résolutions du Conseil économique et social</w:t>
            </w:r>
          </w:p>
        </w:tc>
      </w:tr>
      <w:tr w:rsidR="00DD287A" w:rsidRPr="007F428B" w:rsidTr="00154E68">
        <w:trPr>
          <w:gridAfter w:val="1"/>
          <w:wAfter w:w="8505" w:type="dxa"/>
        </w:trPr>
        <w:tc>
          <w:tcPr>
            <w:tcW w:w="2410" w:type="dxa"/>
            <w:shd w:val="clear" w:color="auto" w:fill="auto"/>
          </w:tcPr>
          <w:p w:rsidR="00DD287A" w:rsidRPr="007F428B" w:rsidRDefault="00513F7A" w:rsidP="00314385">
            <w:pPr>
              <w:keepNext/>
              <w:keepLines/>
              <w:spacing w:after="100"/>
              <w:rPr>
                <w:rFonts w:eastAsia="Calibri"/>
                <w:spacing w:val="4"/>
                <w:w w:val="103"/>
                <w:kern w:val="14"/>
              </w:rPr>
            </w:pPr>
            <w:hyperlink r:id="rId33" w:history="1">
              <w:r w:rsidR="005B26DA" w:rsidRPr="005B26DA">
                <w:rPr>
                  <w:rStyle w:val="Lienhypertexte"/>
                  <w:lang w:val="en-GB"/>
                </w:rPr>
                <w:t>1999/65</w:t>
              </w:r>
            </w:hyperlink>
          </w:p>
        </w:tc>
        <w:tc>
          <w:tcPr>
            <w:tcW w:w="6095" w:type="dxa"/>
            <w:shd w:val="clear" w:color="auto" w:fill="auto"/>
          </w:tcPr>
          <w:p w:rsidR="00DD287A" w:rsidRPr="007F428B" w:rsidRDefault="00DD287A" w:rsidP="00314385">
            <w:pPr>
              <w:keepNext/>
              <w:keepLines/>
              <w:spacing w:after="100"/>
              <w:rPr>
                <w:rFonts w:eastAsia="Calibri"/>
                <w:spacing w:val="4"/>
                <w:w w:val="103"/>
                <w:kern w:val="14"/>
              </w:rPr>
            </w:pPr>
            <w:r>
              <w:rPr>
                <w:lang w:val="fr-FR"/>
              </w:rPr>
              <w:t>Transformation du Comité d’experts en matière de transport des</w:t>
            </w:r>
            <w:r w:rsidR="00314385">
              <w:rPr>
                <w:lang w:val="fr-FR"/>
              </w:rPr>
              <w:t> </w:t>
            </w:r>
            <w:r>
              <w:rPr>
                <w:lang w:val="fr-FR"/>
              </w:rPr>
              <w:t>marchandises dangereuses en Comité d’experts du transport des</w:t>
            </w:r>
            <w:r w:rsidR="00314385">
              <w:rPr>
                <w:lang w:val="fr-FR"/>
              </w:rPr>
              <w:t> </w:t>
            </w:r>
            <w:r>
              <w:rPr>
                <w:lang w:val="fr-FR"/>
              </w:rPr>
              <w:t>marchandises dangereuses et du Système général harmonisé de</w:t>
            </w:r>
            <w:r w:rsidR="00314385">
              <w:rPr>
                <w:lang w:val="fr-FR"/>
              </w:rPr>
              <w:t> </w:t>
            </w:r>
            <w:r>
              <w:rPr>
                <w:lang w:val="fr-FR"/>
              </w:rPr>
              <w:t>classification et d’étiquetage des produits chimiques</w:t>
            </w:r>
          </w:p>
        </w:tc>
      </w:tr>
      <w:tr w:rsidR="00DD287A" w:rsidRPr="007F428B" w:rsidTr="00154E68">
        <w:trPr>
          <w:gridAfter w:val="1"/>
          <w:wAfter w:w="8505" w:type="dxa"/>
        </w:trPr>
        <w:tc>
          <w:tcPr>
            <w:tcW w:w="2410" w:type="dxa"/>
            <w:shd w:val="clear" w:color="auto" w:fill="auto"/>
          </w:tcPr>
          <w:p w:rsidR="00DD287A" w:rsidRPr="00D63F59" w:rsidRDefault="00513F7A" w:rsidP="00314385">
            <w:pPr>
              <w:spacing w:after="100"/>
              <w:rPr>
                <w:rFonts w:eastAsia="Calibri"/>
                <w:spacing w:val="4"/>
                <w:kern w:val="14"/>
              </w:rPr>
            </w:pPr>
            <w:hyperlink r:id="rId34" w:history="1">
              <w:r w:rsidR="00DD287A" w:rsidRPr="00D63F59">
                <w:rPr>
                  <w:rStyle w:val="Lienhypertexte"/>
                  <w:rFonts w:eastAsia="Calibri"/>
                  <w:spacing w:val="4"/>
                  <w:kern w:val="14"/>
                </w:rPr>
                <w:t>2013/7</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Liaison fixe Europe-Afrique à travers le détroit de Gibraltar</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35" w:history="1">
              <w:r w:rsidR="00DD287A" w:rsidRPr="00806977">
                <w:rPr>
                  <w:rStyle w:val="Lienhypertexte"/>
                  <w:lang w:val="fr-FR"/>
                </w:rPr>
                <w:t>E/RES/2017/13</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Travaux du Comité d’experts du transport des marchandises dangereuses et</w:t>
            </w:r>
            <w:r w:rsidR="00314385">
              <w:rPr>
                <w:lang w:val="fr-FR"/>
              </w:rPr>
              <w:t> </w:t>
            </w:r>
            <w:r>
              <w:rPr>
                <w:lang w:val="fr-FR"/>
              </w:rPr>
              <w:t>du Système général harmonisé de classification et d’étiquetage des</w:t>
            </w:r>
            <w:r w:rsidR="00314385">
              <w:rPr>
                <w:lang w:val="fr-FR"/>
              </w:rPr>
              <w:t> </w:t>
            </w:r>
            <w:r>
              <w:rPr>
                <w:lang w:val="fr-FR"/>
              </w:rPr>
              <w:t>produits chimiques</w:t>
            </w:r>
          </w:p>
        </w:tc>
      </w:tr>
      <w:tr w:rsidR="00DD287A" w:rsidRPr="00D63F59" w:rsidTr="00B80639">
        <w:tc>
          <w:tcPr>
            <w:tcW w:w="8505" w:type="dxa"/>
            <w:gridSpan w:val="2"/>
            <w:shd w:val="clear" w:color="auto" w:fill="auto"/>
          </w:tcPr>
          <w:p w:rsidR="00DD287A" w:rsidRPr="00D63F59" w:rsidRDefault="00DD287A" w:rsidP="00314385">
            <w:pPr>
              <w:spacing w:after="100"/>
              <w:rPr>
                <w:rFonts w:eastAsia="Calibri"/>
                <w:spacing w:val="4"/>
                <w:kern w:val="14"/>
              </w:rPr>
            </w:pPr>
          </w:p>
        </w:tc>
        <w:tc>
          <w:tcPr>
            <w:tcW w:w="8505" w:type="dxa"/>
            <w:shd w:val="clear" w:color="auto" w:fill="auto"/>
          </w:tcPr>
          <w:p w:rsidR="00DD287A" w:rsidRPr="00D63F59" w:rsidRDefault="00DD287A" w:rsidP="00007B86">
            <w:pPr>
              <w:spacing w:after="120"/>
              <w:rPr>
                <w:rFonts w:eastAsia="Calibri"/>
                <w:spacing w:val="4"/>
                <w:kern w:val="14"/>
              </w:rPr>
            </w:pPr>
          </w:p>
        </w:tc>
      </w:tr>
      <w:tr w:rsidR="00DD287A" w:rsidRPr="007F428B" w:rsidTr="00B80639">
        <w:tc>
          <w:tcPr>
            <w:tcW w:w="17010" w:type="dxa"/>
            <w:gridSpan w:val="3"/>
            <w:shd w:val="clear" w:color="auto" w:fill="auto"/>
          </w:tcPr>
          <w:p w:rsidR="00DD287A" w:rsidRPr="007F428B" w:rsidRDefault="00DD287A" w:rsidP="00314385">
            <w:pPr>
              <w:spacing w:after="100"/>
              <w:rPr>
                <w:rFonts w:eastAsia="Calibri"/>
                <w:spacing w:val="4"/>
                <w:w w:val="103"/>
                <w:kern w:val="14"/>
              </w:rPr>
            </w:pPr>
            <w:r>
              <w:rPr>
                <w:i/>
                <w:iCs/>
                <w:lang w:val="fr-FR"/>
              </w:rPr>
              <w:t>Décisions de la Commission économique pour l’Europe</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36" w:history="1">
              <w:r w:rsidR="00806977" w:rsidRPr="00806977">
                <w:rPr>
                  <w:rStyle w:val="Lienhypertexte"/>
                </w:rPr>
                <w:t>ECE/AC.21/</w:t>
              </w:r>
              <w:r w:rsidR="00DD287A" w:rsidRPr="00806977">
                <w:rPr>
                  <w:rStyle w:val="Lienhypertexte"/>
                </w:rPr>
                <w:t>2014/2</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Rapport de la Réunion de haut niveau sur les transports, la santé et</w:t>
            </w:r>
            <w:r w:rsidR="00314385">
              <w:rPr>
                <w:lang w:val="fr-FR"/>
              </w:rPr>
              <w:t> </w:t>
            </w:r>
            <w:r>
              <w:rPr>
                <w:lang w:val="fr-FR"/>
              </w:rPr>
              <w:t>l’environnement sur sa quatrième session</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37" w:history="1">
              <w:r w:rsidR="00DD287A" w:rsidRPr="00806977">
                <w:rPr>
                  <w:rStyle w:val="Lienhypertexte"/>
                </w:rPr>
                <w:t>ECE/TRANS/224</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Rapport du Comité des transports intérieurs sur sa soixante-quatorzième session (</w:t>
            </w:r>
            <w:r w:rsidR="000F2D25">
              <w:rPr>
                <w:lang w:val="fr-FR"/>
              </w:rPr>
              <w:t>« </w:t>
            </w:r>
            <w:r>
              <w:rPr>
                <w:lang w:val="fr-FR"/>
              </w:rPr>
              <w:t>Feuille de route de la CEE pour la promotion des systèmes de</w:t>
            </w:r>
            <w:r w:rsidR="00314385">
              <w:rPr>
                <w:lang w:val="fr-FR"/>
              </w:rPr>
              <w:t> </w:t>
            </w:r>
            <w:r>
              <w:rPr>
                <w:lang w:val="fr-FR"/>
              </w:rPr>
              <w:t>transport intelligents (STI) − 20 mesures à prendre au niveau mondial sur la période 2012-2020</w:t>
            </w:r>
            <w:r w:rsidR="000F2D25">
              <w:rPr>
                <w:lang w:val="fr-FR"/>
              </w:rPr>
              <w:t> »</w:t>
            </w:r>
            <w:r>
              <w:rPr>
                <w:lang w:val="fr-FR"/>
              </w:rPr>
              <w:t>)</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38" w:history="1">
              <w:r w:rsidR="00DD287A" w:rsidRPr="00806977">
                <w:rPr>
                  <w:rStyle w:val="Lienhypertexte"/>
                </w:rPr>
                <w:t>ECE/TRANS/236</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Rapport du Comité des transports intérieurs sur sa soixante-quinzième session (Déclaration commune sur la promotion du transport ferroviaire entre l’Europe et l’Asie et des activités menées à cette fin</w:t>
            </w:r>
            <w:r w:rsidR="000F2D25">
              <w:rPr>
                <w:lang w:val="fr-FR"/>
              </w:rPr>
              <w:t> ;</w:t>
            </w:r>
            <w:r>
              <w:rPr>
                <w:lang w:val="fr-FR"/>
              </w:rPr>
              <w:t xml:space="preserve"> et Déclaration commune sur le développement futur des liaisons de transport Europe-Asie) </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39" w:history="1">
              <w:r w:rsidR="00DD287A" w:rsidRPr="00806977">
                <w:rPr>
                  <w:rStyle w:val="Lienhypertexte"/>
                </w:rPr>
                <w:t>ECE/TRANS/248</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Rapport du Comité des transports intérieurs sur sa soixante-dix-septième session</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40" w:history="1">
              <w:r w:rsidR="00DD287A" w:rsidRPr="00806977">
                <w:rPr>
                  <w:rStyle w:val="Lienhypertexte"/>
                </w:rPr>
                <w:t>ECE/TRANS/254</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Rapport du Comité des transports intérieurs sur sa soixante-dix-huitième session</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41" w:history="1">
              <w:r w:rsidR="00DD287A" w:rsidRPr="00806977">
                <w:rPr>
                  <w:rStyle w:val="Lienhypertexte"/>
                </w:rPr>
                <w:t>ECE/TRANS/270</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 xml:space="preserve">Rapport du Comité des transports intérieurs sur sa soixante-dix-neuvième session (résolution ministérielle intitulée </w:t>
            </w:r>
            <w:r w:rsidR="000F2D25">
              <w:rPr>
                <w:lang w:val="fr-FR"/>
              </w:rPr>
              <w:t>« </w:t>
            </w:r>
            <w:r>
              <w:rPr>
                <w:lang w:val="fr-FR"/>
              </w:rPr>
              <w:t>Embrasser l’ère nouvelle de</w:t>
            </w:r>
            <w:r w:rsidR="00314385">
              <w:rPr>
                <w:lang w:val="fr-FR"/>
              </w:rPr>
              <w:t> </w:t>
            </w:r>
            <w:r>
              <w:rPr>
                <w:lang w:val="fr-FR"/>
              </w:rPr>
              <w:t>la</w:t>
            </w:r>
            <w:r w:rsidR="00314385">
              <w:rPr>
                <w:lang w:val="fr-FR"/>
              </w:rPr>
              <w:t> </w:t>
            </w:r>
            <w:r>
              <w:rPr>
                <w:lang w:val="fr-FR"/>
              </w:rPr>
              <w:t>viabilité des transports intérieurs et de la mobilité</w:t>
            </w:r>
            <w:r w:rsidR="000F2D25">
              <w:rPr>
                <w:lang w:val="fr-FR"/>
              </w:rPr>
              <w:t> »</w:t>
            </w:r>
            <w:r>
              <w:rPr>
                <w:lang w:val="fr-FR"/>
              </w:rPr>
              <w:t>)</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42" w:history="1">
              <w:r w:rsidR="00DD287A" w:rsidRPr="00806977">
                <w:rPr>
                  <w:rStyle w:val="Lienhypertexte"/>
                </w:rPr>
                <w:t>ECE/TRANS/274</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 xml:space="preserve">Rapport du Comité des transports intérieurs sur sa quatre-vingtième session </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43" w:history="1">
              <w:r w:rsidR="00DD287A" w:rsidRPr="00C77192">
                <w:rPr>
                  <w:rStyle w:val="Lienhypertexte"/>
                </w:rPr>
                <w:t>B (66)</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Approbation de la Charte de Genève sur le logement durable</w:t>
            </w:r>
          </w:p>
        </w:tc>
      </w:tr>
      <w:tr w:rsidR="00DD287A" w:rsidRPr="00D63F59" w:rsidTr="00B80639">
        <w:tc>
          <w:tcPr>
            <w:tcW w:w="8505" w:type="dxa"/>
            <w:gridSpan w:val="2"/>
            <w:shd w:val="clear" w:color="auto" w:fill="auto"/>
          </w:tcPr>
          <w:p w:rsidR="00DD287A" w:rsidRPr="00D63F59" w:rsidRDefault="00DD287A" w:rsidP="00314385">
            <w:pPr>
              <w:spacing w:after="100"/>
              <w:rPr>
                <w:rFonts w:eastAsia="Calibri"/>
                <w:spacing w:val="4"/>
                <w:kern w:val="14"/>
              </w:rPr>
            </w:pPr>
          </w:p>
        </w:tc>
        <w:tc>
          <w:tcPr>
            <w:tcW w:w="8505" w:type="dxa"/>
            <w:shd w:val="clear" w:color="auto" w:fill="auto"/>
          </w:tcPr>
          <w:p w:rsidR="00DD287A" w:rsidRPr="00D63F59" w:rsidRDefault="00DD287A" w:rsidP="00007B86">
            <w:pPr>
              <w:spacing w:after="120"/>
              <w:rPr>
                <w:rFonts w:eastAsia="Calibri"/>
                <w:spacing w:val="4"/>
                <w:kern w:val="14"/>
              </w:rPr>
            </w:pPr>
          </w:p>
        </w:tc>
      </w:tr>
      <w:tr w:rsidR="00DD287A" w:rsidRPr="007F428B" w:rsidTr="00B80639">
        <w:tc>
          <w:tcPr>
            <w:tcW w:w="17010" w:type="dxa"/>
            <w:gridSpan w:val="3"/>
            <w:shd w:val="clear" w:color="auto" w:fill="auto"/>
          </w:tcPr>
          <w:p w:rsidR="00DD287A" w:rsidRPr="007F428B" w:rsidRDefault="00DD287A" w:rsidP="00314385">
            <w:pPr>
              <w:spacing w:after="100"/>
              <w:rPr>
                <w:rFonts w:eastAsia="Calibri"/>
                <w:spacing w:val="4"/>
                <w:w w:val="103"/>
                <w:kern w:val="14"/>
              </w:rPr>
            </w:pPr>
            <w:r>
              <w:rPr>
                <w:i/>
                <w:iCs/>
                <w:lang w:val="fr-FR"/>
              </w:rPr>
              <w:t>Décisions des organes créés en vertu d’accords des Nations Unies relatifs aux transports</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44" w:history="1">
              <w:r w:rsidR="00C77192" w:rsidRPr="00C77192">
                <w:rPr>
                  <w:rStyle w:val="Lienhypertexte"/>
                </w:rPr>
                <w:t>E/ECE/TRANS/505/</w:t>
              </w:r>
              <w:r w:rsidR="00DD287A" w:rsidRPr="00C77192">
                <w:rPr>
                  <w:rStyle w:val="Lienhypertexte"/>
                </w:rPr>
                <w:t>Rev.3</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Accord concernant l’adoption de Règlements techniques harmonisés de</w:t>
            </w:r>
            <w:r w:rsidR="00314385">
              <w:rPr>
                <w:lang w:val="fr-FR"/>
              </w:rPr>
              <w:t> </w:t>
            </w:r>
            <w:r>
              <w:rPr>
                <w:lang w:val="fr-FR"/>
              </w:rPr>
              <w:t>l’ONU applicables aux véhicules à roues et aux équipements et pièces susceptibles d’être montés ou utilisés sur les véhicules à roues et</w:t>
            </w:r>
            <w:r w:rsidR="00314385">
              <w:rPr>
                <w:lang w:val="fr-FR"/>
              </w:rPr>
              <w:t> </w:t>
            </w:r>
            <w:r>
              <w:rPr>
                <w:lang w:val="fr-FR"/>
              </w:rPr>
              <w:t>les</w:t>
            </w:r>
            <w:r w:rsidR="00314385">
              <w:rPr>
                <w:lang w:val="fr-FR"/>
              </w:rPr>
              <w:t> </w:t>
            </w:r>
            <w:r>
              <w:rPr>
                <w:lang w:val="fr-FR"/>
              </w:rPr>
              <w:t>conditions de reconnaissance réciproque des homologations délivrées conformément à ces Règlements (Accord de 1958)</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45" w:history="1">
              <w:r w:rsidR="0067413D" w:rsidRPr="0067413D">
                <w:rPr>
                  <w:rStyle w:val="Lienhypertexte"/>
                  <w:lang w:val="en-GB"/>
                </w:rPr>
                <w:t>ECE/RCTE/CONF/4</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Accord concernant l’adoption de conditions uniformes applicables au</w:t>
            </w:r>
            <w:r w:rsidR="00314385">
              <w:rPr>
                <w:lang w:val="fr-FR"/>
              </w:rPr>
              <w:t> </w:t>
            </w:r>
            <w:r>
              <w:rPr>
                <w:lang w:val="fr-FR"/>
              </w:rPr>
              <w:t xml:space="preserve">contrôle technique périodique des véhicules à roues et la reconnaissance réciproque des contrôles (Accord de 1997) </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46" w:history="1">
              <w:r w:rsidR="00DD287A" w:rsidRPr="0067413D">
                <w:rPr>
                  <w:rStyle w:val="Lienhypertexte"/>
                </w:rPr>
                <w:t>ECE/TRANS/132</w:t>
              </w:r>
            </w:hyperlink>
          </w:p>
        </w:tc>
        <w:tc>
          <w:tcPr>
            <w:tcW w:w="6095" w:type="dxa"/>
            <w:shd w:val="clear" w:color="auto" w:fill="auto"/>
          </w:tcPr>
          <w:p w:rsidR="00DD287A" w:rsidRPr="00314385" w:rsidRDefault="00DD287A" w:rsidP="00314385">
            <w:pPr>
              <w:spacing w:after="100"/>
              <w:rPr>
                <w:rFonts w:eastAsia="Calibri"/>
                <w:spacing w:val="-2"/>
                <w:w w:val="103"/>
                <w:kern w:val="14"/>
              </w:rPr>
            </w:pPr>
            <w:r w:rsidRPr="00314385">
              <w:rPr>
                <w:spacing w:val="-2"/>
                <w:lang w:val="fr-FR"/>
              </w:rPr>
              <w:t>Accord concernant l’établissement de règlements techniques mondiaux applicables aux véhicules à roues, ainsi qu’aux équipements et pièces qui peuvent être montés et/ou utilisés sur les véhicules à roues (Accord de 1998)</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47" w:history="1">
              <w:r w:rsidR="00DD287A" w:rsidRPr="005B26DA">
                <w:rPr>
                  <w:rStyle w:val="Lienhypertexte"/>
                </w:rPr>
                <w:t>ECE/TRANS/ADN/CONF/</w:t>
              </w:r>
              <w:r w:rsidR="00154E68">
                <w:rPr>
                  <w:rStyle w:val="Lienhypertexte"/>
                </w:rPr>
                <w:t xml:space="preserve"> </w:t>
              </w:r>
              <w:r w:rsidR="00DD287A" w:rsidRPr="005B26DA">
                <w:rPr>
                  <w:rStyle w:val="Lienhypertexte"/>
                </w:rPr>
                <w:t>10/Add.1</w:t>
              </w:r>
            </w:hyperlink>
            <w:r w:rsidR="00DD287A">
              <w:t xml:space="preserve"> et </w:t>
            </w:r>
            <w:hyperlink r:id="rId48" w:history="1">
              <w:r w:rsidR="005B26DA" w:rsidRPr="005B26DA">
                <w:rPr>
                  <w:rStyle w:val="Lienhypertexte"/>
                  <w:lang w:val="en-GB"/>
                </w:rPr>
                <w:t>Corr.1</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 xml:space="preserve">Accord européen relatif au transport international des marchandises dangereuses par voies de navigation intérieures </w:t>
            </w:r>
          </w:p>
        </w:tc>
      </w:tr>
      <w:tr w:rsidR="00DD287A" w:rsidRPr="007F428B" w:rsidTr="00154E68">
        <w:trPr>
          <w:gridAfter w:val="1"/>
          <w:wAfter w:w="8505" w:type="dxa"/>
        </w:trPr>
        <w:tc>
          <w:tcPr>
            <w:tcW w:w="2410" w:type="dxa"/>
            <w:shd w:val="clear" w:color="auto" w:fill="auto"/>
          </w:tcPr>
          <w:p w:rsidR="00DD287A" w:rsidRPr="007F428B" w:rsidRDefault="00513F7A" w:rsidP="00314385">
            <w:pPr>
              <w:spacing w:after="100"/>
              <w:rPr>
                <w:rFonts w:eastAsia="Calibri"/>
                <w:spacing w:val="4"/>
                <w:w w:val="103"/>
                <w:kern w:val="14"/>
              </w:rPr>
            </w:pPr>
            <w:hyperlink r:id="rId49" w:history="1">
              <w:r w:rsidR="00DD287A" w:rsidRPr="005B26DA">
                <w:rPr>
                  <w:rStyle w:val="Lienhypertexte"/>
                </w:rPr>
                <w:t>ECE/TRANS/WP.30/AC.2/</w:t>
              </w:r>
              <w:r w:rsidR="00154E68">
                <w:rPr>
                  <w:rStyle w:val="Lienhypertexte"/>
                </w:rPr>
                <w:t xml:space="preserve"> </w:t>
              </w:r>
              <w:r w:rsidR="00DD287A" w:rsidRPr="005B26DA">
                <w:rPr>
                  <w:rStyle w:val="Lienhypertexte"/>
                </w:rPr>
                <w:t>125</w:t>
              </w:r>
            </w:hyperlink>
          </w:p>
        </w:tc>
        <w:tc>
          <w:tcPr>
            <w:tcW w:w="6095" w:type="dxa"/>
            <w:shd w:val="clear" w:color="auto" w:fill="auto"/>
          </w:tcPr>
          <w:p w:rsidR="00DD287A" w:rsidRPr="007F428B" w:rsidRDefault="00DD287A" w:rsidP="00314385">
            <w:pPr>
              <w:spacing w:after="100"/>
              <w:rPr>
                <w:rFonts w:eastAsia="Calibri"/>
                <w:spacing w:val="4"/>
                <w:w w:val="103"/>
                <w:kern w:val="14"/>
              </w:rPr>
            </w:pPr>
            <w:r>
              <w:rPr>
                <w:lang w:val="fr-FR"/>
              </w:rPr>
              <w:t xml:space="preserve">Rapport du Comité de gestion de la Convention TIR de 1975 sur sa soixante et unième session (annexe II </w:t>
            </w:r>
            <w:r w:rsidR="000F2D25">
              <w:rPr>
                <w:lang w:val="fr-FR"/>
              </w:rPr>
              <w:t>« </w:t>
            </w:r>
            <w:r>
              <w:rPr>
                <w:lang w:val="fr-FR"/>
              </w:rPr>
              <w:t>Déclaration commune sur l’informatisation du régime TIR</w:t>
            </w:r>
            <w:r w:rsidR="000F2D25">
              <w:rPr>
                <w:lang w:val="fr-FR"/>
              </w:rPr>
              <w:t> »</w:t>
            </w:r>
            <w:r>
              <w:rPr>
                <w:lang w:val="fr-FR"/>
              </w:rPr>
              <w:t>)</w:t>
            </w:r>
          </w:p>
        </w:tc>
      </w:tr>
    </w:tbl>
    <w:p w:rsidR="00DD287A" w:rsidRPr="00D63F59" w:rsidRDefault="00DD287A" w:rsidP="007B2DB5">
      <w:pPr>
        <w:pStyle w:val="SingleTxtG"/>
        <w:tabs>
          <w:tab w:val="left" w:pos="1985"/>
        </w:tabs>
        <w:spacing w:before="120"/>
        <w:rPr>
          <w:color w:val="000000"/>
          <w:spacing w:val="-2"/>
        </w:rPr>
      </w:pPr>
      <w:r>
        <w:rPr>
          <w:lang w:val="fr-FR"/>
        </w:rPr>
        <w:t>S.20.5.</w:t>
      </w:r>
      <w:r>
        <w:rPr>
          <w:lang w:val="fr-FR"/>
        </w:rPr>
        <w:tab/>
        <w:t>Les éléments à livrer, prévus et effectifs, pour 2018 et ceux prévus pour 2019 et 2020, conformément aux mandats, sont présentés dans le tableau ci-dessous</w:t>
      </w:r>
      <w:r w:rsidR="000F2D25">
        <w:rPr>
          <w:lang w:val="fr-FR"/>
        </w:rPr>
        <w:t> :</w:t>
      </w:r>
    </w:p>
    <w:tbl>
      <w:tblPr>
        <w:tblW w:w="0" w:type="auto"/>
        <w:tblLayout w:type="fixed"/>
        <w:tblCellMar>
          <w:left w:w="0" w:type="dxa"/>
          <w:right w:w="0" w:type="dxa"/>
        </w:tblCellMar>
        <w:tblLook w:val="04A0" w:firstRow="1" w:lastRow="0" w:firstColumn="1" w:lastColumn="0" w:noHBand="0" w:noVBand="1"/>
      </w:tblPr>
      <w:tblGrid>
        <w:gridCol w:w="6010"/>
        <w:gridCol w:w="907"/>
        <w:gridCol w:w="907"/>
        <w:gridCol w:w="907"/>
        <w:gridCol w:w="907"/>
      </w:tblGrid>
      <w:tr w:rsidR="001519FB" w:rsidRPr="001519FB" w:rsidTr="001519FB">
        <w:trPr>
          <w:tblHeader/>
        </w:trPr>
        <w:tc>
          <w:tcPr>
            <w:tcW w:w="6010" w:type="dxa"/>
            <w:tcBorders>
              <w:top w:val="single" w:sz="4" w:space="0" w:color="auto"/>
              <w:bottom w:val="single" w:sz="12" w:space="0" w:color="auto"/>
            </w:tcBorders>
            <w:shd w:val="clear" w:color="auto" w:fill="auto"/>
            <w:vAlign w:val="bottom"/>
          </w:tcPr>
          <w:p w:rsidR="00DD287A" w:rsidRPr="001519FB" w:rsidRDefault="00DD287A" w:rsidP="001519FB">
            <w:pPr>
              <w:suppressAutoHyphens w:val="0"/>
              <w:spacing w:before="80" w:after="80" w:line="200" w:lineRule="exact"/>
              <w:rPr>
                <w:rFonts w:eastAsia="Calibri"/>
                <w:i/>
                <w:sz w:val="16"/>
              </w:rPr>
            </w:pPr>
            <w:r w:rsidRPr="001519FB">
              <w:rPr>
                <w:i/>
                <w:sz w:val="16"/>
                <w:lang w:val="fr-FR"/>
              </w:rPr>
              <w:lastRenderedPageBreak/>
              <w:t>Éléments à livrer</w:t>
            </w:r>
          </w:p>
        </w:tc>
        <w:tc>
          <w:tcPr>
            <w:tcW w:w="907" w:type="dxa"/>
            <w:tcBorders>
              <w:top w:val="single" w:sz="4" w:space="0" w:color="auto"/>
              <w:bottom w:val="single" w:sz="12" w:space="0" w:color="auto"/>
            </w:tcBorders>
            <w:shd w:val="clear" w:color="auto" w:fill="auto"/>
            <w:vAlign w:val="bottom"/>
          </w:tcPr>
          <w:p w:rsidR="00DD287A" w:rsidRPr="001519FB" w:rsidRDefault="00DD287A" w:rsidP="001519FB">
            <w:pPr>
              <w:suppressAutoHyphens w:val="0"/>
              <w:spacing w:before="80" w:after="80" w:line="200" w:lineRule="exact"/>
              <w:jc w:val="right"/>
              <w:rPr>
                <w:rFonts w:eastAsia="Calibri"/>
                <w:i/>
                <w:sz w:val="16"/>
              </w:rPr>
            </w:pPr>
            <w:r w:rsidRPr="001519FB">
              <w:rPr>
                <w:i/>
                <w:sz w:val="16"/>
                <w:lang w:val="fr-FR"/>
              </w:rPr>
              <w:t>2018 (prévisions)</w:t>
            </w:r>
          </w:p>
        </w:tc>
        <w:tc>
          <w:tcPr>
            <w:tcW w:w="907" w:type="dxa"/>
            <w:tcBorders>
              <w:top w:val="single" w:sz="4" w:space="0" w:color="auto"/>
              <w:bottom w:val="single" w:sz="12" w:space="0" w:color="auto"/>
            </w:tcBorders>
            <w:shd w:val="clear" w:color="auto" w:fill="auto"/>
            <w:vAlign w:val="bottom"/>
          </w:tcPr>
          <w:p w:rsidR="00DD287A" w:rsidRPr="001519FB" w:rsidRDefault="00DD287A" w:rsidP="001519FB">
            <w:pPr>
              <w:suppressAutoHyphens w:val="0"/>
              <w:spacing w:before="80" w:after="80" w:line="200" w:lineRule="exact"/>
              <w:jc w:val="right"/>
              <w:rPr>
                <w:rFonts w:eastAsia="Calibri"/>
                <w:i/>
                <w:sz w:val="16"/>
              </w:rPr>
            </w:pPr>
            <w:r w:rsidRPr="001519FB">
              <w:rPr>
                <w:i/>
                <w:sz w:val="16"/>
                <w:lang w:val="fr-FR"/>
              </w:rPr>
              <w:t>2018 (montants effectifs)</w:t>
            </w:r>
          </w:p>
        </w:tc>
        <w:tc>
          <w:tcPr>
            <w:tcW w:w="907" w:type="dxa"/>
            <w:tcBorders>
              <w:top w:val="single" w:sz="4" w:space="0" w:color="auto"/>
              <w:bottom w:val="single" w:sz="12" w:space="0" w:color="auto"/>
            </w:tcBorders>
            <w:shd w:val="clear" w:color="auto" w:fill="auto"/>
            <w:vAlign w:val="bottom"/>
          </w:tcPr>
          <w:p w:rsidR="00DD287A" w:rsidRPr="001519FB" w:rsidRDefault="00DD287A" w:rsidP="001519FB">
            <w:pPr>
              <w:suppressAutoHyphens w:val="0"/>
              <w:spacing w:before="80" w:after="80" w:line="200" w:lineRule="exact"/>
              <w:jc w:val="right"/>
              <w:rPr>
                <w:rFonts w:eastAsia="Calibri"/>
                <w:i/>
                <w:sz w:val="16"/>
              </w:rPr>
            </w:pPr>
            <w:r w:rsidRPr="001519FB">
              <w:rPr>
                <w:i/>
                <w:sz w:val="16"/>
                <w:lang w:val="fr-FR"/>
              </w:rPr>
              <w:t>2019 (prévisions)</w:t>
            </w:r>
          </w:p>
        </w:tc>
        <w:tc>
          <w:tcPr>
            <w:tcW w:w="907" w:type="dxa"/>
            <w:tcBorders>
              <w:top w:val="single" w:sz="4" w:space="0" w:color="auto"/>
              <w:bottom w:val="single" w:sz="12" w:space="0" w:color="auto"/>
            </w:tcBorders>
            <w:shd w:val="clear" w:color="auto" w:fill="auto"/>
            <w:vAlign w:val="bottom"/>
          </w:tcPr>
          <w:p w:rsidR="00DD287A" w:rsidRPr="001519FB" w:rsidRDefault="00DD287A" w:rsidP="001519FB">
            <w:pPr>
              <w:suppressAutoHyphens w:val="0"/>
              <w:spacing w:before="80" w:after="80" w:line="200" w:lineRule="exact"/>
              <w:jc w:val="right"/>
              <w:rPr>
                <w:rFonts w:eastAsia="Calibri"/>
                <w:i/>
                <w:sz w:val="16"/>
              </w:rPr>
            </w:pPr>
            <w:r w:rsidRPr="001519FB">
              <w:rPr>
                <w:i/>
                <w:sz w:val="16"/>
                <w:lang w:val="fr-FR"/>
              </w:rPr>
              <w:t>2020 (prévisions)</w:t>
            </w:r>
          </w:p>
        </w:tc>
      </w:tr>
      <w:tr w:rsidR="001519FB" w:rsidRPr="001519FB" w:rsidTr="001519FB">
        <w:tc>
          <w:tcPr>
            <w:tcW w:w="6010" w:type="dxa"/>
            <w:shd w:val="clear" w:color="auto" w:fill="auto"/>
          </w:tcPr>
          <w:p w:rsidR="00DD287A" w:rsidRPr="001519FB" w:rsidRDefault="00DD287A" w:rsidP="00314385">
            <w:pPr>
              <w:suppressAutoHyphens w:val="0"/>
              <w:spacing w:before="38" w:after="38" w:line="220" w:lineRule="exact"/>
              <w:rPr>
                <w:rFonts w:eastAsia="Calibri"/>
                <w:b/>
                <w:strike/>
              </w:rPr>
            </w:pPr>
            <w:r w:rsidRPr="001519FB">
              <w:rPr>
                <w:b/>
                <w:lang w:val="fr-FR"/>
              </w:rPr>
              <w:t>Éléments à livrer quantifiés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rPr>
            </w:pP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rPr>
            </w:pP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rPr>
            </w:pP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rPr>
            </w:pPr>
          </w:p>
        </w:tc>
      </w:tr>
      <w:tr w:rsidR="001519FB" w:rsidRPr="001519FB" w:rsidTr="001519FB">
        <w:tc>
          <w:tcPr>
            <w:tcW w:w="6010" w:type="dxa"/>
            <w:shd w:val="clear" w:color="auto" w:fill="auto"/>
          </w:tcPr>
          <w:p w:rsidR="001519FB" w:rsidRPr="001519FB" w:rsidRDefault="001519FB" w:rsidP="00314385">
            <w:pPr>
              <w:tabs>
                <w:tab w:val="left" w:pos="284"/>
              </w:tabs>
              <w:suppressAutoHyphens w:val="0"/>
              <w:spacing w:before="38" w:after="38" w:line="220" w:lineRule="exact"/>
              <w:ind w:left="284" w:hanging="284"/>
              <w:rPr>
                <w:lang w:val="fr-FR"/>
              </w:rPr>
            </w:pPr>
            <w:r w:rsidRPr="001519FB">
              <w:rPr>
                <w:b/>
                <w:lang w:val="fr-FR"/>
              </w:rPr>
              <w:t>A.</w:t>
            </w:r>
            <w:r w:rsidRPr="001519FB">
              <w:rPr>
                <w:lang w:val="fr-FR"/>
              </w:rPr>
              <w:tab/>
            </w:r>
            <w:r w:rsidRPr="001519FB">
              <w:rPr>
                <w:b/>
                <w:lang w:val="fr-FR"/>
              </w:rPr>
              <w:t>Facilitation</w:t>
            </w:r>
            <w:r w:rsidRPr="001519FB">
              <w:rPr>
                <w:b/>
                <w:bCs/>
                <w:lang w:val="fr-FR"/>
              </w:rPr>
              <w:t xml:space="preserve"> des travaux d’organes intergouvernementaux et</w:t>
            </w:r>
            <w:r>
              <w:rPr>
                <w:b/>
                <w:bCs/>
                <w:lang w:val="fr-FR"/>
              </w:rPr>
              <w:t> </w:t>
            </w:r>
            <w:r w:rsidRPr="001519FB">
              <w:rPr>
                <w:b/>
                <w:bCs/>
                <w:lang w:val="fr-FR"/>
              </w:rPr>
              <w:t>d’organes d’experts</w:t>
            </w:r>
          </w:p>
        </w:tc>
        <w:tc>
          <w:tcPr>
            <w:tcW w:w="907" w:type="dxa"/>
            <w:shd w:val="clear" w:color="auto" w:fill="auto"/>
            <w:vAlign w:val="bottom"/>
          </w:tcPr>
          <w:p w:rsidR="001519FB" w:rsidRPr="001519FB" w:rsidRDefault="001519FB" w:rsidP="00314385">
            <w:pPr>
              <w:suppressAutoHyphens w:val="0"/>
              <w:spacing w:before="38" w:after="38" w:line="220" w:lineRule="exact"/>
              <w:jc w:val="right"/>
              <w:rPr>
                <w:sz w:val="18"/>
                <w:lang w:val="fr-FR"/>
              </w:rPr>
            </w:pPr>
          </w:p>
        </w:tc>
        <w:tc>
          <w:tcPr>
            <w:tcW w:w="907" w:type="dxa"/>
            <w:shd w:val="clear" w:color="auto" w:fill="auto"/>
            <w:vAlign w:val="bottom"/>
          </w:tcPr>
          <w:p w:rsidR="001519FB" w:rsidRPr="001519FB" w:rsidRDefault="001519FB" w:rsidP="00314385">
            <w:pPr>
              <w:suppressAutoHyphens w:val="0"/>
              <w:spacing w:before="38" w:after="38" w:line="220" w:lineRule="exact"/>
              <w:jc w:val="right"/>
              <w:rPr>
                <w:sz w:val="18"/>
                <w:lang w:val="fr-FR"/>
              </w:rPr>
            </w:pPr>
          </w:p>
        </w:tc>
        <w:tc>
          <w:tcPr>
            <w:tcW w:w="907" w:type="dxa"/>
            <w:shd w:val="clear" w:color="auto" w:fill="auto"/>
            <w:vAlign w:val="bottom"/>
          </w:tcPr>
          <w:p w:rsidR="001519FB" w:rsidRPr="001519FB" w:rsidRDefault="001519FB" w:rsidP="00314385">
            <w:pPr>
              <w:suppressAutoHyphens w:val="0"/>
              <w:spacing w:before="38" w:after="38" w:line="220" w:lineRule="exact"/>
              <w:jc w:val="right"/>
              <w:rPr>
                <w:sz w:val="18"/>
                <w:lang w:val="fr-FR"/>
              </w:rPr>
            </w:pPr>
          </w:p>
        </w:tc>
        <w:tc>
          <w:tcPr>
            <w:tcW w:w="907" w:type="dxa"/>
            <w:shd w:val="clear" w:color="auto" w:fill="auto"/>
            <w:vAlign w:val="bottom"/>
          </w:tcPr>
          <w:p w:rsidR="001519FB" w:rsidRPr="001519FB" w:rsidRDefault="001519FB" w:rsidP="00314385">
            <w:pPr>
              <w:suppressAutoHyphens w:val="0"/>
              <w:spacing w:before="38" w:after="38" w:line="220" w:lineRule="exact"/>
              <w:jc w:val="right"/>
              <w:rPr>
                <w:sz w:val="18"/>
                <w:lang w:val="fr-FR"/>
              </w:rPr>
            </w:pPr>
          </w:p>
        </w:tc>
      </w:tr>
      <w:tr w:rsidR="001519FB" w:rsidRPr="001519FB" w:rsidTr="001519FB">
        <w:tc>
          <w:tcPr>
            <w:tcW w:w="6010" w:type="dxa"/>
            <w:shd w:val="clear" w:color="auto" w:fill="auto"/>
          </w:tcPr>
          <w:p w:rsidR="00DD287A" w:rsidRPr="001519FB" w:rsidRDefault="00DD287A" w:rsidP="00314385">
            <w:pPr>
              <w:suppressAutoHyphens w:val="0"/>
              <w:spacing w:before="38" w:after="38" w:line="220" w:lineRule="exact"/>
              <w:rPr>
                <w:rFonts w:eastAsia="Calibri"/>
                <w:b/>
                <w:strike/>
                <w:sz w:val="18"/>
              </w:rPr>
            </w:pPr>
            <w:r w:rsidRPr="001519FB">
              <w:rPr>
                <w:b/>
                <w:sz w:val="18"/>
                <w:lang w:val="fr-FR"/>
              </w:rPr>
              <w:t>Documentation destinée aux organes délibérants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rPr>
            </w:pPr>
            <w:r w:rsidRPr="001519FB">
              <w:rPr>
                <w:b/>
                <w:sz w:val="18"/>
                <w:lang w:val="fr-FR"/>
              </w:rPr>
              <w:t>1645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rPr>
            </w:pPr>
            <w:r w:rsidRPr="001519FB">
              <w:rPr>
                <w:b/>
                <w:sz w:val="18"/>
                <w:lang w:val="fr-FR"/>
              </w:rPr>
              <w:t>1650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rPr>
            </w:pPr>
            <w:r w:rsidRPr="001519FB">
              <w:rPr>
                <w:b/>
                <w:sz w:val="18"/>
                <w:lang w:val="fr-FR"/>
              </w:rPr>
              <w:t>1514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rPr>
            </w:pPr>
            <w:r w:rsidRPr="001519FB">
              <w:rPr>
                <w:b/>
                <w:sz w:val="18"/>
                <w:lang w:val="fr-FR"/>
              </w:rPr>
              <w:t>1660</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b/>
                <w:bCs/>
                <w:sz w:val="18"/>
              </w:rPr>
            </w:pPr>
            <w:r w:rsidRPr="00E74F0A">
              <w:rPr>
                <w:sz w:val="18"/>
                <w:lang w:val="fr-FR"/>
              </w:rPr>
              <w:t>1.</w:t>
            </w:r>
            <w:r w:rsidRPr="00E74F0A">
              <w:rPr>
                <w:sz w:val="18"/>
                <w:lang w:val="fr-FR"/>
              </w:rPr>
              <w:tab/>
            </w:r>
            <w:r w:rsidR="00DD287A" w:rsidRPr="001519FB">
              <w:rPr>
                <w:b/>
                <w:sz w:val="18"/>
                <w:lang w:val="fr-FR"/>
              </w:rPr>
              <w:t>Documentation destinée au Comité des transports intérieurs</w:t>
            </w:r>
            <w:r w:rsidR="00B161C4">
              <w:rPr>
                <w:b/>
                <w:sz w:val="18"/>
                <w:lang w:val="fr-FR"/>
              </w:rPr>
              <w:t xml:space="preserve"> </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1320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1321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1320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1331</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bookmarkStart w:id="5" w:name="_Hlk514851110"/>
            <w:r>
              <w:rPr>
                <w:sz w:val="18"/>
                <w:lang w:val="fr-FR"/>
              </w:rPr>
              <w:t>a.</w:t>
            </w:r>
            <w:r>
              <w:rPr>
                <w:sz w:val="18"/>
                <w:lang w:val="fr-FR"/>
              </w:rPr>
              <w:tab/>
            </w:r>
            <w:r w:rsidR="00DD287A" w:rsidRPr="001519FB">
              <w:rPr>
                <w:sz w:val="18"/>
                <w:lang w:val="fr-FR"/>
              </w:rPr>
              <w:t>Comité des transports intérieurs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31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32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31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31</w:t>
            </w:r>
          </w:p>
        </w:tc>
      </w:tr>
      <w:bookmarkEnd w:id="5"/>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b.</w:t>
            </w:r>
            <w:r>
              <w:rPr>
                <w:sz w:val="18"/>
                <w:lang w:val="fr-FR"/>
              </w:rPr>
              <w:tab/>
            </w:r>
            <w:r w:rsidR="00DD287A" w:rsidRPr="001519FB">
              <w:rPr>
                <w:sz w:val="18"/>
                <w:lang w:val="fr-FR"/>
              </w:rPr>
              <w:t>Forum mondial de l</w:t>
            </w:r>
            <w:r w:rsidR="000F2D25">
              <w:rPr>
                <w:sz w:val="18"/>
                <w:lang w:val="fr-FR"/>
              </w:rPr>
              <w:t>’</w:t>
            </w:r>
            <w:r w:rsidR="00DD287A" w:rsidRPr="001519FB">
              <w:rPr>
                <w:sz w:val="18"/>
                <w:lang w:val="fr-FR"/>
              </w:rPr>
              <w:t>harmonisation des Règlements concernant les véhicules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837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837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837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840</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c.</w:t>
            </w:r>
            <w:r>
              <w:rPr>
                <w:sz w:val="18"/>
                <w:lang w:val="fr-FR"/>
              </w:rPr>
              <w:tab/>
            </w:r>
            <w:r w:rsidR="00DD287A" w:rsidRPr="001519FB">
              <w:rPr>
                <w:sz w:val="18"/>
                <w:lang w:val="fr-FR"/>
              </w:rPr>
              <w:t>Groupe de travail du transport des denrées périssables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33</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33</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33</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33</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d.</w:t>
            </w:r>
            <w:r>
              <w:rPr>
                <w:sz w:val="18"/>
                <w:lang w:val="fr-FR"/>
              </w:rPr>
              <w:tab/>
            </w:r>
            <w:r w:rsidR="00DD287A" w:rsidRPr="001519FB">
              <w:rPr>
                <w:sz w:val="18"/>
                <w:lang w:val="fr-FR"/>
              </w:rPr>
              <w:t>Groupe de travail des transports de marchandises dangereuses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214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214</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e.</w:t>
            </w:r>
            <w:r>
              <w:rPr>
                <w:sz w:val="18"/>
                <w:lang w:val="fr-FR"/>
              </w:rPr>
              <w:tab/>
            </w:r>
            <w:r w:rsidR="00DD287A" w:rsidRPr="001519FB">
              <w:rPr>
                <w:sz w:val="18"/>
                <w:lang w:val="fr-FR"/>
              </w:rPr>
              <w:t>Groupe de travail chargé d</w:t>
            </w:r>
            <w:r w:rsidR="000F2D25">
              <w:rPr>
                <w:sz w:val="18"/>
                <w:lang w:val="fr-FR"/>
              </w:rPr>
              <w:t>’</w:t>
            </w:r>
            <w:r w:rsidR="00DD287A" w:rsidRPr="001519FB">
              <w:rPr>
                <w:sz w:val="18"/>
                <w:lang w:val="fr-FR"/>
              </w:rPr>
              <w:t>examiner les tendances et l</w:t>
            </w:r>
            <w:r w:rsidR="000F2D25">
              <w:rPr>
                <w:sz w:val="18"/>
                <w:lang w:val="fr-FR"/>
              </w:rPr>
              <w:t>’</w:t>
            </w:r>
            <w:r w:rsidR="00DD287A" w:rsidRPr="001519FB">
              <w:rPr>
                <w:sz w:val="18"/>
                <w:lang w:val="fr-FR"/>
              </w:rPr>
              <w:t>économie des transports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25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32</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f.</w:t>
            </w:r>
            <w:r>
              <w:rPr>
                <w:sz w:val="18"/>
                <w:lang w:val="fr-FR"/>
              </w:rPr>
              <w:tab/>
            </w:r>
            <w:r w:rsidR="00DD287A" w:rsidRPr="001519FB">
              <w:rPr>
                <w:sz w:val="18"/>
                <w:lang w:val="fr-FR"/>
              </w:rPr>
              <w:t>Groupe de travail des statistiques des transports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14</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g.</w:t>
            </w:r>
            <w:r>
              <w:rPr>
                <w:sz w:val="18"/>
                <w:lang w:val="fr-FR"/>
              </w:rPr>
              <w:tab/>
            </w:r>
            <w:r w:rsidR="00DD287A" w:rsidRPr="001519FB">
              <w:rPr>
                <w:sz w:val="18"/>
                <w:lang w:val="fr-FR"/>
              </w:rPr>
              <w:t>Groupe de travail des transports routiers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9</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9</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9</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10</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h.</w:t>
            </w:r>
            <w:r>
              <w:rPr>
                <w:sz w:val="18"/>
                <w:lang w:val="fr-FR"/>
              </w:rPr>
              <w:tab/>
            </w:r>
            <w:r w:rsidR="00DD287A" w:rsidRPr="001519FB">
              <w:rPr>
                <w:sz w:val="18"/>
                <w:lang w:val="fr-FR"/>
              </w:rPr>
              <w:t>Forum mondial de la sécurité routière</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16</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i.</w:t>
            </w:r>
            <w:r>
              <w:rPr>
                <w:sz w:val="18"/>
                <w:lang w:val="fr-FR"/>
              </w:rPr>
              <w:tab/>
            </w:r>
            <w:r w:rsidR="00DD287A" w:rsidRPr="001519FB">
              <w:rPr>
                <w:sz w:val="18"/>
                <w:lang w:val="fr-FR"/>
              </w:rPr>
              <w:t>Groupe de travail des transports par chemin de fer</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12</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j.</w:t>
            </w:r>
            <w:r>
              <w:rPr>
                <w:sz w:val="18"/>
                <w:lang w:val="fr-FR"/>
              </w:rPr>
              <w:tab/>
            </w:r>
            <w:r w:rsidR="00DD287A" w:rsidRPr="001519FB">
              <w:rPr>
                <w:sz w:val="18"/>
                <w:lang w:val="fr-FR"/>
              </w:rPr>
              <w:t>Groupe de travail du transport intermodal et de la logistique</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11</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k.</w:t>
            </w:r>
            <w:r>
              <w:rPr>
                <w:sz w:val="18"/>
                <w:lang w:val="fr-FR"/>
              </w:rPr>
              <w:tab/>
            </w:r>
            <w:r w:rsidR="00DD287A" w:rsidRPr="001519FB">
              <w:rPr>
                <w:sz w:val="18"/>
                <w:lang w:val="fr-FR"/>
              </w:rPr>
              <w:t>Groupe de travail des transports par voie navigable</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47</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l.</w:t>
            </w:r>
            <w:r>
              <w:rPr>
                <w:sz w:val="18"/>
                <w:lang w:val="fr-FR"/>
              </w:rPr>
              <w:tab/>
            </w:r>
            <w:r w:rsidR="00DD287A" w:rsidRPr="001519FB">
              <w:rPr>
                <w:sz w:val="18"/>
                <w:lang w:val="fr-FR"/>
              </w:rPr>
              <w:t>Groupe de travail des problèmes douaniers intéressant les transports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71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71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71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71</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b/>
                <w:bCs/>
                <w:sz w:val="18"/>
                <w:lang w:val="fr-FR"/>
              </w:rPr>
            </w:pPr>
            <w:r w:rsidRPr="00E74F0A">
              <w:rPr>
                <w:bCs/>
                <w:sz w:val="18"/>
                <w:lang w:val="fr-FR"/>
              </w:rPr>
              <w:t>2.</w:t>
            </w:r>
            <w:r w:rsidRPr="00E74F0A">
              <w:rPr>
                <w:bCs/>
                <w:sz w:val="18"/>
                <w:lang w:val="fr-FR"/>
              </w:rPr>
              <w:tab/>
            </w:r>
            <w:r w:rsidR="00DD287A" w:rsidRPr="001519FB">
              <w:rPr>
                <w:b/>
                <w:sz w:val="18"/>
                <w:lang w:val="fr-FR"/>
              </w:rPr>
              <w:t>Documentation</w:t>
            </w:r>
            <w:r w:rsidR="00DD287A" w:rsidRPr="001519FB">
              <w:rPr>
                <w:b/>
                <w:bCs/>
                <w:sz w:val="18"/>
                <w:lang w:val="fr-FR"/>
              </w:rPr>
              <w:t xml:space="preserve"> destinée au Conseil économique et social</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b/>
                <w:bCs/>
                <w:sz w:val="18"/>
                <w:lang w:val="fr-FR"/>
              </w:rPr>
            </w:pPr>
            <w:r w:rsidRPr="001519FB">
              <w:rPr>
                <w:b/>
                <w:bCs/>
                <w:sz w:val="18"/>
                <w:lang w:val="fr-FR"/>
              </w:rPr>
              <w:t>321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b/>
                <w:bCs/>
                <w:sz w:val="18"/>
                <w:lang w:val="fr-FR"/>
              </w:rPr>
            </w:pPr>
            <w:r w:rsidRPr="001519FB">
              <w:rPr>
                <w:b/>
                <w:bCs/>
                <w:sz w:val="18"/>
                <w:lang w:val="fr-FR"/>
              </w:rPr>
              <w:t>324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b/>
                <w:bCs/>
                <w:sz w:val="18"/>
                <w:lang w:val="fr-FR"/>
              </w:rPr>
            </w:pPr>
            <w:r w:rsidRPr="001519FB">
              <w:rPr>
                <w:b/>
                <w:bCs/>
                <w:sz w:val="18"/>
                <w:lang w:val="fr-FR"/>
              </w:rPr>
              <w:t>190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b/>
                <w:bCs/>
                <w:sz w:val="18"/>
                <w:lang w:val="fr-FR"/>
              </w:rPr>
            </w:pPr>
            <w:r w:rsidRPr="001519FB">
              <w:rPr>
                <w:b/>
                <w:bCs/>
                <w:sz w:val="18"/>
                <w:lang w:val="fr-FR"/>
              </w:rPr>
              <w:t>324</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a.</w:t>
            </w:r>
            <w:r>
              <w:rPr>
                <w:sz w:val="18"/>
                <w:lang w:val="fr-FR"/>
              </w:rPr>
              <w:tab/>
            </w:r>
            <w:r w:rsidR="00DD287A" w:rsidRPr="001519FB">
              <w:rPr>
                <w:sz w:val="18"/>
                <w:lang w:val="fr-FR"/>
              </w:rPr>
              <w:t>Comité d</w:t>
            </w:r>
            <w:r w:rsidR="000F2D25">
              <w:rPr>
                <w:sz w:val="18"/>
                <w:lang w:val="fr-FR"/>
              </w:rPr>
              <w:t>’</w:t>
            </w:r>
            <w:r w:rsidR="00DD287A" w:rsidRPr="001519FB">
              <w:rPr>
                <w:sz w:val="18"/>
                <w:lang w:val="fr-FR"/>
              </w:rPr>
              <w:t>experts du transport des marchandises dangereuses et du Système général harmonisé de classification et d</w:t>
            </w:r>
            <w:r w:rsidR="000F2D25">
              <w:rPr>
                <w:sz w:val="18"/>
                <w:lang w:val="fr-FR"/>
              </w:rPr>
              <w:t>’</w:t>
            </w:r>
            <w:r w:rsidR="00DD287A" w:rsidRPr="001519FB">
              <w:rPr>
                <w:sz w:val="18"/>
                <w:lang w:val="fr-FR"/>
              </w:rPr>
              <w:t>étiquetage des produits chimiques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5</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b.</w:t>
            </w:r>
            <w:r>
              <w:rPr>
                <w:sz w:val="18"/>
                <w:lang w:val="fr-FR"/>
              </w:rPr>
              <w:tab/>
            </w:r>
            <w:r w:rsidR="00DD287A" w:rsidRPr="001519FB">
              <w:rPr>
                <w:sz w:val="18"/>
                <w:lang w:val="fr-FR"/>
              </w:rPr>
              <w:t>Sous-Comité d</w:t>
            </w:r>
            <w:r w:rsidR="000F2D25">
              <w:rPr>
                <w:sz w:val="18"/>
                <w:lang w:val="fr-FR"/>
              </w:rPr>
              <w:t>’</w:t>
            </w:r>
            <w:r w:rsidR="00DD287A" w:rsidRPr="001519FB">
              <w:rPr>
                <w:sz w:val="18"/>
                <w:lang w:val="fr-FR"/>
              </w:rPr>
              <w:t>experts du transport de marchandises dangereuses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257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257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157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257</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c.</w:t>
            </w:r>
            <w:r>
              <w:rPr>
                <w:sz w:val="18"/>
                <w:lang w:val="fr-FR"/>
              </w:rPr>
              <w:tab/>
            </w:r>
            <w:r w:rsidR="00DD287A" w:rsidRPr="001519FB">
              <w:rPr>
                <w:sz w:val="18"/>
                <w:lang w:val="fr-FR"/>
              </w:rPr>
              <w:t>Sous-comité d</w:t>
            </w:r>
            <w:r w:rsidR="000F2D25">
              <w:rPr>
                <w:sz w:val="18"/>
                <w:lang w:val="fr-FR"/>
              </w:rPr>
              <w:t>’</w:t>
            </w:r>
            <w:r w:rsidR="00DD287A" w:rsidRPr="001519FB">
              <w:rPr>
                <w:sz w:val="18"/>
                <w:lang w:val="fr-FR"/>
              </w:rPr>
              <w:t>experts du Système général harmonisé de classification et</w:t>
            </w:r>
            <w:r w:rsidR="00314385">
              <w:rPr>
                <w:sz w:val="18"/>
                <w:lang w:val="fr-FR"/>
              </w:rPr>
              <w:t> </w:t>
            </w:r>
            <w:r w:rsidR="00DD287A" w:rsidRPr="001519FB">
              <w:rPr>
                <w:sz w:val="18"/>
                <w:lang w:val="fr-FR"/>
              </w:rPr>
              <w:t>d</w:t>
            </w:r>
            <w:r w:rsidR="000F2D25">
              <w:rPr>
                <w:sz w:val="18"/>
                <w:lang w:val="fr-FR"/>
              </w:rPr>
              <w:t>’</w:t>
            </w:r>
            <w:r w:rsidR="00DD287A" w:rsidRPr="001519FB">
              <w:rPr>
                <w:sz w:val="18"/>
                <w:lang w:val="fr-FR"/>
              </w:rPr>
              <w:t>étiquetage des produits chimiques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62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32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62</w:t>
            </w:r>
          </w:p>
        </w:tc>
      </w:tr>
      <w:tr w:rsidR="001519FB" w:rsidRPr="001519FB" w:rsidTr="001519FB">
        <w:tc>
          <w:tcPr>
            <w:tcW w:w="6010" w:type="dxa"/>
            <w:shd w:val="clear" w:color="auto" w:fill="auto"/>
          </w:tcPr>
          <w:p w:rsidR="00DD287A" w:rsidRPr="001519FB" w:rsidRDefault="001519FB" w:rsidP="004F5BB3">
            <w:pPr>
              <w:tabs>
                <w:tab w:val="left" w:pos="284"/>
              </w:tabs>
              <w:suppressAutoHyphens w:val="0"/>
              <w:spacing w:before="38" w:after="38" w:line="220" w:lineRule="exact"/>
              <w:ind w:left="284" w:hanging="284"/>
              <w:rPr>
                <w:rFonts w:eastAsia="Calibri"/>
                <w:b/>
                <w:bCs/>
                <w:sz w:val="18"/>
              </w:rPr>
            </w:pPr>
            <w:r w:rsidRPr="00E74F0A">
              <w:rPr>
                <w:bCs/>
                <w:sz w:val="18"/>
                <w:lang w:val="fr-FR"/>
              </w:rPr>
              <w:t>3.</w:t>
            </w:r>
            <w:r w:rsidRPr="00E74F0A">
              <w:rPr>
                <w:bCs/>
                <w:sz w:val="18"/>
                <w:lang w:val="fr-FR"/>
              </w:rPr>
              <w:tab/>
            </w:r>
            <w:r w:rsidR="00DD287A" w:rsidRPr="001519FB">
              <w:rPr>
                <w:b/>
                <w:sz w:val="18"/>
                <w:lang w:val="fr-FR"/>
              </w:rPr>
              <w:t>Documentation</w:t>
            </w:r>
            <w:r w:rsidR="00DD287A" w:rsidRPr="001519FB">
              <w:rPr>
                <w:b/>
                <w:bCs/>
                <w:sz w:val="18"/>
                <w:lang w:val="fr-FR"/>
              </w:rPr>
              <w:t xml:space="preserve"> destinée à la Réunion de haut niveau sur</w:t>
            </w:r>
            <w:r w:rsidR="004F5BB3">
              <w:rPr>
                <w:b/>
                <w:bCs/>
                <w:sz w:val="18"/>
                <w:lang w:val="fr-FR"/>
              </w:rPr>
              <w:t xml:space="preserve"> </w:t>
            </w:r>
            <w:r w:rsidR="00DD287A" w:rsidRPr="001519FB">
              <w:rPr>
                <w:b/>
                <w:bCs/>
                <w:sz w:val="18"/>
                <w:lang w:val="fr-FR"/>
              </w:rPr>
              <w:t>les</w:t>
            </w:r>
            <w:r w:rsidR="004F5BB3">
              <w:rPr>
                <w:b/>
                <w:bCs/>
                <w:sz w:val="18"/>
                <w:lang w:val="fr-FR"/>
              </w:rPr>
              <w:t xml:space="preserve"> </w:t>
            </w:r>
            <w:r w:rsidR="00DD287A" w:rsidRPr="001519FB">
              <w:rPr>
                <w:b/>
                <w:bCs/>
                <w:sz w:val="18"/>
                <w:lang w:val="fr-FR"/>
              </w:rPr>
              <w:t>transports, la</w:t>
            </w:r>
            <w:r w:rsidR="004F5BB3">
              <w:rPr>
                <w:b/>
                <w:bCs/>
                <w:sz w:val="18"/>
                <w:lang w:val="fr-FR"/>
              </w:rPr>
              <w:t> </w:t>
            </w:r>
            <w:r w:rsidR="00DD287A" w:rsidRPr="001519FB">
              <w:rPr>
                <w:b/>
                <w:bCs/>
                <w:sz w:val="18"/>
                <w:lang w:val="fr-FR"/>
              </w:rPr>
              <w:t>santé et l’environnement</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5</w:t>
            </w:r>
          </w:p>
        </w:tc>
      </w:tr>
      <w:tr w:rsidR="001519FB" w:rsidRPr="001519FB" w:rsidTr="001519FB">
        <w:tc>
          <w:tcPr>
            <w:tcW w:w="6010" w:type="dxa"/>
            <w:shd w:val="clear" w:color="auto" w:fill="auto"/>
          </w:tcPr>
          <w:p w:rsidR="00DD287A" w:rsidRPr="001519FB" w:rsidRDefault="00DD287A" w:rsidP="00314385">
            <w:pPr>
              <w:suppressAutoHyphens w:val="0"/>
              <w:spacing w:before="38" w:after="38" w:line="220" w:lineRule="exact"/>
              <w:rPr>
                <w:rFonts w:eastAsia="Calibri"/>
                <w:b/>
                <w:strike/>
                <w:sz w:val="18"/>
              </w:rPr>
            </w:pPr>
            <w:r w:rsidRPr="001519FB">
              <w:rPr>
                <w:b/>
                <w:sz w:val="18"/>
                <w:lang w:val="fr-FR"/>
              </w:rPr>
              <w:t>Services fonctionnels pour les réunions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348</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348</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354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369</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b/>
                <w:bCs/>
                <w:sz w:val="18"/>
              </w:rPr>
            </w:pPr>
            <w:r w:rsidRPr="00E74F0A">
              <w:rPr>
                <w:bCs/>
                <w:sz w:val="18"/>
                <w:lang w:val="fr-FR"/>
              </w:rPr>
              <w:t>4.</w:t>
            </w:r>
            <w:r w:rsidRPr="00E74F0A">
              <w:rPr>
                <w:bCs/>
                <w:sz w:val="18"/>
                <w:lang w:val="fr-FR"/>
              </w:rPr>
              <w:tab/>
            </w:r>
            <w:r w:rsidR="00DD287A" w:rsidRPr="001519FB">
              <w:rPr>
                <w:b/>
                <w:bCs/>
                <w:sz w:val="18"/>
                <w:lang w:val="fr-FR"/>
              </w:rPr>
              <w:t xml:space="preserve">Séances </w:t>
            </w:r>
            <w:r w:rsidR="00DD287A" w:rsidRPr="001519FB">
              <w:rPr>
                <w:b/>
                <w:sz w:val="18"/>
                <w:lang w:val="fr-FR"/>
              </w:rPr>
              <w:t>du</w:t>
            </w:r>
            <w:r w:rsidR="00DD287A" w:rsidRPr="001519FB">
              <w:rPr>
                <w:b/>
                <w:bCs/>
                <w:sz w:val="18"/>
                <w:lang w:val="fr-FR"/>
              </w:rPr>
              <w:t xml:space="preserve"> Comité des transports intérieurs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307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306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317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327</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a.</w:t>
            </w:r>
            <w:r>
              <w:rPr>
                <w:sz w:val="18"/>
                <w:lang w:val="fr-FR"/>
              </w:rPr>
              <w:tab/>
            </w:r>
            <w:r w:rsidR="00DD287A" w:rsidRPr="001519FB">
              <w:rPr>
                <w:sz w:val="18"/>
                <w:lang w:val="fr-FR"/>
              </w:rPr>
              <w:t>Comité des transports intérieurs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18</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16</w:t>
            </w:r>
          </w:p>
        </w:tc>
        <w:tc>
          <w:tcPr>
            <w:tcW w:w="907" w:type="dxa"/>
            <w:shd w:val="clear" w:color="auto" w:fill="auto"/>
            <w:vAlign w:val="bottom"/>
          </w:tcPr>
          <w:p w:rsidR="00DD287A" w:rsidRPr="00E74F0A" w:rsidRDefault="00DD287A" w:rsidP="00314385">
            <w:pPr>
              <w:suppressAutoHyphens w:val="0"/>
              <w:spacing w:before="38" w:after="38" w:line="220" w:lineRule="exact"/>
              <w:jc w:val="right"/>
              <w:rPr>
                <w:rFonts w:eastAsia="Calibri"/>
                <w:b/>
                <w:sz w:val="18"/>
                <w:szCs w:val="17"/>
              </w:rPr>
            </w:pPr>
            <w:r w:rsidRPr="00E74F0A">
              <w:rPr>
                <w:b/>
                <w:sz w:val="18"/>
                <w:lang w:val="fr-FR"/>
              </w:rPr>
              <w:t>16</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b.</w:t>
            </w:r>
            <w:r>
              <w:rPr>
                <w:sz w:val="18"/>
                <w:lang w:val="fr-FR"/>
              </w:rPr>
              <w:tab/>
            </w:r>
            <w:r w:rsidR="00DD287A" w:rsidRPr="001519FB">
              <w:rPr>
                <w:sz w:val="18"/>
                <w:lang w:val="fr-FR"/>
              </w:rPr>
              <w:t>Forum mondial de l</w:t>
            </w:r>
            <w:r w:rsidR="000F2D25">
              <w:rPr>
                <w:sz w:val="18"/>
                <w:lang w:val="fr-FR"/>
              </w:rPr>
              <w:t>’</w:t>
            </w:r>
            <w:r w:rsidR="00DD287A" w:rsidRPr="001519FB">
              <w:rPr>
                <w:sz w:val="18"/>
                <w:lang w:val="fr-FR"/>
              </w:rPr>
              <w:t>harmonisation des Règlements concernant les véhicules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111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111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111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111</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c.</w:t>
            </w:r>
            <w:r>
              <w:rPr>
                <w:sz w:val="18"/>
                <w:lang w:val="fr-FR"/>
              </w:rPr>
              <w:tab/>
            </w:r>
            <w:r w:rsidR="00DD287A" w:rsidRPr="001519FB">
              <w:rPr>
                <w:sz w:val="18"/>
                <w:lang w:val="fr-FR"/>
              </w:rPr>
              <w:t>Groupe de travail du transport des denrées périssables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8</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8</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8</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d.</w:t>
            </w:r>
            <w:r>
              <w:rPr>
                <w:sz w:val="18"/>
                <w:lang w:val="fr-FR"/>
              </w:rPr>
              <w:tab/>
            </w:r>
            <w:r w:rsidR="00DD287A" w:rsidRPr="001519FB">
              <w:rPr>
                <w:sz w:val="18"/>
                <w:lang w:val="fr-FR"/>
              </w:rPr>
              <w:t>Groupe de travail des transports de marchandises dangereuses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58</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54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68</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58</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e.</w:t>
            </w:r>
            <w:r>
              <w:rPr>
                <w:sz w:val="18"/>
                <w:lang w:val="fr-FR"/>
              </w:rPr>
              <w:tab/>
            </w:r>
            <w:r w:rsidR="00DD287A" w:rsidRPr="001519FB">
              <w:rPr>
                <w:sz w:val="18"/>
                <w:lang w:val="fr-FR"/>
              </w:rPr>
              <w:t>Groupe de travail chargé d</w:t>
            </w:r>
            <w:r w:rsidR="000F2D25">
              <w:rPr>
                <w:sz w:val="18"/>
                <w:lang w:val="fr-FR"/>
              </w:rPr>
              <w:t>’</w:t>
            </w:r>
            <w:r w:rsidR="00DD287A" w:rsidRPr="001519FB">
              <w:rPr>
                <w:sz w:val="18"/>
                <w:lang w:val="fr-FR"/>
              </w:rPr>
              <w:t>examiner les tendances et l</w:t>
            </w:r>
            <w:r w:rsidR="000F2D25">
              <w:rPr>
                <w:sz w:val="18"/>
                <w:lang w:val="fr-FR"/>
              </w:rPr>
              <w:t>’</w:t>
            </w:r>
            <w:r w:rsidR="00DD287A" w:rsidRPr="001519FB">
              <w:rPr>
                <w:sz w:val="18"/>
                <w:lang w:val="fr-FR"/>
              </w:rPr>
              <w:t>économie des transports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32</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f.</w:t>
            </w:r>
            <w:r>
              <w:rPr>
                <w:sz w:val="18"/>
                <w:lang w:val="fr-FR"/>
              </w:rPr>
              <w:tab/>
            </w:r>
            <w:r w:rsidR="00DD287A" w:rsidRPr="001519FB">
              <w:rPr>
                <w:sz w:val="18"/>
                <w:lang w:val="fr-FR"/>
              </w:rPr>
              <w:t>Groupe de travail des statistiques des transports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g.</w:t>
            </w:r>
            <w:r>
              <w:rPr>
                <w:sz w:val="18"/>
                <w:lang w:val="fr-FR"/>
              </w:rPr>
              <w:tab/>
            </w:r>
            <w:r w:rsidR="00DD287A" w:rsidRPr="001519FB">
              <w:rPr>
                <w:sz w:val="18"/>
                <w:lang w:val="fr-FR"/>
              </w:rPr>
              <w:t>Groupe de travail des transports routiers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6</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h.</w:t>
            </w:r>
            <w:r>
              <w:rPr>
                <w:sz w:val="18"/>
                <w:lang w:val="fr-FR"/>
              </w:rPr>
              <w:tab/>
            </w:r>
            <w:r w:rsidR="00DD287A" w:rsidRPr="001519FB">
              <w:rPr>
                <w:sz w:val="18"/>
                <w:lang w:val="fr-FR"/>
              </w:rPr>
              <w:t>Forum mondial de la sécurité routière</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14</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i.</w:t>
            </w:r>
            <w:r>
              <w:rPr>
                <w:sz w:val="18"/>
                <w:lang w:val="fr-FR"/>
              </w:rPr>
              <w:tab/>
            </w:r>
            <w:r w:rsidR="00DD287A" w:rsidRPr="001519FB">
              <w:rPr>
                <w:sz w:val="18"/>
                <w:lang w:val="fr-FR"/>
              </w:rPr>
              <w:t>Groupe de travail des transports par chemin de fer</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j.</w:t>
            </w:r>
            <w:r>
              <w:rPr>
                <w:sz w:val="18"/>
                <w:lang w:val="fr-FR"/>
              </w:rPr>
              <w:tab/>
            </w:r>
            <w:r w:rsidR="00DD287A" w:rsidRPr="001519FB">
              <w:rPr>
                <w:sz w:val="18"/>
                <w:lang w:val="fr-FR"/>
              </w:rPr>
              <w:t>Groupe de travail du transport intermodal et de la logistique</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6</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k.</w:t>
            </w:r>
            <w:r>
              <w:rPr>
                <w:sz w:val="18"/>
                <w:lang w:val="fr-FR"/>
              </w:rPr>
              <w:tab/>
            </w:r>
            <w:r w:rsidR="00DD287A" w:rsidRPr="001519FB">
              <w:rPr>
                <w:sz w:val="18"/>
                <w:lang w:val="fr-FR"/>
              </w:rPr>
              <w:t>Groupe de travail des transports par voie navigable</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18</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18</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18</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18</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l.</w:t>
            </w:r>
            <w:r>
              <w:rPr>
                <w:sz w:val="18"/>
                <w:lang w:val="fr-FR"/>
              </w:rPr>
              <w:tab/>
            </w:r>
            <w:r w:rsidR="00DD287A" w:rsidRPr="001519FB">
              <w:rPr>
                <w:sz w:val="18"/>
                <w:lang w:val="fr-FR"/>
              </w:rPr>
              <w:t>Groupe de travail des problèmes douaniers intéressant les transports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46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46</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b/>
                <w:bCs/>
                <w:sz w:val="18"/>
              </w:rPr>
            </w:pPr>
            <w:r w:rsidRPr="00E74F0A">
              <w:rPr>
                <w:bCs/>
                <w:sz w:val="18"/>
                <w:lang w:val="fr-FR"/>
              </w:rPr>
              <w:t>5.</w:t>
            </w:r>
            <w:r w:rsidRPr="00E74F0A">
              <w:rPr>
                <w:bCs/>
                <w:sz w:val="18"/>
                <w:lang w:val="fr-FR"/>
              </w:rPr>
              <w:tab/>
            </w:r>
            <w:r w:rsidR="00DD287A" w:rsidRPr="001519FB">
              <w:rPr>
                <w:b/>
                <w:sz w:val="18"/>
                <w:lang w:val="fr-FR"/>
              </w:rPr>
              <w:t>Séances</w:t>
            </w:r>
            <w:r w:rsidR="00DD287A" w:rsidRPr="001519FB">
              <w:rPr>
                <w:b/>
                <w:bCs/>
                <w:sz w:val="18"/>
                <w:lang w:val="fr-FR"/>
              </w:rPr>
              <w:t xml:space="preserve"> du Conseil économique et social</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40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40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35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40</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a.</w:t>
            </w:r>
            <w:r>
              <w:rPr>
                <w:sz w:val="18"/>
                <w:lang w:val="fr-FR"/>
              </w:rPr>
              <w:tab/>
            </w:r>
            <w:r w:rsidR="00DD287A" w:rsidRPr="001519FB">
              <w:rPr>
                <w:sz w:val="18"/>
                <w:lang w:val="fr-FR"/>
              </w:rPr>
              <w:t>Comité d</w:t>
            </w:r>
            <w:r w:rsidR="000F2D25">
              <w:rPr>
                <w:sz w:val="18"/>
                <w:lang w:val="fr-FR"/>
              </w:rPr>
              <w:t>’</w:t>
            </w:r>
            <w:r w:rsidR="00DD287A" w:rsidRPr="001519FB">
              <w:rPr>
                <w:sz w:val="18"/>
                <w:lang w:val="fr-FR"/>
              </w:rPr>
              <w:t>experts du transport des marchandises dangereuses et du Système général harmonisé de classification et d</w:t>
            </w:r>
            <w:r w:rsidR="000F2D25">
              <w:rPr>
                <w:sz w:val="18"/>
                <w:lang w:val="fr-FR"/>
              </w:rPr>
              <w:t>’</w:t>
            </w:r>
            <w:r w:rsidR="00DD287A" w:rsidRPr="001519FB">
              <w:rPr>
                <w:sz w:val="18"/>
                <w:lang w:val="fr-FR"/>
              </w:rPr>
              <w:t>étiquetage des produits chimiques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b.</w:t>
            </w:r>
            <w:r>
              <w:rPr>
                <w:sz w:val="18"/>
                <w:lang w:val="fr-FR"/>
              </w:rPr>
              <w:tab/>
            </w:r>
            <w:r w:rsidR="00DD287A" w:rsidRPr="001519FB">
              <w:rPr>
                <w:sz w:val="18"/>
                <w:lang w:val="fr-FR"/>
              </w:rPr>
              <w:t>Sous-Comité d</w:t>
            </w:r>
            <w:r w:rsidR="000F2D25">
              <w:rPr>
                <w:sz w:val="18"/>
                <w:lang w:val="fr-FR"/>
              </w:rPr>
              <w:t>’</w:t>
            </w:r>
            <w:r w:rsidR="00DD287A" w:rsidRPr="001519FB">
              <w:rPr>
                <w:sz w:val="18"/>
                <w:lang w:val="fr-FR"/>
              </w:rPr>
              <w:t>experts du transport de marchandises dangereuses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29</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29</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25</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29</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c.</w:t>
            </w:r>
            <w:r>
              <w:rPr>
                <w:sz w:val="18"/>
                <w:lang w:val="fr-FR"/>
              </w:rPr>
              <w:tab/>
            </w:r>
            <w:r w:rsidR="00DD287A" w:rsidRPr="001519FB">
              <w:rPr>
                <w:sz w:val="18"/>
                <w:lang w:val="fr-FR"/>
              </w:rPr>
              <w:t>Sous-comité d</w:t>
            </w:r>
            <w:r w:rsidR="000F2D25">
              <w:rPr>
                <w:sz w:val="18"/>
                <w:lang w:val="fr-FR"/>
              </w:rPr>
              <w:t>’</w:t>
            </w:r>
            <w:r w:rsidR="00DD287A" w:rsidRPr="001519FB">
              <w:rPr>
                <w:sz w:val="18"/>
                <w:lang w:val="fr-FR"/>
              </w:rPr>
              <w:t>experts du Système général harmonisé de classification et</w:t>
            </w:r>
            <w:r w:rsidR="00314385">
              <w:rPr>
                <w:sz w:val="18"/>
                <w:lang w:val="fr-FR"/>
              </w:rPr>
              <w:t> </w:t>
            </w:r>
            <w:r w:rsidR="00DD287A" w:rsidRPr="001519FB">
              <w:rPr>
                <w:sz w:val="18"/>
                <w:lang w:val="fr-FR"/>
              </w:rPr>
              <w:t>d</w:t>
            </w:r>
            <w:r w:rsidR="000F2D25">
              <w:rPr>
                <w:sz w:val="18"/>
                <w:lang w:val="fr-FR"/>
              </w:rPr>
              <w:t>’</w:t>
            </w:r>
            <w:r w:rsidR="00DD287A" w:rsidRPr="001519FB">
              <w:rPr>
                <w:sz w:val="18"/>
                <w:lang w:val="fr-FR"/>
              </w:rPr>
              <w:t>étiquetage des produits chimiques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10</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b/>
                <w:bCs/>
                <w:sz w:val="18"/>
              </w:rPr>
            </w:pPr>
            <w:r w:rsidRPr="00E74F0A">
              <w:rPr>
                <w:bCs/>
                <w:sz w:val="18"/>
                <w:lang w:val="fr-FR"/>
              </w:rPr>
              <w:t>6.</w:t>
            </w:r>
            <w:r w:rsidRPr="00E74F0A">
              <w:rPr>
                <w:bCs/>
                <w:sz w:val="18"/>
                <w:lang w:val="fr-FR"/>
              </w:rPr>
              <w:tab/>
            </w:r>
            <w:r w:rsidR="00DD287A" w:rsidRPr="001519FB">
              <w:rPr>
                <w:b/>
                <w:sz w:val="18"/>
                <w:lang w:val="fr-FR"/>
              </w:rPr>
              <w:t>Séances</w:t>
            </w:r>
            <w:r w:rsidR="00DD287A" w:rsidRPr="001519FB">
              <w:rPr>
                <w:b/>
                <w:bCs/>
                <w:sz w:val="18"/>
                <w:lang w:val="fr-FR"/>
              </w:rPr>
              <w:t xml:space="preserve"> de la Réunion de haut niveau sur les transports,</w:t>
            </w:r>
            <w:r w:rsidR="00B161C4">
              <w:rPr>
                <w:b/>
                <w:bCs/>
                <w:sz w:val="18"/>
                <w:lang w:val="fr-FR"/>
              </w:rPr>
              <w:t xml:space="preserve"> </w:t>
            </w:r>
            <w:r w:rsidR="00DD287A" w:rsidRPr="001519FB">
              <w:rPr>
                <w:b/>
                <w:bCs/>
                <w:sz w:val="18"/>
                <w:lang w:val="fr-FR"/>
              </w:rPr>
              <w:t>la santé et</w:t>
            </w:r>
            <w:r w:rsidR="00314385">
              <w:rPr>
                <w:b/>
                <w:bCs/>
                <w:sz w:val="18"/>
                <w:lang w:val="fr-FR"/>
              </w:rPr>
              <w:t> </w:t>
            </w:r>
            <w:r w:rsidR="00DD287A" w:rsidRPr="001519FB">
              <w:rPr>
                <w:b/>
                <w:bCs/>
                <w:sz w:val="18"/>
                <w:lang w:val="fr-FR"/>
              </w:rPr>
              <w:t>l’environnement</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2</w:t>
            </w:r>
          </w:p>
        </w:tc>
      </w:tr>
      <w:tr w:rsidR="001519FB" w:rsidRPr="001519FB" w:rsidTr="001519FB">
        <w:tc>
          <w:tcPr>
            <w:tcW w:w="6010" w:type="dxa"/>
            <w:shd w:val="clear" w:color="auto" w:fill="auto"/>
          </w:tcPr>
          <w:p w:rsidR="00DD287A" w:rsidRPr="001519FB" w:rsidRDefault="00DD287A" w:rsidP="00314385">
            <w:pPr>
              <w:tabs>
                <w:tab w:val="left" w:pos="284"/>
              </w:tabs>
              <w:suppressAutoHyphens w:val="0"/>
              <w:spacing w:before="38" w:after="38" w:line="220" w:lineRule="exact"/>
              <w:ind w:left="284" w:hanging="284"/>
              <w:rPr>
                <w:rFonts w:eastAsia="Calibri"/>
                <w:b/>
              </w:rPr>
            </w:pPr>
            <w:r w:rsidRPr="001519FB">
              <w:rPr>
                <w:b/>
                <w:lang w:val="fr-FR"/>
              </w:rPr>
              <w:lastRenderedPageBreak/>
              <w:t>B</w:t>
            </w:r>
            <w:r w:rsidRPr="001519FB">
              <w:rPr>
                <w:lang w:val="fr-FR"/>
              </w:rPr>
              <w:t>.</w:t>
            </w:r>
            <w:r w:rsidRPr="001519FB">
              <w:rPr>
                <w:lang w:val="fr-FR"/>
              </w:rPr>
              <w:tab/>
            </w:r>
            <w:r w:rsidRPr="001519FB">
              <w:rPr>
                <w:b/>
                <w:lang w:val="fr-FR"/>
              </w:rPr>
              <w:t>Production</w:t>
            </w:r>
            <w:r w:rsidRPr="001519FB">
              <w:rPr>
                <w:b/>
                <w:bCs/>
                <w:lang w:val="fr-FR"/>
              </w:rPr>
              <w:t xml:space="preserve"> et transfert de connaissances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p>
        </w:tc>
      </w:tr>
      <w:tr w:rsidR="001519FB" w:rsidRPr="001519FB" w:rsidTr="001519FB">
        <w:tc>
          <w:tcPr>
            <w:tcW w:w="6010" w:type="dxa"/>
            <w:shd w:val="clear" w:color="auto" w:fill="auto"/>
          </w:tcPr>
          <w:p w:rsidR="00DD287A" w:rsidRPr="001519FB" w:rsidRDefault="00DD287A" w:rsidP="00314385">
            <w:pPr>
              <w:suppressAutoHyphens w:val="0"/>
              <w:spacing w:before="38" w:after="38" w:line="220" w:lineRule="exact"/>
              <w:rPr>
                <w:rFonts w:eastAsia="Calibri"/>
                <w:b/>
                <w:sz w:val="18"/>
              </w:rPr>
            </w:pPr>
            <w:r w:rsidRPr="001519FB">
              <w:rPr>
                <w:b/>
                <w:sz w:val="18"/>
                <w:lang w:val="fr-FR"/>
              </w:rPr>
              <w:t>Projets de coopération technique</w:t>
            </w:r>
          </w:p>
        </w:tc>
        <w:tc>
          <w:tcPr>
            <w:tcW w:w="907" w:type="dxa"/>
            <w:shd w:val="clear" w:color="auto" w:fill="auto"/>
            <w:vAlign w:val="bottom"/>
          </w:tcPr>
          <w:p w:rsidR="00DD287A" w:rsidRPr="00E74F0A" w:rsidRDefault="00DD287A" w:rsidP="00314385">
            <w:pPr>
              <w:suppressAutoHyphens w:val="0"/>
              <w:spacing w:before="38" w:after="38" w:line="220" w:lineRule="exact"/>
              <w:jc w:val="right"/>
              <w:rPr>
                <w:rFonts w:eastAsia="Calibri"/>
                <w:sz w:val="18"/>
                <w:szCs w:val="17"/>
              </w:rPr>
            </w:pPr>
            <w:r w:rsidRPr="00E74F0A">
              <w:rPr>
                <w:sz w:val="18"/>
                <w:lang w:val="fr-FR"/>
              </w:rPr>
              <w:t>2</w:t>
            </w:r>
          </w:p>
        </w:tc>
        <w:tc>
          <w:tcPr>
            <w:tcW w:w="907" w:type="dxa"/>
            <w:shd w:val="clear" w:color="auto" w:fill="auto"/>
            <w:vAlign w:val="bottom"/>
          </w:tcPr>
          <w:p w:rsidR="00DD287A" w:rsidRPr="00E74F0A" w:rsidRDefault="00DD287A" w:rsidP="00314385">
            <w:pPr>
              <w:suppressAutoHyphens w:val="0"/>
              <w:spacing w:before="38" w:after="38" w:line="220" w:lineRule="exact"/>
              <w:jc w:val="right"/>
              <w:rPr>
                <w:rFonts w:eastAsia="Calibri"/>
                <w:sz w:val="18"/>
                <w:szCs w:val="17"/>
              </w:rPr>
            </w:pPr>
            <w:r w:rsidRPr="00E74F0A">
              <w:rPr>
                <w:sz w:val="18"/>
                <w:lang w:val="fr-FR"/>
              </w:rPr>
              <w:t>2</w:t>
            </w:r>
          </w:p>
        </w:tc>
        <w:tc>
          <w:tcPr>
            <w:tcW w:w="907" w:type="dxa"/>
            <w:shd w:val="clear" w:color="auto" w:fill="auto"/>
            <w:vAlign w:val="bottom"/>
          </w:tcPr>
          <w:p w:rsidR="00DD287A" w:rsidRPr="00E74F0A" w:rsidRDefault="00DD287A" w:rsidP="00314385">
            <w:pPr>
              <w:suppressAutoHyphens w:val="0"/>
              <w:spacing w:before="38" w:after="38" w:line="220" w:lineRule="exact"/>
              <w:jc w:val="right"/>
              <w:rPr>
                <w:rFonts w:eastAsia="Calibri"/>
                <w:sz w:val="18"/>
              </w:rPr>
            </w:pPr>
            <w:r w:rsidRPr="00E74F0A">
              <w:rPr>
                <w:sz w:val="18"/>
                <w:lang w:val="fr-FR"/>
              </w:rPr>
              <w:t>2</w:t>
            </w:r>
          </w:p>
        </w:tc>
        <w:tc>
          <w:tcPr>
            <w:tcW w:w="907" w:type="dxa"/>
            <w:shd w:val="clear" w:color="auto" w:fill="auto"/>
            <w:vAlign w:val="bottom"/>
          </w:tcPr>
          <w:p w:rsidR="00DD287A" w:rsidRPr="00E74F0A" w:rsidRDefault="00DD287A" w:rsidP="00314385">
            <w:pPr>
              <w:suppressAutoHyphens w:val="0"/>
              <w:spacing w:before="38" w:after="38" w:line="220" w:lineRule="exact"/>
              <w:jc w:val="right"/>
              <w:rPr>
                <w:rFonts w:eastAsia="Calibri"/>
                <w:sz w:val="18"/>
              </w:rPr>
            </w:pPr>
            <w:r w:rsidRPr="00E74F0A">
              <w:rPr>
                <w:sz w:val="18"/>
                <w:lang w:val="fr-FR"/>
              </w:rPr>
              <w:t>2</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bCs/>
                <w:sz w:val="18"/>
              </w:rPr>
            </w:pPr>
            <w:r>
              <w:rPr>
                <w:sz w:val="18"/>
                <w:lang w:val="fr-FR"/>
              </w:rPr>
              <w:t>7.</w:t>
            </w:r>
            <w:r>
              <w:rPr>
                <w:sz w:val="18"/>
                <w:lang w:val="fr-FR"/>
              </w:rPr>
              <w:tab/>
            </w:r>
            <w:r w:rsidR="00DD287A" w:rsidRPr="001519FB">
              <w:rPr>
                <w:sz w:val="18"/>
                <w:lang w:val="fr-FR"/>
              </w:rPr>
              <w:t>Projet d</w:t>
            </w:r>
            <w:r w:rsidR="000F2D25">
              <w:rPr>
                <w:sz w:val="18"/>
                <w:lang w:val="fr-FR"/>
              </w:rPr>
              <w:t>’</w:t>
            </w:r>
            <w:r w:rsidR="00DD287A" w:rsidRPr="001519FB">
              <w:rPr>
                <w:sz w:val="18"/>
                <w:lang w:val="fr-FR"/>
              </w:rPr>
              <w:t>autoroute transeuropéenne Nord-Sud (TEM)</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bCs/>
                <w:sz w:val="18"/>
              </w:rPr>
            </w:pPr>
            <w:r>
              <w:rPr>
                <w:sz w:val="18"/>
                <w:lang w:val="fr-FR"/>
              </w:rPr>
              <w:t>8.</w:t>
            </w:r>
            <w:r>
              <w:rPr>
                <w:sz w:val="18"/>
                <w:lang w:val="fr-FR"/>
              </w:rPr>
              <w:tab/>
            </w:r>
            <w:r w:rsidR="00DD287A" w:rsidRPr="001519FB">
              <w:rPr>
                <w:sz w:val="18"/>
                <w:lang w:val="fr-FR"/>
              </w:rPr>
              <w:t>Projet de chemin de fer transeuropéen (TER)</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r>
      <w:tr w:rsidR="001519FB" w:rsidRPr="001519FB" w:rsidTr="001519FB">
        <w:tc>
          <w:tcPr>
            <w:tcW w:w="6010" w:type="dxa"/>
            <w:shd w:val="clear" w:color="auto" w:fill="auto"/>
          </w:tcPr>
          <w:p w:rsidR="00DD287A" w:rsidRPr="001519FB" w:rsidRDefault="00DD287A" w:rsidP="00314385">
            <w:pPr>
              <w:suppressAutoHyphens w:val="0"/>
              <w:spacing w:before="38" w:after="38" w:line="220" w:lineRule="exact"/>
              <w:rPr>
                <w:rFonts w:eastAsia="Calibri"/>
                <w:b/>
                <w:sz w:val="18"/>
              </w:rPr>
            </w:pPr>
            <w:r w:rsidRPr="001519FB">
              <w:rPr>
                <w:b/>
                <w:sz w:val="18"/>
                <w:lang w:val="fr-FR"/>
              </w:rPr>
              <w:t>Séminaires, ateliers, bourses et activités de formation</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rPr>
            </w:pPr>
            <w:r w:rsidRPr="001519FB">
              <w:rPr>
                <w:sz w:val="18"/>
                <w:lang w:val="fr-FR"/>
              </w:rPr>
              <w:t>11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rPr>
            </w:pPr>
            <w:r w:rsidRPr="001519FB">
              <w:rPr>
                <w:sz w:val="18"/>
                <w:lang w:val="fr-FR"/>
              </w:rPr>
              <w:t>13</w:t>
            </w:r>
          </w:p>
        </w:tc>
      </w:tr>
      <w:tr w:rsidR="001519FB" w:rsidRPr="001519FB" w:rsidTr="001519FB">
        <w:tc>
          <w:tcPr>
            <w:tcW w:w="6010" w:type="dxa"/>
            <w:shd w:val="clear" w:color="auto" w:fill="auto"/>
          </w:tcPr>
          <w:p w:rsidR="00DD287A" w:rsidRPr="001519FB" w:rsidRDefault="001519FB" w:rsidP="00E120C0">
            <w:pPr>
              <w:tabs>
                <w:tab w:val="left" w:pos="284"/>
              </w:tabs>
              <w:suppressAutoHyphens w:val="0"/>
              <w:spacing w:before="38" w:after="38" w:line="220" w:lineRule="exact"/>
              <w:ind w:left="284" w:hanging="284"/>
              <w:rPr>
                <w:rFonts w:eastAsia="Calibri"/>
                <w:bCs/>
                <w:sz w:val="18"/>
              </w:rPr>
            </w:pPr>
            <w:r>
              <w:rPr>
                <w:sz w:val="18"/>
                <w:lang w:val="fr-FR"/>
              </w:rPr>
              <w:t>9.</w:t>
            </w:r>
            <w:r>
              <w:rPr>
                <w:sz w:val="18"/>
                <w:lang w:val="fr-FR"/>
              </w:rPr>
              <w:tab/>
            </w:r>
            <w:r w:rsidR="00DD287A" w:rsidRPr="001519FB">
              <w:rPr>
                <w:sz w:val="18"/>
                <w:lang w:val="fr-FR"/>
              </w:rPr>
              <w:t>Ateliers organisés à l</w:t>
            </w:r>
            <w:r w:rsidR="000F2D25">
              <w:rPr>
                <w:sz w:val="18"/>
                <w:lang w:val="fr-FR"/>
              </w:rPr>
              <w:t>’</w:t>
            </w:r>
            <w:r w:rsidR="00DD287A" w:rsidRPr="001519FB">
              <w:rPr>
                <w:sz w:val="18"/>
                <w:lang w:val="fr-FR"/>
              </w:rPr>
              <w:t>intention de responsables gouvernementaux et d</w:t>
            </w:r>
            <w:r w:rsidR="000F2D25">
              <w:rPr>
                <w:sz w:val="18"/>
                <w:lang w:val="fr-FR"/>
              </w:rPr>
              <w:t>’</w:t>
            </w:r>
            <w:r w:rsidR="00DD287A" w:rsidRPr="001519FB">
              <w:rPr>
                <w:sz w:val="18"/>
                <w:lang w:val="fr-FR"/>
              </w:rPr>
              <w:t>autres parties prenantes dans la région de la CEE et dans les Parties contractantes aux</w:t>
            </w:r>
            <w:r w:rsidR="00E120C0">
              <w:rPr>
                <w:sz w:val="18"/>
                <w:lang w:val="fr-FR"/>
              </w:rPr>
              <w:t> </w:t>
            </w:r>
            <w:r w:rsidR="00DD287A" w:rsidRPr="001519FB">
              <w:rPr>
                <w:sz w:val="18"/>
                <w:lang w:val="fr-FR"/>
              </w:rPr>
              <w:t>instruments juridiques relevant du Comité des transports intérieurs, sur</w:t>
            </w:r>
            <w:r w:rsidR="000F2D25">
              <w:rPr>
                <w:sz w:val="18"/>
                <w:lang w:val="fr-FR"/>
              </w:rPr>
              <w:t> :</w:t>
            </w:r>
            <w:r w:rsidR="00DD287A" w:rsidRPr="001519FB">
              <w:rPr>
                <w:sz w:val="18"/>
                <w:lang w:val="fr-FR"/>
              </w:rPr>
              <w:t xml:space="preserve"> les systèmes de transport intelligents</w:t>
            </w:r>
            <w:r w:rsidR="000F2D25">
              <w:rPr>
                <w:sz w:val="18"/>
                <w:lang w:val="fr-FR"/>
              </w:rPr>
              <w:t> ;</w:t>
            </w:r>
            <w:r w:rsidR="00DD287A" w:rsidRPr="001519FB">
              <w:rPr>
                <w:sz w:val="18"/>
                <w:lang w:val="fr-FR"/>
              </w:rPr>
              <w:t xml:space="preserve"> les statistiques des transports et les tendances en la matière</w:t>
            </w:r>
            <w:r w:rsidR="000F2D25">
              <w:rPr>
                <w:sz w:val="18"/>
                <w:lang w:val="fr-FR"/>
              </w:rPr>
              <w:t> ;</w:t>
            </w:r>
            <w:r w:rsidR="00DD287A" w:rsidRPr="001519FB">
              <w:rPr>
                <w:sz w:val="18"/>
                <w:lang w:val="fr-FR"/>
              </w:rPr>
              <w:t xml:space="preserve"> les questions de transport routier, ferroviaire, fluvial, intermodal et intersectoriel</w:t>
            </w:r>
            <w:r w:rsidR="000F2D25">
              <w:rPr>
                <w:sz w:val="18"/>
                <w:lang w:val="fr-FR"/>
              </w:rPr>
              <w:t> ;</w:t>
            </w:r>
            <w:r w:rsidR="00DD287A" w:rsidRPr="001519FB">
              <w:rPr>
                <w:sz w:val="18"/>
                <w:lang w:val="fr-FR"/>
              </w:rPr>
              <w:t xml:space="preserve"> et les accords et règlements sur les véhicules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7</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9</w:t>
            </w:r>
          </w:p>
        </w:tc>
      </w:tr>
      <w:tr w:rsidR="001519FB" w:rsidRPr="001519FB" w:rsidTr="001519FB">
        <w:tc>
          <w:tcPr>
            <w:tcW w:w="6010" w:type="dxa"/>
            <w:shd w:val="clear" w:color="auto" w:fill="auto"/>
          </w:tcPr>
          <w:p w:rsidR="00DD287A" w:rsidRPr="001519FB" w:rsidRDefault="001519FB" w:rsidP="00E120C0">
            <w:pPr>
              <w:tabs>
                <w:tab w:val="left" w:pos="284"/>
              </w:tabs>
              <w:suppressAutoHyphens w:val="0"/>
              <w:spacing w:before="38" w:after="38" w:line="220" w:lineRule="exact"/>
              <w:ind w:left="284" w:hanging="284"/>
              <w:rPr>
                <w:rFonts w:eastAsia="Calibri"/>
                <w:bCs/>
                <w:sz w:val="18"/>
              </w:rPr>
            </w:pPr>
            <w:r>
              <w:rPr>
                <w:sz w:val="18"/>
                <w:lang w:val="fr-FR"/>
              </w:rPr>
              <w:t>10.</w:t>
            </w:r>
            <w:r>
              <w:rPr>
                <w:sz w:val="18"/>
                <w:lang w:val="fr-FR"/>
              </w:rPr>
              <w:tab/>
            </w:r>
            <w:r w:rsidR="00DD287A" w:rsidRPr="001519FB">
              <w:rPr>
                <w:sz w:val="18"/>
                <w:lang w:val="fr-FR"/>
              </w:rPr>
              <w:t>Séminaires à l</w:t>
            </w:r>
            <w:r w:rsidR="000F2D25">
              <w:rPr>
                <w:sz w:val="18"/>
                <w:lang w:val="fr-FR"/>
              </w:rPr>
              <w:t>’</w:t>
            </w:r>
            <w:r w:rsidR="00DD287A" w:rsidRPr="001519FB">
              <w:rPr>
                <w:sz w:val="18"/>
                <w:lang w:val="fr-FR"/>
              </w:rPr>
              <w:t>intention des coordonnateurs nationaux, des experts, des</w:t>
            </w:r>
            <w:r w:rsidR="00E120C0">
              <w:rPr>
                <w:sz w:val="18"/>
                <w:lang w:val="fr-FR"/>
              </w:rPr>
              <w:t> </w:t>
            </w:r>
            <w:r w:rsidR="00DD287A" w:rsidRPr="001519FB">
              <w:rPr>
                <w:sz w:val="18"/>
                <w:lang w:val="fr-FR"/>
              </w:rPr>
              <w:t>fonctionnaires des douanes et du secteur des transports sur la Convention TIR et les projets d</w:t>
            </w:r>
            <w:r w:rsidR="000F2D25">
              <w:rPr>
                <w:sz w:val="18"/>
                <w:lang w:val="fr-FR"/>
              </w:rPr>
              <w:t>’</w:t>
            </w:r>
            <w:r w:rsidR="00DD287A" w:rsidRPr="001519FB">
              <w:rPr>
                <w:sz w:val="18"/>
                <w:lang w:val="fr-FR"/>
              </w:rPr>
              <w:t>autoroute transeuropéenne Nord-Sud et de chemin de fer transeuropéen</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w:t>
            </w:r>
          </w:p>
        </w:tc>
      </w:tr>
      <w:tr w:rsidR="001519FB" w:rsidRPr="001519FB" w:rsidTr="001519FB">
        <w:tc>
          <w:tcPr>
            <w:tcW w:w="6010" w:type="dxa"/>
            <w:shd w:val="clear" w:color="auto" w:fill="auto"/>
          </w:tcPr>
          <w:p w:rsidR="00DD287A" w:rsidRPr="001519FB" w:rsidRDefault="00DD287A" w:rsidP="00314385">
            <w:pPr>
              <w:suppressAutoHyphens w:val="0"/>
              <w:spacing w:before="38" w:after="38" w:line="220" w:lineRule="exact"/>
              <w:rPr>
                <w:rFonts w:eastAsia="Calibri"/>
                <w:b/>
                <w:sz w:val="18"/>
              </w:rPr>
            </w:pPr>
            <w:r w:rsidRPr="001519FB">
              <w:rPr>
                <w:b/>
                <w:sz w:val="18"/>
                <w:lang w:val="fr-FR"/>
              </w:rPr>
              <w:t>Publications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6</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rPr>
            </w:pPr>
            <w:r w:rsidRPr="001519FB">
              <w:rPr>
                <w:b/>
                <w:sz w:val="18"/>
                <w:lang w:val="fr-FR"/>
              </w:rPr>
              <w:t>14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rPr>
            </w:pPr>
            <w:r w:rsidRPr="001519FB">
              <w:rPr>
                <w:b/>
                <w:sz w:val="18"/>
                <w:lang w:val="fr-FR"/>
              </w:rPr>
              <w:t>13</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bCs/>
                <w:sz w:val="18"/>
              </w:rPr>
            </w:pPr>
            <w:r>
              <w:rPr>
                <w:sz w:val="18"/>
                <w:lang w:val="fr-FR"/>
              </w:rPr>
              <w:t>11.</w:t>
            </w:r>
            <w:r>
              <w:rPr>
                <w:sz w:val="18"/>
                <w:lang w:val="fr-FR"/>
              </w:rPr>
              <w:tab/>
            </w:r>
            <w:r w:rsidR="00DD287A" w:rsidRPr="001519FB">
              <w:rPr>
                <w:sz w:val="18"/>
                <w:lang w:val="fr-FR"/>
              </w:rPr>
              <w:t>Publications sur le transport des marchandises dangereuses et d’autres cargaisons spéciales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3</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12.</w:t>
            </w:r>
            <w:r>
              <w:rPr>
                <w:sz w:val="18"/>
                <w:lang w:val="fr-FR"/>
              </w:rPr>
              <w:tab/>
            </w:r>
            <w:r w:rsidR="00DD287A" w:rsidRPr="001519FB">
              <w:rPr>
                <w:sz w:val="18"/>
                <w:lang w:val="fr-FR"/>
              </w:rPr>
              <w:t>Publications sur la facilitation des transports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3</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0</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13.</w:t>
            </w:r>
            <w:r>
              <w:rPr>
                <w:sz w:val="18"/>
                <w:lang w:val="fr-FR"/>
              </w:rPr>
              <w:tab/>
            </w:r>
            <w:r w:rsidR="00DD287A" w:rsidRPr="001519FB">
              <w:rPr>
                <w:sz w:val="18"/>
                <w:lang w:val="fr-FR"/>
              </w:rPr>
              <w:t>Publications sur les transports verts et sûrs et les questions transversales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4</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8</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14.</w:t>
            </w:r>
            <w:r>
              <w:rPr>
                <w:sz w:val="18"/>
                <w:lang w:val="fr-FR"/>
              </w:rPr>
              <w:tab/>
            </w:r>
            <w:r w:rsidR="00DD287A" w:rsidRPr="001519FB">
              <w:rPr>
                <w:sz w:val="18"/>
                <w:lang w:val="fr-FR"/>
              </w:rPr>
              <w:t>Publications sur les règlements relatifs aux véhicules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bCs/>
                <w:sz w:val="18"/>
              </w:rPr>
            </w:pPr>
            <w:r>
              <w:rPr>
                <w:sz w:val="18"/>
                <w:lang w:val="fr-FR"/>
              </w:rPr>
              <w:t>15.</w:t>
            </w:r>
            <w:r>
              <w:rPr>
                <w:sz w:val="18"/>
                <w:lang w:val="fr-FR"/>
              </w:rPr>
              <w:tab/>
            </w:r>
            <w:r w:rsidR="00DD287A" w:rsidRPr="001519FB">
              <w:rPr>
                <w:sz w:val="18"/>
                <w:lang w:val="fr-FR"/>
              </w:rPr>
              <w:t>Publications sur les statistiques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r>
      <w:tr w:rsidR="001519FB" w:rsidRPr="001519FB" w:rsidTr="001519FB">
        <w:tc>
          <w:tcPr>
            <w:tcW w:w="6010" w:type="dxa"/>
            <w:shd w:val="clear" w:color="auto" w:fill="auto"/>
          </w:tcPr>
          <w:p w:rsidR="00DD287A" w:rsidRPr="001519FB" w:rsidRDefault="00DD287A" w:rsidP="00314385">
            <w:pPr>
              <w:suppressAutoHyphens w:val="0"/>
              <w:spacing w:before="38" w:after="38" w:line="220" w:lineRule="exact"/>
              <w:rPr>
                <w:rFonts w:eastAsia="Calibri"/>
                <w:b/>
                <w:sz w:val="18"/>
              </w:rPr>
            </w:pPr>
            <w:r w:rsidRPr="001519FB">
              <w:rPr>
                <w:b/>
                <w:sz w:val="18"/>
                <w:lang w:val="fr-FR"/>
              </w:rPr>
              <w:t>Activités ou documentation techniques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rPr>
            </w:pPr>
            <w:r w:rsidRPr="001519FB">
              <w:rPr>
                <w:b/>
                <w:sz w:val="18"/>
                <w:lang w:val="fr-FR"/>
              </w:rPr>
              <w:t>2</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rPr>
            </w:pPr>
            <w:r w:rsidRPr="001519FB">
              <w:rPr>
                <w:b/>
                <w:sz w:val="18"/>
                <w:lang w:val="fr-FR"/>
              </w:rPr>
              <w:t>2</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bCs/>
                <w:sz w:val="18"/>
              </w:rPr>
            </w:pPr>
            <w:r>
              <w:rPr>
                <w:sz w:val="18"/>
                <w:lang w:val="fr-FR"/>
              </w:rPr>
              <w:t>16.</w:t>
            </w:r>
            <w:r>
              <w:rPr>
                <w:sz w:val="18"/>
                <w:lang w:val="fr-FR"/>
              </w:rPr>
              <w:tab/>
            </w:r>
            <w:r w:rsidR="00DD287A" w:rsidRPr="001519FB">
              <w:rPr>
                <w:sz w:val="18"/>
                <w:lang w:val="fr-FR"/>
              </w:rPr>
              <w:t>Fiche d</w:t>
            </w:r>
            <w:r w:rsidR="000F2D25">
              <w:rPr>
                <w:sz w:val="18"/>
                <w:lang w:val="fr-FR"/>
              </w:rPr>
              <w:t>’</w:t>
            </w:r>
            <w:r w:rsidR="00DD287A" w:rsidRPr="001519FB">
              <w:rPr>
                <w:sz w:val="18"/>
                <w:lang w:val="fr-FR"/>
              </w:rPr>
              <w:t>information</w:t>
            </w:r>
            <w:r w:rsidR="000F2D25">
              <w:rPr>
                <w:sz w:val="18"/>
                <w:lang w:val="fr-FR"/>
              </w:rPr>
              <w:t> :</w:t>
            </w:r>
            <w:r w:rsidR="00DD287A" w:rsidRPr="001519FB">
              <w:rPr>
                <w:sz w:val="18"/>
                <w:lang w:val="fr-FR"/>
              </w:rPr>
              <w:t xml:space="preserve"> ce qu</w:t>
            </w:r>
            <w:r w:rsidR="000F2D25">
              <w:rPr>
                <w:sz w:val="18"/>
                <w:lang w:val="fr-FR"/>
              </w:rPr>
              <w:t>’</w:t>
            </w:r>
            <w:r w:rsidR="00DD287A" w:rsidRPr="001519FB">
              <w:rPr>
                <w:sz w:val="18"/>
                <w:lang w:val="fr-FR"/>
              </w:rPr>
              <w:t>il faut savoir sur les pneus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sz w:val="18"/>
                <w:szCs w:val="17"/>
              </w:rPr>
            </w:pPr>
            <w:r w:rsidRPr="001519FB">
              <w:rPr>
                <w:b/>
                <w:sz w:val="18"/>
                <w:lang w:val="fr-FR"/>
              </w:rPr>
              <w:t>0</w:t>
            </w:r>
          </w:p>
        </w:tc>
      </w:tr>
      <w:tr w:rsidR="001519FB" w:rsidRPr="001519FB" w:rsidTr="001519FB">
        <w:tc>
          <w:tcPr>
            <w:tcW w:w="6010" w:type="dxa"/>
            <w:shd w:val="clear" w:color="auto" w:fill="auto"/>
          </w:tcPr>
          <w:p w:rsidR="00DD287A" w:rsidRPr="001519FB" w:rsidRDefault="001519FB" w:rsidP="00314385">
            <w:pPr>
              <w:tabs>
                <w:tab w:val="left" w:pos="284"/>
              </w:tabs>
              <w:suppressAutoHyphens w:val="0"/>
              <w:spacing w:before="38" w:after="38" w:line="220" w:lineRule="exact"/>
              <w:ind w:left="284" w:hanging="284"/>
              <w:rPr>
                <w:rFonts w:eastAsia="Calibri"/>
                <w:sz w:val="18"/>
              </w:rPr>
            </w:pPr>
            <w:r>
              <w:rPr>
                <w:sz w:val="18"/>
                <w:lang w:val="fr-FR"/>
              </w:rPr>
              <w:t>17.</w:t>
            </w:r>
            <w:r>
              <w:rPr>
                <w:sz w:val="18"/>
                <w:lang w:val="fr-FR"/>
              </w:rPr>
              <w:tab/>
            </w:r>
            <w:r w:rsidR="00DD287A" w:rsidRPr="001519FB">
              <w:rPr>
                <w:sz w:val="18"/>
                <w:lang w:val="fr-FR"/>
              </w:rPr>
              <w:t>Fiche d</w:t>
            </w:r>
            <w:r w:rsidR="000F2D25">
              <w:rPr>
                <w:sz w:val="18"/>
                <w:lang w:val="fr-FR"/>
              </w:rPr>
              <w:t>’</w:t>
            </w:r>
            <w:r w:rsidR="00DD287A" w:rsidRPr="001519FB">
              <w:rPr>
                <w:sz w:val="18"/>
                <w:lang w:val="fr-FR"/>
              </w:rPr>
              <w:t>information</w:t>
            </w:r>
            <w:r w:rsidR="000F2D25">
              <w:rPr>
                <w:sz w:val="18"/>
                <w:lang w:val="fr-FR"/>
              </w:rPr>
              <w:t> :</w:t>
            </w:r>
            <w:r w:rsidR="00DD287A" w:rsidRPr="001519FB">
              <w:rPr>
                <w:sz w:val="18"/>
                <w:lang w:val="fr-FR"/>
              </w:rPr>
              <w:t xml:space="preserve"> ce qu</w:t>
            </w:r>
            <w:r w:rsidR="000F2D25">
              <w:rPr>
                <w:sz w:val="18"/>
                <w:lang w:val="fr-FR"/>
              </w:rPr>
              <w:t>’</w:t>
            </w:r>
            <w:r w:rsidR="00DD287A" w:rsidRPr="001519FB">
              <w:rPr>
                <w:sz w:val="18"/>
                <w:lang w:val="fr-FR"/>
              </w:rPr>
              <w:t>il faut savoir sur les ceintures de sécurité</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0</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b/>
                <w:bCs/>
                <w:sz w:val="18"/>
                <w:szCs w:val="17"/>
              </w:rPr>
            </w:pPr>
            <w:r w:rsidRPr="001519FB">
              <w:rPr>
                <w:b/>
                <w:sz w:val="18"/>
                <w:lang w:val="fr-FR"/>
              </w:rPr>
              <w:t>1</w:t>
            </w:r>
          </w:p>
        </w:tc>
      </w:tr>
      <w:tr w:rsidR="001519FB" w:rsidRPr="001519FB" w:rsidTr="001519FB">
        <w:tc>
          <w:tcPr>
            <w:tcW w:w="6010" w:type="dxa"/>
            <w:shd w:val="clear" w:color="auto" w:fill="auto"/>
          </w:tcPr>
          <w:p w:rsidR="00DD287A" w:rsidRPr="001519FB" w:rsidRDefault="001519FB" w:rsidP="00E74F0A">
            <w:pPr>
              <w:tabs>
                <w:tab w:val="left" w:pos="284"/>
              </w:tabs>
              <w:suppressAutoHyphens w:val="0"/>
              <w:spacing w:before="38" w:after="38" w:line="220" w:lineRule="exact"/>
              <w:ind w:left="284" w:hanging="284"/>
              <w:rPr>
                <w:rFonts w:eastAsia="Calibri"/>
                <w:sz w:val="18"/>
              </w:rPr>
            </w:pPr>
            <w:r>
              <w:rPr>
                <w:sz w:val="18"/>
                <w:lang w:val="fr-FR"/>
              </w:rPr>
              <w:t>18.</w:t>
            </w:r>
            <w:r>
              <w:rPr>
                <w:sz w:val="18"/>
                <w:lang w:val="fr-FR"/>
              </w:rPr>
              <w:tab/>
            </w:r>
            <w:r w:rsidR="00DD287A" w:rsidRPr="001519FB">
              <w:rPr>
                <w:sz w:val="18"/>
                <w:lang w:val="fr-FR"/>
              </w:rPr>
              <w:t xml:space="preserve">Statistiques des transports </w:t>
            </w:r>
            <w:r w:rsidR="00E74F0A">
              <w:rPr>
                <w:sz w:val="18"/>
                <w:lang w:val="fr-FR"/>
              </w:rPr>
              <w:t>−</w:t>
            </w:r>
            <w:r w:rsidR="00DD287A" w:rsidRPr="001519FB">
              <w:rPr>
                <w:sz w:val="18"/>
                <w:lang w:val="fr-FR"/>
              </w:rPr>
              <w:t xml:space="preserve"> profils de pays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r w:rsidRPr="001519FB">
              <w:rPr>
                <w:sz w:val="18"/>
                <w:lang w:val="fr-FR"/>
              </w:rPr>
              <w:t>1</w:t>
            </w:r>
          </w:p>
        </w:tc>
      </w:tr>
      <w:tr w:rsidR="001519FB" w:rsidRPr="001519FB" w:rsidTr="001519FB">
        <w:tc>
          <w:tcPr>
            <w:tcW w:w="6010" w:type="dxa"/>
            <w:shd w:val="clear" w:color="auto" w:fill="auto"/>
          </w:tcPr>
          <w:p w:rsidR="00DD287A" w:rsidRPr="001519FB" w:rsidRDefault="00DD287A" w:rsidP="00314385">
            <w:pPr>
              <w:suppressAutoHyphens w:val="0"/>
              <w:spacing w:before="38" w:after="38" w:line="220" w:lineRule="exact"/>
              <w:rPr>
                <w:rFonts w:eastAsia="Calibri"/>
                <w:b/>
                <w:sz w:val="18"/>
              </w:rPr>
            </w:pPr>
            <w:r w:rsidRPr="001519FB">
              <w:rPr>
                <w:b/>
                <w:sz w:val="18"/>
                <w:lang w:val="fr-FR"/>
              </w:rPr>
              <w:t>Éléments à livrer non quantifiés</w:t>
            </w: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p>
        </w:tc>
        <w:tc>
          <w:tcPr>
            <w:tcW w:w="907" w:type="dxa"/>
            <w:shd w:val="clear" w:color="auto" w:fill="auto"/>
            <w:vAlign w:val="bottom"/>
          </w:tcPr>
          <w:p w:rsidR="00DD287A" w:rsidRPr="001519FB" w:rsidRDefault="00DD287A" w:rsidP="00314385">
            <w:pPr>
              <w:suppressAutoHyphens w:val="0"/>
              <w:spacing w:before="38" w:after="38" w:line="220" w:lineRule="exact"/>
              <w:jc w:val="right"/>
              <w:rPr>
                <w:rFonts w:eastAsia="Calibri"/>
                <w:sz w:val="18"/>
                <w:szCs w:val="17"/>
              </w:rPr>
            </w:pPr>
          </w:p>
        </w:tc>
      </w:tr>
      <w:tr w:rsidR="001519FB" w:rsidRPr="001519FB" w:rsidTr="001519FB">
        <w:tc>
          <w:tcPr>
            <w:tcW w:w="6010" w:type="dxa"/>
            <w:gridSpan w:val="5"/>
            <w:shd w:val="clear" w:color="auto" w:fill="auto"/>
          </w:tcPr>
          <w:p w:rsidR="001519FB" w:rsidRPr="001519FB" w:rsidRDefault="001519FB" w:rsidP="00314385">
            <w:pPr>
              <w:tabs>
                <w:tab w:val="left" w:pos="284"/>
              </w:tabs>
              <w:suppressAutoHyphens w:val="0"/>
              <w:spacing w:before="38" w:after="38" w:line="220" w:lineRule="exact"/>
              <w:ind w:left="284" w:hanging="284"/>
              <w:rPr>
                <w:sz w:val="18"/>
                <w:lang w:val="fr-FR"/>
              </w:rPr>
            </w:pPr>
            <w:r w:rsidRPr="001519FB">
              <w:rPr>
                <w:b/>
                <w:sz w:val="18"/>
                <w:lang w:val="fr-FR"/>
              </w:rPr>
              <w:t>C.</w:t>
            </w:r>
            <w:r w:rsidRPr="001519FB">
              <w:rPr>
                <w:b/>
                <w:sz w:val="18"/>
                <w:lang w:val="fr-FR"/>
              </w:rPr>
              <w:tab/>
              <w:t>Éléments</w:t>
            </w:r>
            <w:r w:rsidRPr="001519FB">
              <w:rPr>
                <w:b/>
                <w:bCs/>
                <w:sz w:val="18"/>
                <w:lang w:val="fr-FR"/>
              </w:rPr>
              <w:t xml:space="preserve"> à livrer de fond</w:t>
            </w:r>
            <w:r w:rsidR="000F2D25">
              <w:rPr>
                <w:b/>
                <w:bCs/>
                <w:sz w:val="18"/>
                <w:lang w:val="fr-FR"/>
              </w:rPr>
              <w:t> :</w:t>
            </w:r>
          </w:p>
        </w:tc>
      </w:tr>
      <w:tr w:rsidR="00DD287A" w:rsidRPr="001519FB" w:rsidTr="001519FB">
        <w:tc>
          <w:tcPr>
            <w:tcW w:w="6010" w:type="dxa"/>
            <w:gridSpan w:val="5"/>
            <w:shd w:val="clear" w:color="auto" w:fill="auto"/>
          </w:tcPr>
          <w:p w:rsidR="00DD287A" w:rsidRPr="001519FB" w:rsidRDefault="00DD287A" w:rsidP="00E120C0">
            <w:pPr>
              <w:pStyle w:val="Bullet1G"/>
              <w:spacing w:before="38" w:after="38"/>
              <w:ind w:left="170" w:right="0"/>
              <w:jc w:val="left"/>
              <w:rPr>
                <w:rFonts w:eastAsia="Calibri"/>
                <w:sz w:val="18"/>
                <w:szCs w:val="18"/>
              </w:rPr>
            </w:pPr>
            <w:r w:rsidRPr="001519FB">
              <w:rPr>
                <w:sz w:val="18"/>
                <w:szCs w:val="18"/>
                <w:lang w:val="fr-FR"/>
              </w:rPr>
              <w:t>Consultations, conseils et activités de promotion</w:t>
            </w:r>
            <w:r w:rsidR="000F2D25">
              <w:rPr>
                <w:sz w:val="18"/>
                <w:szCs w:val="18"/>
                <w:lang w:val="fr-FR"/>
              </w:rPr>
              <w:t> :</w:t>
            </w:r>
            <w:r w:rsidRPr="001519FB">
              <w:rPr>
                <w:sz w:val="18"/>
                <w:szCs w:val="18"/>
                <w:lang w:val="fr-FR"/>
              </w:rPr>
              <w:t xml:space="preserve"> services consultatifs à l’intention des Parties contractantes aux conventions des Nations Unies relatives aux transports administrées par la CEE concernant les instruments juridiques liés aux transports intérieurs, à la facilitation des transports</w:t>
            </w:r>
            <w:r w:rsidR="000F2D25">
              <w:rPr>
                <w:sz w:val="18"/>
                <w:szCs w:val="18"/>
                <w:lang w:val="fr-FR"/>
              </w:rPr>
              <w:t> ;</w:t>
            </w:r>
            <w:r w:rsidRPr="001519FB">
              <w:rPr>
                <w:sz w:val="18"/>
                <w:szCs w:val="18"/>
                <w:lang w:val="fr-FR"/>
              </w:rPr>
              <w:t xml:space="preserve"> au franchissement des frontières</w:t>
            </w:r>
            <w:r w:rsidR="000F2D25">
              <w:rPr>
                <w:sz w:val="18"/>
                <w:szCs w:val="18"/>
                <w:lang w:val="fr-FR"/>
              </w:rPr>
              <w:t> ;</w:t>
            </w:r>
            <w:r w:rsidRPr="001519FB">
              <w:rPr>
                <w:sz w:val="18"/>
                <w:szCs w:val="18"/>
                <w:lang w:val="fr-FR"/>
              </w:rPr>
              <w:t xml:space="preserve"> à la sécurité routière</w:t>
            </w:r>
            <w:r w:rsidR="000F2D25">
              <w:rPr>
                <w:sz w:val="18"/>
                <w:szCs w:val="18"/>
                <w:lang w:val="fr-FR"/>
              </w:rPr>
              <w:t> ;</w:t>
            </w:r>
            <w:r w:rsidRPr="001519FB">
              <w:rPr>
                <w:sz w:val="18"/>
                <w:szCs w:val="18"/>
                <w:lang w:val="fr-FR"/>
              </w:rPr>
              <w:t xml:space="preserve"> à la construction des véhicules</w:t>
            </w:r>
            <w:r w:rsidR="000F2D25">
              <w:rPr>
                <w:sz w:val="18"/>
                <w:szCs w:val="18"/>
                <w:lang w:val="fr-FR"/>
              </w:rPr>
              <w:t> ;</w:t>
            </w:r>
            <w:r w:rsidRPr="001519FB">
              <w:rPr>
                <w:sz w:val="18"/>
                <w:szCs w:val="18"/>
                <w:lang w:val="fr-FR"/>
              </w:rPr>
              <w:t xml:space="preserve"> et au transport des marchandises dangereuses et d’autres cargaisons spéciales</w:t>
            </w:r>
          </w:p>
        </w:tc>
      </w:tr>
      <w:tr w:rsidR="001519FB" w:rsidRPr="001519FB" w:rsidTr="001519FB">
        <w:tc>
          <w:tcPr>
            <w:tcW w:w="6010" w:type="dxa"/>
            <w:gridSpan w:val="5"/>
            <w:shd w:val="clear" w:color="auto" w:fill="auto"/>
          </w:tcPr>
          <w:p w:rsidR="001519FB" w:rsidRPr="001519FB" w:rsidRDefault="001519FB" w:rsidP="00E120C0">
            <w:pPr>
              <w:pStyle w:val="Bullet1G"/>
              <w:spacing w:before="38" w:after="38"/>
              <w:ind w:left="170" w:right="0"/>
              <w:jc w:val="left"/>
              <w:rPr>
                <w:sz w:val="18"/>
                <w:szCs w:val="18"/>
                <w:lang w:val="fr-FR"/>
              </w:rPr>
            </w:pPr>
            <w:r w:rsidRPr="001519FB">
              <w:rPr>
                <w:sz w:val="18"/>
                <w:szCs w:val="18"/>
                <w:lang w:val="fr-FR"/>
              </w:rPr>
              <w:t>Bases de données et supports numériques de fond</w:t>
            </w:r>
            <w:r w:rsidR="000F2D25">
              <w:rPr>
                <w:sz w:val="18"/>
                <w:szCs w:val="18"/>
                <w:lang w:val="fr-FR"/>
              </w:rPr>
              <w:t> :</w:t>
            </w:r>
            <w:r w:rsidRPr="001519FB">
              <w:rPr>
                <w:sz w:val="18"/>
                <w:szCs w:val="18"/>
                <w:lang w:val="fr-FR"/>
              </w:rPr>
              <w:t xml:space="preserve"> actualisation et gestion de la Banque de données internationale TIR sur les entreprises de transport, y compris sa version en ligne</w:t>
            </w:r>
            <w:r w:rsidR="000F2D25">
              <w:rPr>
                <w:sz w:val="18"/>
                <w:szCs w:val="18"/>
                <w:lang w:val="fr-FR"/>
              </w:rPr>
              <w:t> ;</w:t>
            </w:r>
            <w:r w:rsidRPr="001519FB">
              <w:rPr>
                <w:sz w:val="18"/>
                <w:szCs w:val="18"/>
                <w:lang w:val="fr-FR"/>
              </w:rPr>
              <w:t xml:space="preserve"> mise en place et gestion du projet de Banque de données internationale TIR en ligne</w:t>
            </w:r>
            <w:r w:rsidR="000F2D25">
              <w:rPr>
                <w:sz w:val="18"/>
                <w:szCs w:val="18"/>
                <w:lang w:val="fr-FR"/>
              </w:rPr>
              <w:t> ;</w:t>
            </w:r>
            <w:r w:rsidRPr="001519FB">
              <w:rPr>
                <w:sz w:val="18"/>
                <w:szCs w:val="18"/>
                <w:lang w:val="fr-FR"/>
              </w:rPr>
              <w:t xml:space="preserve"> registre en ligne des dispositifs de scellement douanier et des timbres douaniers</w:t>
            </w:r>
            <w:r w:rsidR="000F2D25">
              <w:rPr>
                <w:sz w:val="18"/>
                <w:szCs w:val="18"/>
                <w:lang w:val="fr-FR"/>
              </w:rPr>
              <w:t> ;</w:t>
            </w:r>
            <w:r w:rsidRPr="001519FB">
              <w:rPr>
                <w:sz w:val="18"/>
                <w:szCs w:val="18"/>
                <w:lang w:val="fr-FR"/>
              </w:rPr>
              <w:t xml:space="preserve"> site Web de la Convention TIR</w:t>
            </w:r>
            <w:r w:rsidR="000F2D25">
              <w:rPr>
                <w:sz w:val="18"/>
                <w:szCs w:val="18"/>
                <w:lang w:val="fr-FR"/>
              </w:rPr>
              <w:t> ;</w:t>
            </w:r>
            <w:r w:rsidRPr="001519FB">
              <w:rPr>
                <w:sz w:val="18"/>
                <w:szCs w:val="18"/>
                <w:lang w:val="fr-FR"/>
              </w:rPr>
              <w:t xml:space="preserve"> inventaire en ligne des normes concernant les infrastructures des voies de navigation intérieure</w:t>
            </w:r>
            <w:r w:rsidR="000F2D25">
              <w:rPr>
                <w:sz w:val="18"/>
                <w:szCs w:val="18"/>
                <w:lang w:val="fr-FR"/>
              </w:rPr>
              <w:t> ;</w:t>
            </w:r>
            <w:r w:rsidRPr="001519FB">
              <w:rPr>
                <w:sz w:val="18"/>
                <w:szCs w:val="18"/>
                <w:lang w:val="fr-FR"/>
              </w:rPr>
              <w:t xml:space="preserve"> Inventaire en ligne des normes et paramètres existants figurant dans l’Accord européen sur les grandes lignes internationales de chemin de fer (AGC) et l’Accord européen sur les grandes lignes de transport international combiné et les installations connexes (AGTC)</w:t>
            </w:r>
            <w:r w:rsidR="000F2D25">
              <w:rPr>
                <w:sz w:val="18"/>
                <w:szCs w:val="18"/>
                <w:lang w:val="fr-FR"/>
              </w:rPr>
              <w:t> ;</w:t>
            </w:r>
            <w:r w:rsidRPr="001519FB">
              <w:rPr>
                <w:sz w:val="18"/>
                <w:szCs w:val="18"/>
                <w:lang w:val="fr-FR"/>
              </w:rPr>
              <w:t xml:space="preserve"> bases de données sur les statistiques des transports, les accidents de la route, le transport des marchandises dangereuses, le transport des denrées périssables, le transport urbain et les transports et l’environnement</w:t>
            </w:r>
            <w:r w:rsidR="000F2D25">
              <w:rPr>
                <w:sz w:val="18"/>
                <w:szCs w:val="18"/>
                <w:lang w:val="fr-FR"/>
              </w:rPr>
              <w:t> ;</w:t>
            </w:r>
            <w:r w:rsidRPr="001519FB">
              <w:rPr>
                <w:sz w:val="18"/>
                <w:szCs w:val="18"/>
                <w:lang w:val="fr-FR"/>
              </w:rPr>
              <w:t xml:space="preserve"> mise au point et tenue à jour de l’Observatoire international en ligne de la sûreté des chemins de fer</w:t>
            </w:r>
            <w:r w:rsidR="000F2D25">
              <w:rPr>
                <w:sz w:val="18"/>
                <w:szCs w:val="18"/>
                <w:lang w:val="fr-FR"/>
              </w:rPr>
              <w:t> ;</w:t>
            </w:r>
            <w:r w:rsidRPr="001519FB">
              <w:rPr>
                <w:sz w:val="18"/>
                <w:szCs w:val="18"/>
                <w:lang w:val="fr-FR"/>
              </w:rPr>
              <w:t xml:space="preserve"> base de données pour l</w:t>
            </w:r>
            <w:r w:rsidR="000F2D25">
              <w:rPr>
                <w:sz w:val="18"/>
                <w:szCs w:val="18"/>
                <w:lang w:val="fr-FR"/>
              </w:rPr>
              <w:t>’</w:t>
            </w:r>
            <w:r w:rsidRPr="001519FB">
              <w:rPr>
                <w:sz w:val="18"/>
                <w:szCs w:val="18"/>
                <w:lang w:val="fr-FR"/>
              </w:rPr>
              <w:t>échange d</w:t>
            </w:r>
            <w:r w:rsidR="000F2D25">
              <w:rPr>
                <w:sz w:val="18"/>
                <w:szCs w:val="18"/>
                <w:lang w:val="fr-FR"/>
              </w:rPr>
              <w:t>’</w:t>
            </w:r>
            <w:r w:rsidRPr="001519FB">
              <w:rPr>
                <w:sz w:val="18"/>
                <w:szCs w:val="18"/>
                <w:lang w:val="fr-FR"/>
              </w:rPr>
              <w:t>informations concernant l</w:t>
            </w:r>
            <w:r w:rsidR="000F2D25">
              <w:rPr>
                <w:sz w:val="18"/>
                <w:szCs w:val="18"/>
                <w:lang w:val="fr-FR"/>
              </w:rPr>
              <w:t>’</w:t>
            </w:r>
            <w:r w:rsidRPr="001519FB">
              <w:rPr>
                <w:sz w:val="18"/>
                <w:szCs w:val="18"/>
                <w:lang w:val="fr-FR"/>
              </w:rPr>
              <w:t>homologation de type (DETA)</w:t>
            </w:r>
            <w:r w:rsidR="000F2D25">
              <w:rPr>
                <w:sz w:val="18"/>
                <w:szCs w:val="18"/>
                <w:lang w:val="fr-FR"/>
              </w:rPr>
              <w:t> ;</w:t>
            </w:r>
            <w:r w:rsidRPr="001519FB">
              <w:rPr>
                <w:sz w:val="18"/>
                <w:szCs w:val="18"/>
                <w:lang w:val="fr-FR"/>
              </w:rPr>
              <w:t xml:space="preserve"> version électronique de la Convention sur la signalisation routière (e-CoRSS).</w:t>
            </w:r>
          </w:p>
        </w:tc>
      </w:tr>
      <w:tr w:rsidR="001519FB" w:rsidRPr="001519FB" w:rsidTr="001519FB">
        <w:tc>
          <w:tcPr>
            <w:tcW w:w="6010" w:type="dxa"/>
            <w:shd w:val="clear" w:color="auto" w:fill="auto"/>
          </w:tcPr>
          <w:p w:rsidR="00DD287A" w:rsidRPr="001519FB" w:rsidRDefault="00DD287A" w:rsidP="00314385">
            <w:pPr>
              <w:keepNext/>
              <w:keepLines/>
              <w:tabs>
                <w:tab w:val="left" w:pos="284"/>
              </w:tabs>
              <w:suppressAutoHyphens w:val="0"/>
              <w:spacing w:before="38" w:after="38" w:line="220" w:lineRule="exact"/>
              <w:ind w:left="284" w:hanging="284"/>
              <w:rPr>
                <w:rFonts w:eastAsia="Calibri"/>
                <w:b/>
                <w:sz w:val="18"/>
              </w:rPr>
            </w:pPr>
            <w:r w:rsidRPr="001519FB">
              <w:rPr>
                <w:b/>
                <w:sz w:val="18"/>
                <w:lang w:val="fr-FR"/>
              </w:rPr>
              <w:t>D.</w:t>
            </w:r>
            <w:r w:rsidRPr="001519FB">
              <w:rPr>
                <w:b/>
                <w:sz w:val="18"/>
                <w:lang w:val="fr-FR"/>
              </w:rPr>
              <w:tab/>
              <w:t>Activités</w:t>
            </w:r>
            <w:r w:rsidRPr="001519FB">
              <w:rPr>
                <w:b/>
                <w:bCs/>
                <w:sz w:val="18"/>
                <w:lang w:val="fr-FR"/>
              </w:rPr>
              <w:t xml:space="preserve"> de communication</w:t>
            </w:r>
            <w:r w:rsidR="000F2D25">
              <w:rPr>
                <w:b/>
                <w:bCs/>
                <w:sz w:val="18"/>
                <w:lang w:val="fr-FR"/>
              </w:rPr>
              <w:t> :</w:t>
            </w:r>
          </w:p>
        </w:tc>
        <w:tc>
          <w:tcPr>
            <w:tcW w:w="907" w:type="dxa"/>
            <w:shd w:val="clear" w:color="auto" w:fill="auto"/>
            <w:vAlign w:val="bottom"/>
          </w:tcPr>
          <w:p w:rsidR="00DD287A" w:rsidRPr="001519FB" w:rsidRDefault="00DD287A" w:rsidP="00314385">
            <w:pPr>
              <w:keepNext/>
              <w:keepLines/>
              <w:suppressAutoHyphens w:val="0"/>
              <w:spacing w:before="38" w:after="38" w:line="220" w:lineRule="exact"/>
              <w:jc w:val="right"/>
              <w:rPr>
                <w:rFonts w:eastAsia="Calibri"/>
                <w:sz w:val="18"/>
                <w:szCs w:val="17"/>
              </w:rPr>
            </w:pPr>
          </w:p>
        </w:tc>
        <w:tc>
          <w:tcPr>
            <w:tcW w:w="907" w:type="dxa"/>
            <w:shd w:val="clear" w:color="auto" w:fill="auto"/>
            <w:vAlign w:val="bottom"/>
          </w:tcPr>
          <w:p w:rsidR="00DD287A" w:rsidRPr="001519FB" w:rsidRDefault="00DD287A" w:rsidP="00314385">
            <w:pPr>
              <w:keepNext/>
              <w:keepLines/>
              <w:suppressAutoHyphens w:val="0"/>
              <w:spacing w:before="38" w:after="38" w:line="220" w:lineRule="exact"/>
              <w:jc w:val="right"/>
              <w:rPr>
                <w:rFonts w:eastAsia="Calibri"/>
                <w:sz w:val="18"/>
                <w:szCs w:val="17"/>
              </w:rPr>
            </w:pPr>
          </w:p>
        </w:tc>
        <w:tc>
          <w:tcPr>
            <w:tcW w:w="907" w:type="dxa"/>
            <w:shd w:val="clear" w:color="auto" w:fill="auto"/>
            <w:vAlign w:val="bottom"/>
          </w:tcPr>
          <w:p w:rsidR="00DD287A" w:rsidRPr="001519FB" w:rsidRDefault="00DD287A" w:rsidP="00314385">
            <w:pPr>
              <w:keepNext/>
              <w:keepLines/>
              <w:suppressAutoHyphens w:val="0"/>
              <w:spacing w:before="38" w:after="38" w:line="220" w:lineRule="exact"/>
              <w:jc w:val="right"/>
              <w:rPr>
                <w:rFonts w:eastAsia="Calibri"/>
                <w:sz w:val="18"/>
                <w:szCs w:val="17"/>
              </w:rPr>
            </w:pPr>
          </w:p>
        </w:tc>
        <w:tc>
          <w:tcPr>
            <w:tcW w:w="907" w:type="dxa"/>
            <w:shd w:val="clear" w:color="auto" w:fill="auto"/>
            <w:vAlign w:val="bottom"/>
          </w:tcPr>
          <w:p w:rsidR="00DD287A" w:rsidRPr="001519FB" w:rsidRDefault="00DD287A" w:rsidP="00314385">
            <w:pPr>
              <w:keepNext/>
              <w:keepLines/>
              <w:suppressAutoHyphens w:val="0"/>
              <w:spacing w:before="38" w:after="38" w:line="220" w:lineRule="exact"/>
              <w:jc w:val="right"/>
              <w:rPr>
                <w:rFonts w:eastAsia="Calibri"/>
                <w:sz w:val="18"/>
                <w:szCs w:val="17"/>
              </w:rPr>
            </w:pPr>
          </w:p>
        </w:tc>
      </w:tr>
      <w:tr w:rsidR="00DD287A" w:rsidRPr="001519FB" w:rsidTr="001519FB">
        <w:tc>
          <w:tcPr>
            <w:tcW w:w="6010" w:type="dxa"/>
            <w:gridSpan w:val="5"/>
            <w:shd w:val="clear" w:color="auto" w:fill="auto"/>
          </w:tcPr>
          <w:p w:rsidR="00DD287A" w:rsidRPr="001519FB" w:rsidRDefault="00DD287A" w:rsidP="00E120C0">
            <w:pPr>
              <w:pStyle w:val="Bullet1G"/>
              <w:keepNext/>
              <w:keepLines/>
              <w:spacing w:before="38" w:after="38"/>
              <w:ind w:left="170" w:right="0"/>
              <w:jc w:val="left"/>
              <w:rPr>
                <w:sz w:val="18"/>
                <w:szCs w:val="18"/>
                <w:lang w:val="fr-FR"/>
              </w:rPr>
            </w:pPr>
            <w:r w:rsidRPr="001519FB">
              <w:rPr>
                <w:sz w:val="18"/>
                <w:szCs w:val="18"/>
                <w:lang w:val="fr-FR"/>
              </w:rPr>
              <w:t>Programmes de sensibilisation, manifestations spéciales et documents d</w:t>
            </w:r>
            <w:r w:rsidR="000F2D25">
              <w:rPr>
                <w:sz w:val="18"/>
                <w:szCs w:val="18"/>
                <w:lang w:val="fr-FR"/>
              </w:rPr>
              <w:t>’</w:t>
            </w:r>
            <w:r w:rsidRPr="001519FB">
              <w:rPr>
                <w:sz w:val="18"/>
                <w:szCs w:val="18"/>
                <w:lang w:val="fr-FR"/>
              </w:rPr>
              <w:t>information</w:t>
            </w:r>
            <w:r w:rsidR="000F2D25">
              <w:rPr>
                <w:sz w:val="18"/>
                <w:szCs w:val="18"/>
                <w:lang w:val="fr-FR"/>
              </w:rPr>
              <w:t> :</w:t>
            </w:r>
            <w:r w:rsidRPr="001519FB">
              <w:rPr>
                <w:sz w:val="18"/>
                <w:szCs w:val="18"/>
                <w:lang w:val="fr-FR"/>
              </w:rPr>
              <w:t xml:space="preserve"> documents d</w:t>
            </w:r>
            <w:r w:rsidR="000F2D25">
              <w:rPr>
                <w:sz w:val="18"/>
                <w:szCs w:val="18"/>
                <w:lang w:val="fr-FR"/>
              </w:rPr>
              <w:t>’</w:t>
            </w:r>
            <w:r w:rsidRPr="001519FB">
              <w:rPr>
                <w:sz w:val="18"/>
                <w:szCs w:val="18"/>
                <w:lang w:val="fr-FR"/>
              </w:rPr>
              <w:t>information sur les instruments juridiques et les activités du sous-programme</w:t>
            </w:r>
          </w:p>
        </w:tc>
      </w:tr>
      <w:tr w:rsidR="00DD287A" w:rsidRPr="001519FB" w:rsidTr="001519FB">
        <w:tc>
          <w:tcPr>
            <w:tcW w:w="6010" w:type="dxa"/>
            <w:gridSpan w:val="5"/>
            <w:shd w:val="clear" w:color="auto" w:fill="auto"/>
          </w:tcPr>
          <w:p w:rsidR="00DD287A" w:rsidRPr="001519FB" w:rsidRDefault="00DD287A" w:rsidP="00E120C0">
            <w:pPr>
              <w:pStyle w:val="Bullet1G"/>
              <w:keepNext/>
              <w:keepLines/>
              <w:spacing w:before="38" w:after="38"/>
              <w:ind w:left="170" w:right="0"/>
              <w:jc w:val="left"/>
              <w:rPr>
                <w:sz w:val="18"/>
                <w:szCs w:val="18"/>
                <w:lang w:val="fr-FR"/>
              </w:rPr>
            </w:pPr>
            <w:r w:rsidRPr="001519FB">
              <w:rPr>
                <w:sz w:val="18"/>
                <w:szCs w:val="18"/>
                <w:lang w:val="fr-FR"/>
              </w:rPr>
              <w:t>Relations extérieures et relations avec les médias</w:t>
            </w:r>
            <w:r w:rsidR="000F2D25">
              <w:rPr>
                <w:sz w:val="18"/>
                <w:szCs w:val="18"/>
                <w:lang w:val="fr-FR"/>
              </w:rPr>
              <w:t> :</w:t>
            </w:r>
            <w:r w:rsidRPr="001519FB">
              <w:rPr>
                <w:sz w:val="18"/>
                <w:szCs w:val="18"/>
                <w:lang w:val="fr-FR"/>
              </w:rPr>
              <w:t xml:space="preserve"> série annuelle de communiqués de presse pour le sous-programme</w:t>
            </w:r>
          </w:p>
        </w:tc>
      </w:tr>
      <w:tr w:rsidR="001519FB" w:rsidRPr="001519FB" w:rsidTr="001519FB">
        <w:tc>
          <w:tcPr>
            <w:tcW w:w="6010" w:type="dxa"/>
            <w:gridSpan w:val="5"/>
            <w:tcBorders>
              <w:bottom w:val="single" w:sz="12" w:space="0" w:color="auto"/>
            </w:tcBorders>
            <w:shd w:val="clear" w:color="auto" w:fill="auto"/>
          </w:tcPr>
          <w:p w:rsidR="001519FB" w:rsidRPr="001519FB" w:rsidRDefault="001519FB" w:rsidP="00E74F0A">
            <w:pPr>
              <w:pStyle w:val="Bullet1G"/>
              <w:spacing w:before="38" w:after="38"/>
              <w:ind w:left="170" w:right="0"/>
              <w:jc w:val="left"/>
              <w:rPr>
                <w:sz w:val="18"/>
                <w:szCs w:val="18"/>
                <w:lang w:val="fr-FR"/>
              </w:rPr>
            </w:pPr>
            <w:r w:rsidRPr="001519FB">
              <w:rPr>
                <w:sz w:val="18"/>
                <w:szCs w:val="18"/>
                <w:lang w:val="fr-FR"/>
              </w:rPr>
              <w:t>Plateformes numériques et contenu multimédia</w:t>
            </w:r>
            <w:r w:rsidR="000F2D25">
              <w:rPr>
                <w:sz w:val="18"/>
                <w:szCs w:val="18"/>
                <w:lang w:val="fr-FR"/>
              </w:rPr>
              <w:t> :</w:t>
            </w:r>
            <w:r w:rsidRPr="001519FB">
              <w:rPr>
                <w:sz w:val="18"/>
                <w:szCs w:val="18"/>
                <w:lang w:val="fr-FR"/>
              </w:rPr>
              <w:t xml:space="preserve"> plateformes numériques et contenu multimédia sur les transports et la mobilité durables</w:t>
            </w:r>
            <w:r w:rsidR="000F2D25">
              <w:rPr>
                <w:sz w:val="18"/>
                <w:szCs w:val="18"/>
                <w:lang w:val="fr-FR"/>
              </w:rPr>
              <w:t> ;</w:t>
            </w:r>
            <w:r w:rsidRPr="001519FB">
              <w:rPr>
                <w:sz w:val="18"/>
                <w:szCs w:val="18"/>
                <w:lang w:val="fr-FR"/>
              </w:rPr>
              <w:t xml:space="preserve"> actualisation et gestion du site Web du sous-programme</w:t>
            </w:r>
          </w:p>
        </w:tc>
      </w:tr>
    </w:tbl>
    <w:p w:rsidR="00DD287A" w:rsidRPr="001519FB" w:rsidRDefault="001519FB" w:rsidP="00314385">
      <w:pPr>
        <w:pStyle w:val="SingleTxtG"/>
        <w:spacing w:before="38" w:after="38"/>
        <w:jc w:val="center"/>
        <w:rPr>
          <w:u w:val="single"/>
        </w:rPr>
      </w:pPr>
      <w:r>
        <w:rPr>
          <w:u w:val="single"/>
        </w:rPr>
        <w:tab/>
      </w:r>
      <w:r>
        <w:rPr>
          <w:u w:val="single"/>
        </w:rPr>
        <w:tab/>
      </w:r>
      <w:r>
        <w:rPr>
          <w:u w:val="single"/>
        </w:rPr>
        <w:tab/>
      </w:r>
    </w:p>
    <w:sectPr w:rsidR="00DD287A" w:rsidRPr="001519FB" w:rsidSect="002D27AF">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7A" w:rsidRDefault="00513F7A" w:rsidP="00F95C08">
      <w:pPr>
        <w:spacing w:line="240" w:lineRule="auto"/>
      </w:pPr>
    </w:p>
  </w:endnote>
  <w:endnote w:type="continuationSeparator" w:id="0">
    <w:p w:rsidR="00513F7A" w:rsidRPr="00AC3823" w:rsidRDefault="00513F7A" w:rsidP="00AC3823">
      <w:pPr>
        <w:pStyle w:val="Pieddepage"/>
      </w:pPr>
    </w:p>
  </w:endnote>
  <w:endnote w:type="continuationNotice" w:id="1">
    <w:p w:rsidR="00513F7A" w:rsidRDefault="00513F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7A" w:rsidRPr="00EA5218" w:rsidRDefault="00513F7A" w:rsidP="00EA5218">
    <w:pPr>
      <w:pStyle w:val="Pieddepage"/>
      <w:tabs>
        <w:tab w:val="right" w:pos="9638"/>
      </w:tabs>
    </w:pPr>
    <w:r w:rsidRPr="00EA5218">
      <w:rPr>
        <w:b/>
        <w:sz w:val="18"/>
      </w:rPr>
      <w:fldChar w:fldCharType="begin"/>
    </w:r>
    <w:r w:rsidRPr="00EA5218">
      <w:rPr>
        <w:b/>
        <w:sz w:val="18"/>
      </w:rPr>
      <w:instrText xml:space="preserve"> PAGE  \* MERGEFORMAT </w:instrText>
    </w:r>
    <w:r w:rsidRPr="00EA5218">
      <w:rPr>
        <w:b/>
        <w:sz w:val="18"/>
      </w:rPr>
      <w:fldChar w:fldCharType="separate"/>
    </w:r>
    <w:r w:rsidR="00D14A3F">
      <w:rPr>
        <w:b/>
        <w:noProof/>
        <w:sz w:val="18"/>
      </w:rPr>
      <w:t>10</w:t>
    </w:r>
    <w:r w:rsidRPr="00EA5218">
      <w:rPr>
        <w:b/>
        <w:sz w:val="18"/>
      </w:rPr>
      <w:fldChar w:fldCharType="end"/>
    </w:r>
    <w:r>
      <w:rPr>
        <w:b/>
        <w:sz w:val="18"/>
      </w:rPr>
      <w:tab/>
    </w:r>
    <w:r>
      <w:t>GE.18-20657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7A" w:rsidRPr="00EA5218" w:rsidRDefault="00513F7A" w:rsidP="00EA5218">
    <w:pPr>
      <w:pStyle w:val="Pieddepage"/>
      <w:tabs>
        <w:tab w:val="right" w:pos="9638"/>
      </w:tabs>
      <w:rPr>
        <w:b/>
        <w:sz w:val="18"/>
      </w:rPr>
    </w:pPr>
    <w:r>
      <w:t>GE.18-20657</w:t>
    </w:r>
    <w:r>
      <w:tab/>
    </w:r>
    <w:r w:rsidRPr="00EA5218">
      <w:rPr>
        <w:b/>
        <w:sz w:val="18"/>
      </w:rPr>
      <w:fldChar w:fldCharType="begin"/>
    </w:r>
    <w:r w:rsidRPr="00EA5218">
      <w:rPr>
        <w:b/>
        <w:sz w:val="18"/>
      </w:rPr>
      <w:instrText xml:space="preserve"> PAGE  \* MERGEFORMAT </w:instrText>
    </w:r>
    <w:r w:rsidRPr="00EA5218">
      <w:rPr>
        <w:b/>
        <w:sz w:val="18"/>
      </w:rPr>
      <w:fldChar w:fldCharType="separate"/>
    </w:r>
    <w:r w:rsidR="00D14A3F">
      <w:rPr>
        <w:b/>
        <w:noProof/>
        <w:sz w:val="18"/>
      </w:rPr>
      <w:t>11</w:t>
    </w:r>
    <w:r w:rsidRPr="00EA52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7A" w:rsidRPr="00EA5218" w:rsidRDefault="00513F7A" w:rsidP="00EA5218">
    <w:pPr>
      <w:pStyle w:val="Pieddepage"/>
      <w:spacing w:before="120"/>
      <w:rPr>
        <w:sz w:val="20"/>
      </w:rPr>
    </w:pPr>
    <w:r>
      <w:rPr>
        <w:sz w:val="20"/>
      </w:rPr>
      <w:t>GE.</w:t>
    </w:r>
    <w:r>
      <w:rPr>
        <w:noProof/>
        <w:lang w:eastAsia="ja-JP"/>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18-20657  (F)</w:t>
    </w:r>
    <w:r w:rsidR="001B4D3E">
      <w:rPr>
        <w:sz w:val="20"/>
      </w:rPr>
      <w:t xml:space="preserve">    191218    070119</w:t>
    </w:r>
    <w:r>
      <w:rPr>
        <w:sz w:val="20"/>
      </w:rPr>
      <w:br/>
    </w:r>
    <w:r w:rsidRPr="00EA5218">
      <w:rPr>
        <w:rFonts w:ascii="C39T30Lfz" w:hAnsi="C39T30Lfz"/>
        <w:sz w:val="56"/>
      </w:rPr>
      <w:t></w:t>
    </w:r>
    <w:r w:rsidRPr="00EA5218">
      <w:rPr>
        <w:rFonts w:ascii="C39T30Lfz" w:hAnsi="C39T30Lfz"/>
        <w:sz w:val="56"/>
      </w:rPr>
      <w:t></w:t>
    </w:r>
    <w:r w:rsidRPr="00EA5218">
      <w:rPr>
        <w:rFonts w:ascii="C39T30Lfz" w:hAnsi="C39T30Lfz"/>
        <w:sz w:val="56"/>
      </w:rPr>
      <w:t></w:t>
    </w:r>
    <w:r w:rsidRPr="00EA5218">
      <w:rPr>
        <w:rFonts w:ascii="C39T30Lfz" w:hAnsi="C39T30Lfz"/>
        <w:sz w:val="56"/>
      </w:rPr>
      <w:t></w:t>
    </w:r>
    <w:r w:rsidRPr="00EA5218">
      <w:rPr>
        <w:rFonts w:ascii="C39T30Lfz" w:hAnsi="C39T30Lfz"/>
        <w:sz w:val="56"/>
      </w:rPr>
      <w:t></w:t>
    </w:r>
    <w:r w:rsidRPr="00EA5218">
      <w:rPr>
        <w:rFonts w:ascii="C39T30Lfz" w:hAnsi="C39T30Lfz"/>
        <w:sz w:val="56"/>
      </w:rPr>
      <w:t></w:t>
    </w:r>
    <w:r w:rsidRPr="00EA5218">
      <w:rPr>
        <w:rFonts w:ascii="C39T30Lfz" w:hAnsi="C39T30Lfz"/>
        <w:sz w:val="56"/>
      </w:rPr>
      <w:t></w:t>
    </w:r>
    <w:r w:rsidRPr="00EA5218">
      <w:rPr>
        <w:rFonts w:ascii="C39T30Lfz" w:hAnsi="C39T30Lfz"/>
        <w:sz w:val="56"/>
      </w:rPr>
      <w:t></w:t>
    </w:r>
    <w:r w:rsidRPr="00EA5218">
      <w:rPr>
        <w:rFonts w:ascii="C39T30Lfz" w:hAnsi="C39T30Lfz"/>
        <w:sz w:val="56"/>
      </w:rPr>
      <w:t></w:t>
    </w:r>
    <w:r>
      <w:rPr>
        <w:noProof/>
        <w:sz w:val="20"/>
        <w:lang w:eastAsia="ja-JP"/>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7A" w:rsidRPr="00AC3823" w:rsidRDefault="00513F7A" w:rsidP="00AC3823">
      <w:pPr>
        <w:pStyle w:val="Pieddepage"/>
        <w:tabs>
          <w:tab w:val="right" w:pos="2155"/>
        </w:tabs>
        <w:spacing w:after="80" w:line="240" w:lineRule="atLeast"/>
        <w:ind w:left="680"/>
        <w:rPr>
          <w:u w:val="single"/>
        </w:rPr>
      </w:pPr>
      <w:r>
        <w:rPr>
          <w:u w:val="single"/>
        </w:rPr>
        <w:tab/>
      </w:r>
    </w:p>
  </w:footnote>
  <w:footnote w:type="continuationSeparator" w:id="0">
    <w:p w:rsidR="00513F7A" w:rsidRPr="00AC3823" w:rsidRDefault="00513F7A" w:rsidP="00AC3823">
      <w:pPr>
        <w:pStyle w:val="Pieddepage"/>
        <w:tabs>
          <w:tab w:val="right" w:pos="2155"/>
        </w:tabs>
        <w:spacing w:after="80" w:line="240" w:lineRule="atLeast"/>
        <w:ind w:left="680"/>
        <w:rPr>
          <w:u w:val="single"/>
        </w:rPr>
      </w:pPr>
      <w:r>
        <w:rPr>
          <w:u w:val="single"/>
        </w:rPr>
        <w:tab/>
      </w:r>
    </w:p>
  </w:footnote>
  <w:footnote w:type="continuationNotice" w:id="1">
    <w:p w:rsidR="00513F7A" w:rsidRPr="00AC3823" w:rsidRDefault="00513F7A">
      <w:pPr>
        <w:spacing w:line="240" w:lineRule="auto"/>
        <w:rPr>
          <w:sz w:val="2"/>
          <w:szCs w:val="2"/>
        </w:rPr>
      </w:pPr>
    </w:p>
  </w:footnote>
  <w:footnote w:id="2">
    <w:p w:rsidR="00513F7A" w:rsidRPr="00A938BE" w:rsidRDefault="00513F7A" w:rsidP="00427C55">
      <w:pPr>
        <w:pStyle w:val="Notedebasdepage"/>
      </w:pPr>
      <w:r>
        <w:rPr>
          <w:lang w:val="fr-FR"/>
        </w:rPr>
        <w:tab/>
      </w:r>
      <w:r w:rsidRPr="00427C55">
        <w:rPr>
          <w:rStyle w:val="Appelnotedebasdep"/>
        </w:rPr>
        <w:footnoteRef/>
      </w:r>
      <w:r>
        <w:rPr>
          <w:lang w:val="fr-FR"/>
        </w:rPr>
        <w:tab/>
        <w:t xml:space="preserve">Les annexes sont reproduites telles qu’elles ont été reçues. </w:t>
      </w:r>
    </w:p>
  </w:footnote>
  <w:footnote w:id="3">
    <w:p w:rsidR="00513F7A" w:rsidRPr="00C610BE" w:rsidRDefault="00513F7A" w:rsidP="00427C55">
      <w:pPr>
        <w:pStyle w:val="Notedebasdepage"/>
      </w:pPr>
      <w:r>
        <w:rPr>
          <w:lang w:val="fr-FR"/>
        </w:rPr>
        <w:tab/>
      </w:r>
      <w:r w:rsidRPr="00427C55">
        <w:rPr>
          <w:rStyle w:val="Appelnotedebasdep"/>
        </w:rPr>
        <w:footnoteRef/>
      </w:r>
      <w:r>
        <w:rPr>
          <w:lang w:val="fr-FR"/>
        </w:rPr>
        <w:tab/>
        <w:t>Les montants effectifs pour 2018 et les montants prévus pour 2020 pour les éléments à livrer des sous-programmes seront définitivement arrêtés d</w:t>
      </w:r>
      <w:r w:rsidR="000F2D25">
        <w:rPr>
          <w:lang w:val="fr-FR"/>
        </w:rPr>
        <w:t>’</w:t>
      </w:r>
      <w:r>
        <w:rPr>
          <w:lang w:val="fr-FR"/>
        </w:rPr>
        <w:t>ici à la fin de 2018 sur la base des instructions budgétaires officielles données par la Contrôleuse de l</w:t>
      </w:r>
      <w:r w:rsidR="000F2D25">
        <w:rPr>
          <w:lang w:val="fr-FR"/>
        </w:rPr>
        <w:t>’</w:t>
      </w:r>
      <w:r>
        <w:rPr>
          <w:lang w:val="fr-FR"/>
        </w:rPr>
        <w:t>ONU.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7A" w:rsidRPr="00EA5218" w:rsidRDefault="00513F7A">
    <w:pPr>
      <w:pStyle w:val="En-tte"/>
    </w:pPr>
    <w:fldSimple w:instr=" TITLE  \* MERGEFORMAT ">
      <w:r w:rsidR="00D14A3F">
        <w:t>ECE/TRANS/2019/24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7A" w:rsidRPr="00EA5218" w:rsidRDefault="00513F7A" w:rsidP="00EA5218">
    <w:pPr>
      <w:pStyle w:val="En-tte"/>
      <w:jc w:val="right"/>
    </w:pPr>
    <w:fldSimple w:instr=" TITLE  \* MERGEFORMAT ">
      <w:r w:rsidR="00D14A3F">
        <w:t>ECE/TRANS/2019/24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DC"/>
    <w:rsid w:val="00007B86"/>
    <w:rsid w:val="00017F94"/>
    <w:rsid w:val="00023842"/>
    <w:rsid w:val="000334F9"/>
    <w:rsid w:val="00045FEB"/>
    <w:rsid w:val="00050ADB"/>
    <w:rsid w:val="0007796D"/>
    <w:rsid w:val="000B7790"/>
    <w:rsid w:val="000F2D25"/>
    <w:rsid w:val="00111F2F"/>
    <w:rsid w:val="0014365E"/>
    <w:rsid w:val="00143C66"/>
    <w:rsid w:val="001519FB"/>
    <w:rsid w:val="00154E68"/>
    <w:rsid w:val="00173BDC"/>
    <w:rsid w:val="00176178"/>
    <w:rsid w:val="00183E08"/>
    <w:rsid w:val="001908E2"/>
    <w:rsid w:val="001B4D3E"/>
    <w:rsid w:val="001F525A"/>
    <w:rsid w:val="00200F9E"/>
    <w:rsid w:val="00223272"/>
    <w:rsid w:val="0024779E"/>
    <w:rsid w:val="00257168"/>
    <w:rsid w:val="002744B8"/>
    <w:rsid w:val="002832AC"/>
    <w:rsid w:val="002D27AF"/>
    <w:rsid w:val="002D7C93"/>
    <w:rsid w:val="00305801"/>
    <w:rsid w:val="00314385"/>
    <w:rsid w:val="003916DE"/>
    <w:rsid w:val="00421996"/>
    <w:rsid w:val="00427C55"/>
    <w:rsid w:val="00433F1C"/>
    <w:rsid w:val="00441C3B"/>
    <w:rsid w:val="00446FE5"/>
    <w:rsid w:val="00452396"/>
    <w:rsid w:val="004837D8"/>
    <w:rsid w:val="004977BD"/>
    <w:rsid w:val="004E2EED"/>
    <w:rsid w:val="004E468C"/>
    <w:rsid w:val="004F5BB3"/>
    <w:rsid w:val="00513F7A"/>
    <w:rsid w:val="005505B7"/>
    <w:rsid w:val="00573BE5"/>
    <w:rsid w:val="00586ED3"/>
    <w:rsid w:val="00596AA9"/>
    <w:rsid w:val="005B26DA"/>
    <w:rsid w:val="005C6FFE"/>
    <w:rsid w:val="005F6821"/>
    <w:rsid w:val="00611B99"/>
    <w:rsid w:val="00621072"/>
    <w:rsid w:val="006576B4"/>
    <w:rsid w:val="0067413D"/>
    <w:rsid w:val="006D3CDF"/>
    <w:rsid w:val="0071601D"/>
    <w:rsid w:val="007445FE"/>
    <w:rsid w:val="00770544"/>
    <w:rsid w:val="00795F02"/>
    <w:rsid w:val="007A62E6"/>
    <w:rsid w:val="007B2DB5"/>
    <w:rsid w:val="007F20FA"/>
    <w:rsid w:val="00802B07"/>
    <w:rsid w:val="0080684C"/>
    <w:rsid w:val="00806977"/>
    <w:rsid w:val="00810CED"/>
    <w:rsid w:val="00871C75"/>
    <w:rsid w:val="008776DC"/>
    <w:rsid w:val="00892BD4"/>
    <w:rsid w:val="008A49F5"/>
    <w:rsid w:val="008D66F7"/>
    <w:rsid w:val="00911A38"/>
    <w:rsid w:val="00936026"/>
    <w:rsid w:val="009446C0"/>
    <w:rsid w:val="009705C8"/>
    <w:rsid w:val="00997E89"/>
    <w:rsid w:val="009C0600"/>
    <w:rsid w:val="009C1CF4"/>
    <w:rsid w:val="009F2008"/>
    <w:rsid w:val="009F6B74"/>
    <w:rsid w:val="00A3029F"/>
    <w:rsid w:val="00A30353"/>
    <w:rsid w:val="00AC3823"/>
    <w:rsid w:val="00AC4BD3"/>
    <w:rsid w:val="00AE323C"/>
    <w:rsid w:val="00AF0CB5"/>
    <w:rsid w:val="00B00181"/>
    <w:rsid w:val="00B00B0D"/>
    <w:rsid w:val="00B161C4"/>
    <w:rsid w:val="00B45F2E"/>
    <w:rsid w:val="00B765F7"/>
    <w:rsid w:val="00B80639"/>
    <w:rsid w:val="00BA0CA9"/>
    <w:rsid w:val="00BC6C65"/>
    <w:rsid w:val="00C02897"/>
    <w:rsid w:val="00C60233"/>
    <w:rsid w:val="00C77192"/>
    <w:rsid w:val="00C97039"/>
    <w:rsid w:val="00D14A3F"/>
    <w:rsid w:val="00D3439C"/>
    <w:rsid w:val="00D63F59"/>
    <w:rsid w:val="00D6734F"/>
    <w:rsid w:val="00D85309"/>
    <w:rsid w:val="00DB1831"/>
    <w:rsid w:val="00DB4171"/>
    <w:rsid w:val="00DD287A"/>
    <w:rsid w:val="00DD3BFD"/>
    <w:rsid w:val="00DF6678"/>
    <w:rsid w:val="00E0299A"/>
    <w:rsid w:val="00E120C0"/>
    <w:rsid w:val="00E558E5"/>
    <w:rsid w:val="00E74F0A"/>
    <w:rsid w:val="00E85C74"/>
    <w:rsid w:val="00EA5218"/>
    <w:rsid w:val="00EA6547"/>
    <w:rsid w:val="00EF2E22"/>
    <w:rsid w:val="00F35BAF"/>
    <w:rsid w:val="00F660DF"/>
    <w:rsid w:val="00F864B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0EFBEDB"/>
  <w15:docId w15:val="{AD8BEB14-9DA3-4AEA-B6A2-EE4F3E7F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customStyle="1" w:styleId="TableGrid1">
    <w:name w:val="Table Grid1"/>
    <w:basedOn w:val="TableauNormal"/>
    <w:next w:val="Grilledutableau"/>
    <w:rsid w:val="00DD287A"/>
    <w:pPr>
      <w:suppressAutoHyphens/>
      <w:spacing w:after="0" w:line="240" w:lineRule="exac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undocs.org/fr/A/RES/69/137" TargetMode="External"/><Relationship Id="rId39" Type="http://schemas.openxmlformats.org/officeDocument/2006/relationships/hyperlink" Target="https://undocs.org/fr/ECE/TRANS/248"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un.org/ga/search/view_doc.asp?symbol=E/RES/2013/7&amp;Lang=F" TargetMode="External"/><Relationship Id="rId42" Type="http://schemas.openxmlformats.org/officeDocument/2006/relationships/hyperlink" Target="https://undocs.org/fr/ECE/TRANS/274" TargetMode="External"/><Relationship Id="rId47" Type="http://schemas.openxmlformats.org/officeDocument/2006/relationships/hyperlink" Target="https://undocs.org/fr/ECE/TRANS/ADN/CONF/10/Add.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undocs.org/fr/A/RES/68/269" TargetMode="External"/><Relationship Id="rId33" Type="http://schemas.openxmlformats.org/officeDocument/2006/relationships/hyperlink" Target="http://www.unece.org/fileadmin/DAM/trans/main/dgdb/dgsubc4/ECOSOC/1999-65/1999-65e.pdf" TargetMode="External"/><Relationship Id="rId38" Type="http://schemas.openxmlformats.org/officeDocument/2006/relationships/hyperlink" Target="https://undocs.org/fr/ECE/TRANS/236" TargetMode="External"/><Relationship Id="rId46" Type="http://schemas.openxmlformats.org/officeDocument/2006/relationships/hyperlink" Target="https://undocs.org/fr/ECE/TRANS/13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hyperlink" Target="https://undocs.org/fr/A/RES/70/217" TargetMode="External"/><Relationship Id="rId41" Type="http://schemas.openxmlformats.org/officeDocument/2006/relationships/hyperlink" Target="https://undocs.org/fr/ECE/TRANS/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undocs.org/fr/A/RES/58/9" TargetMode="External"/><Relationship Id="rId32" Type="http://schemas.openxmlformats.org/officeDocument/2006/relationships/hyperlink" Target="https://undocs.org/fr/A/RES/72/271" TargetMode="External"/><Relationship Id="rId37" Type="http://schemas.openxmlformats.org/officeDocument/2006/relationships/hyperlink" Target="https://undocs.org/fr/ECE/TRANS/224" TargetMode="External"/><Relationship Id="rId40" Type="http://schemas.openxmlformats.org/officeDocument/2006/relationships/hyperlink" Target="https://undocs.org/fr/ECE/TRANS/254" TargetMode="External"/><Relationship Id="rId45" Type="http://schemas.openxmlformats.org/officeDocument/2006/relationships/hyperlink" Target="http://www.unece.org/fileadmin/DAM/trans/conventn/conf4e.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hyperlink" Target="https://undocs.org/fr/A/RES/70/197" TargetMode="External"/><Relationship Id="rId36" Type="http://schemas.openxmlformats.org/officeDocument/2006/relationships/hyperlink" Target="https://undocs.org/fr/ECE/AC.21/2014/2" TargetMode="External"/><Relationship Id="rId49" Type="http://schemas.openxmlformats.org/officeDocument/2006/relationships/hyperlink" Target="https://undocs.org/fr/ECE/TRANS/WP.30/AC.2/125" TargetMode="Externa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hyperlink" Target="https://undocs.org/fr/A/RES/72/232" TargetMode="External"/><Relationship Id="rId44" Type="http://schemas.openxmlformats.org/officeDocument/2006/relationships/hyperlink" Target="https://undocs.org/fr/E/ECE/TRANS/505/Rev.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hyperlink" Target="https://undocs.org/fr/A/RES/69/213" TargetMode="External"/><Relationship Id="rId30" Type="http://schemas.openxmlformats.org/officeDocument/2006/relationships/hyperlink" Target="https://undocs.org/fr/A/RES/72/212" TargetMode="External"/><Relationship Id="rId35" Type="http://schemas.openxmlformats.org/officeDocument/2006/relationships/hyperlink" Target="https://undocs.org/fr/E/RES/2017/13" TargetMode="External"/><Relationship Id="rId43" Type="http://schemas.openxmlformats.org/officeDocument/2006/relationships/hyperlink" Target="http://www.un.org/ga/search/view_doc.asp?symbol=E/2015/37&amp;Lang=F" TargetMode="External"/><Relationship Id="rId48" Type="http://schemas.openxmlformats.org/officeDocument/2006/relationships/hyperlink" Target="http://www.unece.org/fileadmin/DAM/trans/danger/publi/adn/adnnotif/CN.482.2009f.pdf" TargetMode="External"/><Relationship Id="rId8" Type="http://schemas.openxmlformats.org/officeDocument/2006/relationships/image" Target="media/image1.wmf"/><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D1D6-D648-4B3B-AF7D-D154C2BB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11</Pages>
  <Words>4913</Words>
  <Characters>27022</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ECE/TRANS/2019/24</vt:lpstr>
    </vt:vector>
  </TitlesOfParts>
  <Company>DCM</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ECE/TRANS/2019/24</dc:title>
  <dc:subject/>
  <dc:creator>Pascale BEYSARD</dc:creator>
  <cp:keywords/>
  <dc:description/>
  <cp:lastModifiedBy>Pascale Beysard</cp:lastModifiedBy>
  <cp:revision>2</cp:revision>
  <cp:lastPrinted>2019-01-07T08:33:00Z</cp:lastPrinted>
  <dcterms:created xsi:type="dcterms:W3CDTF">2019-01-07T11:08:00Z</dcterms:created>
  <dcterms:modified xsi:type="dcterms:W3CDTF">2019-01-07T11:08:00Z</dcterms:modified>
</cp:coreProperties>
</file>