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C01B2" w:rsidRPr="00985124" w:rsidTr="00F138E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C01B2" w:rsidRPr="00496E33" w:rsidRDefault="008C01B2" w:rsidP="00F138E0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8C01B2" w:rsidRPr="00496E33" w:rsidRDefault="008C01B2" w:rsidP="008C01B2">
            <w:pPr>
              <w:ind w:left="7085"/>
              <w:rPr>
                <w:b/>
                <w:sz w:val="24"/>
                <w:szCs w:val="24"/>
              </w:rPr>
            </w:pPr>
            <w:r w:rsidRPr="00496E33">
              <w:rPr>
                <w:b/>
                <w:sz w:val="40"/>
                <w:szCs w:val="40"/>
              </w:rPr>
              <w:t>INF.</w:t>
            </w:r>
            <w:r>
              <w:rPr>
                <w:b/>
                <w:sz w:val="40"/>
                <w:szCs w:val="40"/>
              </w:rPr>
              <w:t xml:space="preserve">25 </w:t>
            </w:r>
          </w:p>
        </w:tc>
      </w:tr>
      <w:tr w:rsidR="008C01B2" w:rsidRPr="00985124" w:rsidTr="00F138E0">
        <w:trPr>
          <w:cantSplit/>
          <w:trHeight w:hRule="exact" w:val="3973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C01B2" w:rsidRPr="00F8267A" w:rsidRDefault="008C01B2" w:rsidP="00F138E0">
            <w:pPr>
              <w:spacing w:before="120" w:after="120"/>
              <w:rPr>
                <w:b/>
                <w:sz w:val="28"/>
                <w:szCs w:val="28"/>
              </w:rPr>
            </w:pPr>
            <w:r w:rsidRPr="00F8267A">
              <w:rPr>
                <w:b/>
                <w:sz w:val="28"/>
                <w:szCs w:val="28"/>
              </w:rPr>
              <w:t>Economic Commission for Europe</w:t>
            </w:r>
          </w:p>
          <w:p w:rsidR="008C01B2" w:rsidRPr="00F8267A" w:rsidRDefault="008C01B2" w:rsidP="00F138E0">
            <w:pPr>
              <w:spacing w:before="120"/>
              <w:rPr>
                <w:sz w:val="28"/>
                <w:szCs w:val="28"/>
              </w:rPr>
            </w:pPr>
            <w:r w:rsidRPr="00F8267A">
              <w:rPr>
                <w:sz w:val="28"/>
                <w:szCs w:val="28"/>
              </w:rPr>
              <w:t>Inland Transport Committee</w:t>
            </w:r>
          </w:p>
          <w:p w:rsidR="008C01B2" w:rsidRPr="00F8267A" w:rsidRDefault="008C01B2" w:rsidP="00F138E0">
            <w:pPr>
              <w:spacing w:before="120"/>
              <w:rPr>
                <w:b/>
              </w:rPr>
            </w:pPr>
            <w:r w:rsidRPr="00F8267A">
              <w:rPr>
                <w:b/>
              </w:rPr>
              <w:t>Working Party on the Transport of Dangerous Goods</w:t>
            </w:r>
          </w:p>
          <w:p w:rsidR="008C01B2" w:rsidRPr="00F8267A" w:rsidRDefault="008C01B2" w:rsidP="00F138E0">
            <w:pPr>
              <w:spacing w:before="120"/>
              <w:rPr>
                <w:b/>
              </w:rPr>
            </w:pPr>
            <w:r w:rsidRPr="00F8267A">
              <w:rPr>
                <w:b/>
              </w:rPr>
              <w:t>Joint Meeting of Experts on the Regulations annexed to the</w:t>
            </w:r>
            <w:r w:rsidRPr="00F8267A">
              <w:rPr>
                <w:b/>
              </w:rPr>
              <w:br/>
              <w:t>European Agreement concerning the International Carriage</w:t>
            </w:r>
            <w:r w:rsidRPr="00F8267A">
              <w:rPr>
                <w:b/>
              </w:rPr>
              <w:br/>
              <w:t>of Dangerous Goods by Inland Waterways (ADN)</w:t>
            </w:r>
            <w:r w:rsidRPr="00F8267A">
              <w:rPr>
                <w:b/>
              </w:rPr>
              <w:br/>
              <w:t>(ADN Safety Committee)</w:t>
            </w:r>
          </w:p>
          <w:p w:rsidR="008C01B2" w:rsidRPr="00CE311E" w:rsidRDefault="008C01B2" w:rsidP="00F138E0">
            <w:pPr>
              <w:spacing w:before="120"/>
              <w:rPr>
                <w:b/>
              </w:rPr>
            </w:pPr>
            <w:r w:rsidRPr="00CE311E">
              <w:rPr>
                <w:b/>
              </w:rPr>
              <w:t>T</w:t>
            </w:r>
            <w:r>
              <w:rPr>
                <w:b/>
              </w:rPr>
              <w:t>hirty-fifth</w:t>
            </w:r>
            <w:r w:rsidRPr="00CE311E">
              <w:rPr>
                <w:b/>
              </w:rPr>
              <w:t xml:space="preserve"> session</w:t>
            </w:r>
          </w:p>
          <w:p w:rsidR="008C01B2" w:rsidRPr="00F8267A" w:rsidRDefault="008C01B2" w:rsidP="00F138E0">
            <w:r w:rsidRPr="00CE311E">
              <w:t>Geneva, 2</w:t>
            </w:r>
            <w:r>
              <w:t>6</w:t>
            </w:r>
            <w:r w:rsidRPr="00CE311E">
              <w:t>-</w:t>
            </w:r>
            <w:r>
              <w:t>30 August 2019</w:t>
            </w:r>
            <w:r w:rsidRPr="00CE311E">
              <w:br/>
              <w:t xml:space="preserve">Item </w:t>
            </w:r>
            <w:r>
              <w:t>3 (</w:t>
            </w:r>
            <w:r w:rsidR="006E6A0E">
              <w:t>c</w:t>
            </w:r>
            <w:r>
              <w:t>)</w:t>
            </w:r>
            <w:r w:rsidRPr="00CE311E">
              <w:t xml:space="preserve"> of the provisional agenda</w:t>
            </w:r>
          </w:p>
          <w:p w:rsidR="008C01B2" w:rsidRPr="00F8267A" w:rsidRDefault="008C01B2" w:rsidP="00F138E0">
            <w:pPr>
              <w:rPr>
                <w:b/>
              </w:rPr>
            </w:pPr>
            <w:r w:rsidRPr="00F8267A">
              <w:rPr>
                <w:b/>
              </w:rPr>
              <w:t>Implementation of the European Agreement concerning the International Carriage of Dangerous Goods by Inland Waterways (ADN)</w:t>
            </w:r>
            <w:r>
              <w:rPr>
                <w:b/>
              </w:rPr>
              <w:t>:</w:t>
            </w:r>
          </w:p>
          <w:p w:rsidR="008C01B2" w:rsidRPr="00F8267A" w:rsidRDefault="006E6A0E" w:rsidP="00F138E0">
            <w:pPr>
              <w:rPr>
                <w:b/>
              </w:rPr>
            </w:pPr>
            <w:r>
              <w:rPr>
                <w:b/>
              </w:rPr>
              <w:t xml:space="preserve">interpretation of the Regulations annexed to ADN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C01B2" w:rsidRPr="00F8267A" w:rsidRDefault="008C01B2" w:rsidP="00F138E0">
            <w:pPr>
              <w:spacing w:before="120"/>
            </w:pPr>
          </w:p>
          <w:p w:rsidR="008C01B2" w:rsidRPr="00F475CC" w:rsidRDefault="008C01B2" w:rsidP="004559FB">
            <w:pPr>
              <w:tabs>
                <w:tab w:val="left" w:pos="1590"/>
                <w:tab w:val="right" w:pos="2835"/>
              </w:tabs>
              <w:spacing w:before="120"/>
              <w:rPr>
                <w:bCs/>
              </w:rPr>
            </w:pPr>
            <w:r>
              <w:rPr>
                <w:bCs/>
              </w:rPr>
              <w:t>29 July</w:t>
            </w:r>
            <w:r w:rsidRPr="00F475CC">
              <w:rPr>
                <w:bCs/>
              </w:rPr>
              <w:t xml:space="preserve"> 201</w:t>
            </w:r>
            <w:r>
              <w:rPr>
                <w:bCs/>
              </w:rPr>
              <w:t>9</w:t>
            </w:r>
            <w:r w:rsidR="00820E5D">
              <w:rPr>
                <w:bCs/>
              </w:rPr>
              <w:tab/>
            </w:r>
            <w:r w:rsidR="004559FB">
              <w:rPr>
                <w:bCs/>
              </w:rPr>
              <w:tab/>
            </w:r>
          </w:p>
          <w:p w:rsidR="008C01B2" w:rsidRPr="00F8267A" w:rsidRDefault="008C01B2" w:rsidP="00F138E0">
            <w:pPr>
              <w:spacing w:before="120"/>
              <w:rPr>
                <w:b/>
              </w:rPr>
            </w:pPr>
            <w:r>
              <w:rPr>
                <w:bCs/>
              </w:rPr>
              <w:t>English</w:t>
            </w:r>
          </w:p>
        </w:tc>
      </w:tr>
    </w:tbl>
    <w:p w:rsidR="008C01B2" w:rsidRDefault="008C01B2" w:rsidP="008C01B2">
      <w:pPr>
        <w:pStyle w:val="HChG"/>
      </w:pPr>
      <w:r w:rsidRPr="008C01B2">
        <w:tab/>
      </w:r>
      <w:r w:rsidRPr="008C01B2">
        <w:tab/>
        <w:t xml:space="preserve">About Classification of zones – Zone 1 </w:t>
      </w:r>
    </w:p>
    <w:p w:rsidR="006E6A0E" w:rsidRPr="006E6A0E" w:rsidRDefault="006E6A0E" w:rsidP="006E6A0E">
      <w:pPr>
        <w:pStyle w:val="H1G"/>
      </w:pPr>
      <w:r>
        <w:tab/>
      </w:r>
      <w:r>
        <w:tab/>
        <w:t>Transmitted by the informal group of Recommended ADN Classification Societies</w:t>
      </w:r>
    </w:p>
    <w:p w:rsidR="008C01B2" w:rsidRPr="00B645F1" w:rsidRDefault="00B645F1" w:rsidP="00B645F1">
      <w:pPr>
        <w:pStyle w:val="SingleTxtG"/>
        <w:rPr>
          <w:b/>
          <w:bCs/>
        </w:rPr>
      </w:pPr>
      <w:r w:rsidRPr="006E6A0E">
        <w:tab/>
        <w:t>1.</w:t>
      </w:r>
      <w:r w:rsidRPr="00B645F1">
        <w:rPr>
          <w:b/>
          <w:bCs/>
        </w:rPr>
        <w:tab/>
      </w:r>
      <w:r w:rsidR="008C01B2" w:rsidRPr="00A41F7F">
        <w:t>Introduction</w:t>
      </w:r>
    </w:p>
    <w:p w:rsidR="00B645F1" w:rsidRDefault="00B645F1" w:rsidP="00B645F1">
      <w:pPr>
        <w:pStyle w:val="SingleTxtG"/>
      </w:pPr>
      <w:r>
        <w:t>T</w:t>
      </w:r>
      <w:r w:rsidRPr="00743493">
        <w:t xml:space="preserve">he wording for the definition of the zone 1 is partly a little bit unclear for the different languages. </w:t>
      </w:r>
    </w:p>
    <w:p w:rsidR="00B645F1" w:rsidRPr="00B645F1" w:rsidRDefault="00B645F1" w:rsidP="00B645F1">
      <w:pPr>
        <w:pStyle w:val="SingleTxtG"/>
      </w:pPr>
      <w:r w:rsidRPr="006E6A0E">
        <w:rPr>
          <w:lang w:val="fr-BE"/>
        </w:rPr>
        <w:t>2.</w:t>
      </w:r>
      <w:r>
        <w:rPr>
          <w:b/>
          <w:bCs/>
          <w:lang w:val="fr-BE"/>
        </w:rPr>
        <w:tab/>
      </w:r>
      <w:r w:rsidRPr="00A41F7F">
        <w:rPr>
          <w:lang w:val="fr-BE"/>
        </w:rPr>
        <w:t>ADN 1.2.1 – Classification of Zones – Zone1</w:t>
      </w:r>
    </w:p>
    <w:p w:rsidR="00B645F1" w:rsidRPr="00135DC1" w:rsidRDefault="00B645F1" w:rsidP="00B645F1">
      <w:pPr>
        <w:tabs>
          <w:tab w:val="left" w:pos="1701"/>
        </w:tabs>
        <w:spacing w:after="120"/>
        <w:rPr>
          <w:lang w:val="fr-BE"/>
        </w:rPr>
      </w:pP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 w:rsidRPr="00135DC1">
        <w:rPr>
          <w:b/>
          <w:bCs/>
          <w:lang w:val="fr-BE"/>
        </w:rPr>
        <w:t xml:space="preserve">Zone 1 </w:t>
      </w:r>
      <w:proofErr w:type="gramStart"/>
      <w:r w:rsidRPr="00135DC1">
        <w:rPr>
          <w:lang w:val="fr-BE"/>
        </w:rPr>
        <w:t>comprises:</w:t>
      </w:r>
      <w:proofErr w:type="gramEnd"/>
    </w:p>
    <w:p w:rsidR="00B645F1" w:rsidRPr="00135DC1" w:rsidRDefault="00B645F1" w:rsidP="00B645F1">
      <w:pPr>
        <w:pStyle w:val="SingleTxtG"/>
        <w:tabs>
          <w:tab w:val="left" w:pos="1701"/>
        </w:tabs>
        <w:ind w:left="1701" w:hanging="567"/>
      </w:pPr>
      <w:r>
        <w:tab/>
      </w:r>
      <w:r w:rsidRPr="00B645F1">
        <w:rPr>
          <w:u w:val="single"/>
        </w:rPr>
        <w:t>English text</w:t>
      </w:r>
      <w:r w:rsidRPr="00135DC1">
        <w:t xml:space="preserve">: </w:t>
      </w:r>
    </w:p>
    <w:p w:rsidR="00B645F1" w:rsidRPr="00135DC1" w:rsidRDefault="00B645F1" w:rsidP="00B645F1">
      <w:pPr>
        <w:pStyle w:val="SingleTxtG"/>
        <w:tabs>
          <w:tab w:val="left" w:pos="1701"/>
        </w:tabs>
        <w:spacing w:after="0"/>
      </w:pPr>
      <w:r w:rsidRPr="00135DC1">
        <w:tab/>
        <w:t>“Every opening in zone 0 except the high velocity vent valves/safety valves of</w:t>
      </w:r>
      <w:r>
        <w:t xml:space="preserve"> </w:t>
      </w:r>
      <w:r>
        <w:tab/>
      </w:r>
      <w:r w:rsidRPr="00135DC1">
        <w:t xml:space="preserve">pressurized cargo tanks shall be surrounded by a cylindrical zone 1 having </w:t>
      </w:r>
      <w:r w:rsidRPr="00135DC1">
        <w:rPr>
          <w:b/>
          <w:u w:val="single"/>
        </w:rPr>
        <w:t xml:space="preserve">at least a </w:t>
      </w:r>
      <w:r w:rsidRPr="00B645F1">
        <w:rPr>
          <w:b/>
        </w:rPr>
        <w:tab/>
      </w:r>
      <w:r w:rsidRPr="00135DC1">
        <w:rPr>
          <w:b/>
          <w:u w:val="single"/>
        </w:rPr>
        <w:t>width of 2.50 m</w:t>
      </w:r>
      <w:r w:rsidRPr="00135DC1">
        <w:t xml:space="preserve">. With openings of which the diameter is less than 0.026 m (1ˮ), the </w:t>
      </w:r>
      <w:r>
        <w:tab/>
      </w:r>
      <w:r w:rsidRPr="00135DC1">
        <w:t xml:space="preserve">distance to the outer cofferdam bulkhead may be reduced to 0.50 m, provided it is </w:t>
      </w:r>
      <w:r>
        <w:tab/>
      </w:r>
      <w:r w:rsidRPr="00135DC1">
        <w:t>ensured that such an opening is not opened to the atmosphere within this distance.”</w:t>
      </w:r>
    </w:p>
    <w:p w:rsidR="00B645F1" w:rsidRPr="00135DC1" w:rsidRDefault="00B645F1" w:rsidP="00B645F1">
      <w:pPr>
        <w:pStyle w:val="SingleTxtG"/>
        <w:ind w:left="1701"/>
      </w:pPr>
      <w:r w:rsidRPr="00B645F1">
        <w:rPr>
          <w:u w:val="single"/>
        </w:rPr>
        <w:t>German text</w:t>
      </w:r>
      <w:r w:rsidRPr="00135DC1">
        <w:t>:</w:t>
      </w:r>
    </w:p>
    <w:p w:rsidR="00B645F1" w:rsidRPr="00135DC1" w:rsidRDefault="00B645F1" w:rsidP="00B645F1">
      <w:pPr>
        <w:pStyle w:val="SingleTxtG"/>
        <w:ind w:left="1701"/>
      </w:pPr>
      <w:r w:rsidRPr="00135DC1">
        <w:t>“</w:t>
      </w:r>
      <w:proofErr w:type="spellStart"/>
      <w:r w:rsidRPr="00135DC1">
        <w:t>Dabei</w:t>
      </w:r>
      <w:proofErr w:type="spellEnd"/>
      <w:r w:rsidRPr="00135DC1">
        <w:t xml:space="preserve"> muss </w:t>
      </w:r>
      <w:proofErr w:type="spellStart"/>
      <w:r w:rsidRPr="00135DC1">
        <w:t>jede</w:t>
      </w:r>
      <w:proofErr w:type="spellEnd"/>
      <w:r w:rsidRPr="00135DC1">
        <w:t xml:space="preserve"> </w:t>
      </w:r>
      <w:proofErr w:type="spellStart"/>
      <w:r w:rsidRPr="00135DC1">
        <w:t>Öffnung</w:t>
      </w:r>
      <w:proofErr w:type="spellEnd"/>
      <w:r w:rsidRPr="00135DC1">
        <w:t xml:space="preserve"> </w:t>
      </w:r>
      <w:proofErr w:type="spellStart"/>
      <w:r w:rsidRPr="00135DC1">
        <w:t>aus</w:t>
      </w:r>
      <w:proofErr w:type="spellEnd"/>
      <w:r w:rsidRPr="00135DC1">
        <w:t xml:space="preserve"> Zone 0, </w:t>
      </w:r>
      <w:proofErr w:type="spellStart"/>
      <w:r w:rsidRPr="00135DC1">
        <w:t>außer</w:t>
      </w:r>
      <w:proofErr w:type="spellEnd"/>
      <w:r w:rsidRPr="00135DC1">
        <w:t xml:space="preserve"> um </w:t>
      </w:r>
      <w:proofErr w:type="spellStart"/>
      <w:r w:rsidRPr="00135DC1">
        <w:t>Hochgeschwindigkeitsventile</w:t>
      </w:r>
      <w:proofErr w:type="spellEnd"/>
      <w:r w:rsidRPr="00135DC1">
        <w:t>/</w:t>
      </w:r>
    </w:p>
    <w:p w:rsidR="00B645F1" w:rsidRPr="00135DC1" w:rsidRDefault="00B645F1" w:rsidP="00B645F1">
      <w:pPr>
        <w:pStyle w:val="SingleTxtG"/>
        <w:ind w:left="1701"/>
        <w:rPr>
          <w:lang w:val="nl-BE"/>
        </w:rPr>
      </w:pPr>
      <w:proofErr w:type="spellStart"/>
      <w:r w:rsidRPr="00135DC1">
        <w:rPr>
          <w:lang w:val="nl-BE"/>
        </w:rPr>
        <w:t>Sicherheitsventile</w:t>
      </w:r>
      <w:proofErr w:type="spellEnd"/>
      <w:r w:rsidRPr="00135DC1">
        <w:rPr>
          <w:lang w:val="nl-BE"/>
        </w:rPr>
        <w:t xml:space="preserve"> der </w:t>
      </w:r>
      <w:proofErr w:type="spellStart"/>
      <w:r w:rsidRPr="00135DC1">
        <w:rPr>
          <w:lang w:val="nl-BE"/>
        </w:rPr>
        <w:t>Drucktanks</w:t>
      </w:r>
      <w:proofErr w:type="spellEnd"/>
      <w:r w:rsidRPr="00135DC1">
        <w:rPr>
          <w:lang w:val="nl-BE"/>
        </w:rPr>
        <w:t xml:space="preserve">, </w:t>
      </w:r>
      <w:proofErr w:type="spellStart"/>
      <w:r w:rsidRPr="00135DC1">
        <w:rPr>
          <w:lang w:val="nl-BE"/>
        </w:rPr>
        <w:t>von</w:t>
      </w:r>
      <w:proofErr w:type="spellEnd"/>
      <w:r w:rsidRPr="00135DC1">
        <w:rPr>
          <w:lang w:val="nl-BE"/>
        </w:rPr>
        <w:t xml:space="preserve"> </w:t>
      </w:r>
      <w:proofErr w:type="spellStart"/>
      <w:r w:rsidRPr="00135DC1">
        <w:rPr>
          <w:lang w:val="nl-BE"/>
        </w:rPr>
        <w:t>einem</w:t>
      </w:r>
      <w:proofErr w:type="spellEnd"/>
      <w:r w:rsidRPr="00135DC1">
        <w:rPr>
          <w:lang w:val="nl-BE"/>
        </w:rPr>
        <w:t xml:space="preserve"> </w:t>
      </w:r>
      <w:proofErr w:type="spellStart"/>
      <w:r w:rsidRPr="00135DC1">
        <w:rPr>
          <w:lang w:val="nl-BE"/>
        </w:rPr>
        <w:t>Kreisring</w:t>
      </w:r>
      <w:proofErr w:type="spellEnd"/>
      <w:r w:rsidRPr="00135DC1">
        <w:rPr>
          <w:lang w:val="nl-BE"/>
        </w:rPr>
        <w:t xml:space="preserve"> Zone 1 </w:t>
      </w:r>
      <w:proofErr w:type="spellStart"/>
      <w:r w:rsidRPr="00135DC1">
        <w:rPr>
          <w:lang w:val="nl-BE"/>
        </w:rPr>
        <w:t>umgeben</w:t>
      </w:r>
      <w:proofErr w:type="spellEnd"/>
      <w:r w:rsidRPr="00135DC1">
        <w:rPr>
          <w:lang w:val="nl-BE"/>
        </w:rPr>
        <w:t xml:space="preserve"> sein, dessen </w:t>
      </w:r>
      <w:proofErr w:type="spellStart"/>
      <w:r w:rsidRPr="00135DC1">
        <w:rPr>
          <w:b/>
          <w:u w:val="single"/>
          <w:lang w:val="nl-BE"/>
        </w:rPr>
        <w:t>Kreisringbreite</w:t>
      </w:r>
      <w:proofErr w:type="spellEnd"/>
      <w:r w:rsidRPr="00135DC1">
        <w:rPr>
          <w:b/>
          <w:u w:val="single"/>
          <w:lang w:val="nl-BE"/>
        </w:rPr>
        <w:t xml:space="preserve"> </w:t>
      </w:r>
      <w:proofErr w:type="spellStart"/>
      <w:r w:rsidRPr="00135DC1">
        <w:rPr>
          <w:b/>
          <w:u w:val="single"/>
          <w:lang w:val="nl-BE"/>
        </w:rPr>
        <w:t>mindestens</w:t>
      </w:r>
      <w:proofErr w:type="spellEnd"/>
      <w:r w:rsidRPr="00135DC1">
        <w:rPr>
          <w:b/>
          <w:u w:val="single"/>
          <w:lang w:val="nl-BE"/>
        </w:rPr>
        <w:t xml:space="preserve"> 2,50 m</w:t>
      </w:r>
      <w:r w:rsidRPr="00135DC1">
        <w:rPr>
          <w:lang w:val="nl-BE"/>
        </w:rPr>
        <w:t xml:space="preserve"> </w:t>
      </w:r>
      <w:proofErr w:type="spellStart"/>
      <w:r w:rsidRPr="00135DC1">
        <w:rPr>
          <w:lang w:val="nl-BE"/>
        </w:rPr>
        <w:t>beträgt</w:t>
      </w:r>
      <w:proofErr w:type="spellEnd"/>
      <w:r w:rsidRPr="00135DC1">
        <w:rPr>
          <w:lang w:val="nl-BE"/>
        </w:rPr>
        <w:t xml:space="preserve">. Bei </w:t>
      </w:r>
      <w:proofErr w:type="spellStart"/>
      <w:r w:rsidRPr="00135DC1">
        <w:rPr>
          <w:lang w:val="nl-BE"/>
        </w:rPr>
        <w:t>Öffnungen</w:t>
      </w:r>
      <w:proofErr w:type="spellEnd"/>
      <w:r w:rsidRPr="00135DC1">
        <w:rPr>
          <w:lang w:val="nl-BE"/>
        </w:rPr>
        <w:t xml:space="preserve">, deren </w:t>
      </w:r>
      <w:proofErr w:type="spellStart"/>
      <w:r w:rsidRPr="00135DC1">
        <w:rPr>
          <w:lang w:val="nl-BE"/>
        </w:rPr>
        <w:t>Durchmesser</w:t>
      </w:r>
      <w:proofErr w:type="spellEnd"/>
      <w:r w:rsidRPr="00135DC1">
        <w:rPr>
          <w:lang w:val="nl-BE"/>
        </w:rPr>
        <w:t xml:space="preserve"> </w:t>
      </w:r>
      <w:proofErr w:type="spellStart"/>
      <w:r w:rsidRPr="00135DC1">
        <w:rPr>
          <w:lang w:val="nl-BE"/>
        </w:rPr>
        <w:t>weniger</w:t>
      </w:r>
      <w:proofErr w:type="spellEnd"/>
      <w:r w:rsidRPr="00135DC1">
        <w:rPr>
          <w:lang w:val="nl-BE"/>
        </w:rPr>
        <w:t xml:space="preserve"> </w:t>
      </w:r>
      <w:r w:rsidRPr="00135DC1">
        <w:rPr>
          <w:rFonts w:eastAsia="ArialMT"/>
          <w:lang w:val="nl-BE"/>
        </w:rPr>
        <w:t xml:space="preserve">0,026 m (1ˮ) </w:t>
      </w:r>
      <w:proofErr w:type="spellStart"/>
      <w:r w:rsidRPr="00135DC1">
        <w:rPr>
          <w:rFonts w:eastAsia="ArialMT"/>
          <w:lang w:val="nl-BE"/>
        </w:rPr>
        <w:t>beträgt</w:t>
      </w:r>
      <w:proofErr w:type="spellEnd"/>
      <w:r w:rsidRPr="00135DC1">
        <w:rPr>
          <w:rFonts w:eastAsia="ArialMT"/>
          <w:lang w:val="nl-BE"/>
        </w:rPr>
        <w:t xml:space="preserve">, </w:t>
      </w:r>
      <w:proofErr w:type="spellStart"/>
      <w:r w:rsidRPr="00135DC1">
        <w:rPr>
          <w:rFonts w:eastAsia="ArialMT"/>
          <w:lang w:val="nl-BE"/>
        </w:rPr>
        <w:t>kann</w:t>
      </w:r>
      <w:proofErr w:type="spellEnd"/>
      <w:r w:rsidRPr="00135DC1">
        <w:rPr>
          <w:rFonts w:eastAsia="ArialMT"/>
          <w:lang w:val="nl-BE"/>
        </w:rPr>
        <w:t xml:space="preserve"> der </w:t>
      </w:r>
      <w:proofErr w:type="spellStart"/>
      <w:r w:rsidRPr="00135DC1">
        <w:rPr>
          <w:rFonts w:eastAsia="ArialMT"/>
          <w:lang w:val="nl-BE"/>
        </w:rPr>
        <w:t>Abstand</w:t>
      </w:r>
      <w:proofErr w:type="spellEnd"/>
      <w:r w:rsidRPr="00135DC1">
        <w:rPr>
          <w:rFonts w:eastAsia="ArialMT"/>
          <w:lang w:val="nl-BE"/>
        </w:rPr>
        <w:t xml:space="preserve"> </w:t>
      </w:r>
      <w:proofErr w:type="spellStart"/>
      <w:r w:rsidRPr="00135DC1">
        <w:rPr>
          <w:rFonts w:eastAsia="ArialMT"/>
          <w:lang w:val="nl-BE"/>
        </w:rPr>
        <w:t>zum</w:t>
      </w:r>
      <w:proofErr w:type="spellEnd"/>
      <w:r w:rsidRPr="00135DC1">
        <w:rPr>
          <w:rFonts w:eastAsia="ArialMT"/>
          <w:lang w:val="nl-BE"/>
        </w:rPr>
        <w:t xml:space="preserve"> </w:t>
      </w:r>
      <w:proofErr w:type="spellStart"/>
      <w:r w:rsidRPr="00135DC1">
        <w:rPr>
          <w:rFonts w:eastAsia="ArialMT"/>
          <w:lang w:val="nl-BE"/>
        </w:rPr>
        <w:t>äußeren</w:t>
      </w:r>
      <w:proofErr w:type="spellEnd"/>
      <w:r w:rsidRPr="00135DC1">
        <w:rPr>
          <w:rFonts w:eastAsia="ArialMT"/>
          <w:lang w:val="nl-BE"/>
        </w:rPr>
        <w:t xml:space="preserve"> </w:t>
      </w:r>
      <w:proofErr w:type="spellStart"/>
      <w:r w:rsidRPr="00135DC1">
        <w:rPr>
          <w:rFonts w:eastAsia="ArialMT"/>
          <w:lang w:val="nl-BE"/>
        </w:rPr>
        <w:t>Kofferdammschott</w:t>
      </w:r>
      <w:proofErr w:type="spellEnd"/>
      <w:r w:rsidRPr="00135DC1">
        <w:rPr>
          <w:rFonts w:eastAsia="ArialMT"/>
          <w:lang w:val="nl-BE"/>
        </w:rPr>
        <w:t xml:space="preserve"> </w:t>
      </w:r>
      <w:proofErr w:type="spellStart"/>
      <w:r w:rsidRPr="00135DC1">
        <w:rPr>
          <w:rFonts w:eastAsia="ArialMT"/>
          <w:lang w:val="nl-BE"/>
        </w:rPr>
        <w:t>auf</w:t>
      </w:r>
      <w:proofErr w:type="spellEnd"/>
      <w:r w:rsidRPr="00135DC1">
        <w:rPr>
          <w:rFonts w:eastAsia="ArialMT"/>
          <w:lang w:val="nl-BE"/>
        </w:rPr>
        <w:t xml:space="preserve"> 0,50 </w:t>
      </w:r>
      <w:r w:rsidRPr="00135DC1">
        <w:rPr>
          <w:lang w:val="nl-BE"/>
        </w:rPr>
        <w:t xml:space="preserve">m </w:t>
      </w:r>
      <w:proofErr w:type="spellStart"/>
      <w:r w:rsidRPr="00135DC1">
        <w:rPr>
          <w:lang w:val="nl-BE"/>
        </w:rPr>
        <w:t>verringert</w:t>
      </w:r>
      <w:proofErr w:type="spellEnd"/>
      <w:r w:rsidRPr="00135DC1">
        <w:rPr>
          <w:lang w:val="nl-BE"/>
        </w:rPr>
        <w:t xml:space="preserve"> werden, </w:t>
      </w:r>
      <w:proofErr w:type="spellStart"/>
      <w:r w:rsidRPr="00135DC1">
        <w:rPr>
          <w:lang w:val="nl-BE"/>
        </w:rPr>
        <w:t>sofern</w:t>
      </w:r>
      <w:proofErr w:type="spellEnd"/>
      <w:r w:rsidRPr="00135DC1">
        <w:rPr>
          <w:lang w:val="nl-BE"/>
        </w:rPr>
        <w:t xml:space="preserve"> </w:t>
      </w:r>
      <w:proofErr w:type="spellStart"/>
      <w:r w:rsidRPr="00135DC1">
        <w:rPr>
          <w:lang w:val="nl-BE"/>
        </w:rPr>
        <w:t>sichergestellt</w:t>
      </w:r>
      <w:proofErr w:type="spellEnd"/>
      <w:r w:rsidRPr="00135DC1">
        <w:rPr>
          <w:lang w:val="nl-BE"/>
        </w:rPr>
        <w:t xml:space="preserve"> </w:t>
      </w:r>
      <w:proofErr w:type="spellStart"/>
      <w:r w:rsidRPr="00135DC1">
        <w:rPr>
          <w:lang w:val="nl-BE"/>
        </w:rPr>
        <w:t>ist</w:t>
      </w:r>
      <w:proofErr w:type="spellEnd"/>
      <w:r w:rsidRPr="00135DC1">
        <w:rPr>
          <w:lang w:val="nl-BE"/>
        </w:rPr>
        <w:t xml:space="preserve">, </w:t>
      </w:r>
      <w:proofErr w:type="spellStart"/>
      <w:r w:rsidRPr="00135DC1">
        <w:rPr>
          <w:lang w:val="nl-BE"/>
        </w:rPr>
        <w:t>dass</w:t>
      </w:r>
      <w:proofErr w:type="spellEnd"/>
      <w:r w:rsidRPr="00135DC1">
        <w:rPr>
          <w:lang w:val="nl-BE"/>
        </w:rPr>
        <w:t xml:space="preserve"> </w:t>
      </w:r>
      <w:proofErr w:type="spellStart"/>
      <w:r w:rsidRPr="00135DC1">
        <w:rPr>
          <w:lang w:val="nl-BE"/>
        </w:rPr>
        <w:t>solche</w:t>
      </w:r>
      <w:proofErr w:type="spellEnd"/>
      <w:r w:rsidRPr="00135DC1">
        <w:rPr>
          <w:lang w:val="nl-BE"/>
        </w:rPr>
        <w:t xml:space="preserve"> </w:t>
      </w:r>
      <w:proofErr w:type="spellStart"/>
      <w:r w:rsidRPr="00135DC1">
        <w:rPr>
          <w:lang w:val="nl-BE"/>
        </w:rPr>
        <w:t>Öffnungen</w:t>
      </w:r>
      <w:proofErr w:type="spellEnd"/>
      <w:r w:rsidRPr="00135DC1">
        <w:rPr>
          <w:lang w:val="nl-BE"/>
        </w:rPr>
        <w:t xml:space="preserve"> </w:t>
      </w:r>
      <w:proofErr w:type="spellStart"/>
      <w:r w:rsidRPr="00135DC1">
        <w:rPr>
          <w:lang w:val="nl-BE"/>
        </w:rPr>
        <w:t>innerhalb</w:t>
      </w:r>
      <w:proofErr w:type="spellEnd"/>
      <w:r w:rsidRPr="00135DC1">
        <w:rPr>
          <w:lang w:val="nl-BE"/>
        </w:rPr>
        <w:t xml:space="preserve"> </w:t>
      </w:r>
      <w:proofErr w:type="spellStart"/>
      <w:r w:rsidRPr="00135DC1">
        <w:rPr>
          <w:lang w:val="nl-BE"/>
        </w:rPr>
        <w:t>dieses</w:t>
      </w:r>
      <w:proofErr w:type="spellEnd"/>
      <w:r w:rsidRPr="00135DC1">
        <w:rPr>
          <w:lang w:val="nl-BE"/>
        </w:rPr>
        <w:t xml:space="preserve"> </w:t>
      </w:r>
      <w:proofErr w:type="spellStart"/>
      <w:r w:rsidRPr="00135DC1">
        <w:rPr>
          <w:lang w:val="nl-BE"/>
        </w:rPr>
        <w:t>Abstandes</w:t>
      </w:r>
      <w:proofErr w:type="spellEnd"/>
      <w:r w:rsidRPr="00135DC1">
        <w:rPr>
          <w:lang w:val="nl-BE"/>
        </w:rPr>
        <w:t xml:space="preserve"> nicht </w:t>
      </w:r>
      <w:proofErr w:type="spellStart"/>
      <w:r w:rsidRPr="00135DC1">
        <w:rPr>
          <w:lang w:val="nl-BE"/>
        </w:rPr>
        <w:t>zur</w:t>
      </w:r>
      <w:proofErr w:type="spellEnd"/>
      <w:r w:rsidRPr="00135DC1">
        <w:rPr>
          <w:lang w:val="nl-BE"/>
        </w:rPr>
        <w:t xml:space="preserve"> </w:t>
      </w:r>
      <w:proofErr w:type="spellStart"/>
      <w:r w:rsidRPr="00135DC1">
        <w:rPr>
          <w:lang w:val="nl-BE"/>
        </w:rPr>
        <w:t>Atmosphäre</w:t>
      </w:r>
      <w:proofErr w:type="spellEnd"/>
      <w:r w:rsidRPr="00135DC1">
        <w:rPr>
          <w:lang w:val="nl-BE"/>
        </w:rPr>
        <w:t xml:space="preserve"> </w:t>
      </w:r>
      <w:proofErr w:type="spellStart"/>
      <w:r w:rsidRPr="00135DC1">
        <w:rPr>
          <w:lang w:val="nl-BE"/>
        </w:rPr>
        <w:t>geöffnet</w:t>
      </w:r>
      <w:proofErr w:type="spellEnd"/>
      <w:r w:rsidRPr="00135DC1">
        <w:rPr>
          <w:lang w:val="nl-BE"/>
        </w:rPr>
        <w:t xml:space="preserve"> werden.”</w:t>
      </w:r>
    </w:p>
    <w:p w:rsidR="00B645F1" w:rsidRPr="00135DC1" w:rsidRDefault="00B645F1" w:rsidP="00B645F1">
      <w:pPr>
        <w:pStyle w:val="SingleTxtG"/>
        <w:ind w:left="1701"/>
        <w:rPr>
          <w:lang w:val="fr-BE"/>
        </w:rPr>
      </w:pPr>
      <w:r w:rsidRPr="00B645F1">
        <w:rPr>
          <w:u w:val="single"/>
          <w:lang w:val="fr-BE"/>
        </w:rPr>
        <w:t xml:space="preserve">French </w:t>
      </w:r>
      <w:proofErr w:type="spellStart"/>
      <w:proofErr w:type="gramStart"/>
      <w:r w:rsidRPr="00B645F1">
        <w:rPr>
          <w:u w:val="single"/>
          <w:lang w:val="fr-BE"/>
        </w:rPr>
        <w:t>text</w:t>
      </w:r>
      <w:proofErr w:type="spellEnd"/>
      <w:r w:rsidRPr="00135DC1">
        <w:rPr>
          <w:lang w:val="fr-BE"/>
        </w:rPr>
        <w:t>:</w:t>
      </w:r>
      <w:proofErr w:type="gramEnd"/>
    </w:p>
    <w:p w:rsidR="00446FE5" w:rsidRDefault="00B645F1" w:rsidP="00B645F1">
      <w:pPr>
        <w:pStyle w:val="SingleTxtG"/>
        <w:ind w:left="1701"/>
        <w:rPr>
          <w:lang w:val="fr-BE"/>
        </w:rPr>
      </w:pPr>
      <w:r w:rsidRPr="00135DC1">
        <w:rPr>
          <w:lang w:val="fr-BE"/>
        </w:rPr>
        <w:t xml:space="preserve">« Chaque ouverture dans la zone 0, à l’exception des soupapes de dégagement à grande vitesse/soupapes de sécurité de la citerne à cargaison à pression, doit être entourée d’un périmètre circulaire de zone 1, d’un </w:t>
      </w:r>
      <w:r w:rsidRPr="00135DC1">
        <w:rPr>
          <w:b/>
          <w:u w:val="single"/>
          <w:lang w:val="fr-BE"/>
        </w:rPr>
        <w:t>diamètre de 2,50 m au moins</w:t>
      </w:r>
      <w:r w:rsidRPr="00135DC1">
        <w:rPr>
          <w:lang w:val="fr-BE"/>
        </w:rPr>
        <w:t xml:space="preserve">. Pour les ouvertures d’un diamètre inférieur à 0,026 m (1"), la distance par rapport à la cloison extérieure de </w:t>
      </w:r>
      <w:proofErr w:type="spellStart"/>
      <w:r w:rsidRPr="00135DC1">
        <w:rPr>
          <w:lang w:val="fr-BE"/>
        </w:rPr>
        <w:t>cofferdam</w:t>
      </w:r>
      <w:proofErr w:type="spellEnd"/>
      <w:r w:rsidRPr="00135DC1">
        <w:rPr>
          <w:lang w:val="fr-BE"/>
        </w:rPr>
        <w:t xml:space="preserve"> peut être réduite à 0,50 m, à condition que de telles ouvertures ne soient pas ouvertes à l’air libre dans ce </w:t>
      </w:r>
      <w:proofErr w:type="gramStart"/>
      <w:r w:rsidRPr="00135DC1">
        <w:rPr>
          <w:lang w:val="fr-BE"/>
        </w:rPr>
        <w:t>périmètre;</w:t>
      </w:r>
      <w:proofErr w:type="gramEnd"/>
      <w:r w:rsidRPr="00135DC1">
        <w:rPr>
          <w:lang w:val="fr-BE"/>
        </w:rPr>
        <w:t> »</w:t>
      </w:r>
    </w:p>
    <w:p w:rsidR="00926529" w:rsidRPr="006E6A0E" w:rsidRDefault="00926529" w:rsidP="00926529">
      <w:pPr>
        <w:pStyle w:val="SingleTxtG"/>
      </w:pPr>
      <w:r w:rsidRPr="006E6A0E">
        <w:t>3.</w:t>
      </w:r>
      <w:r>
        <w:rPr>
          <w:b/>
          <w:bCs/>
        </w:rPr>
        <w:tab/>
      </w:r>
      <w:r w:rsidRPr="006E6A0E">
        <w:t>“A width of 2.50 m”:</w:t>
      </w:r>
    </w:p>
    <w:p w:rsidR="00B645F1" w:rsidRDefault="00926529" w:rsidP="00926529">
      <w:pPr>
        <w:pStyle w:val="SingleTxtG"/>
        <w:ind w:firstLine="567"/>
        <w:rPr>
          <w:color w:val="000000" w:themeColor="text1"/>
        </w:rPr>
      </w:pPr>
      <w:r w:rsidRPr="00135DC1">
        <w:rPr>
          <w:color w:val="000000" w:themeColor="text1"/>
        </w:rPr>
        <w:t xml:space="preserve">In English we read “at least a width of 2.50 m”; in French it is “diameter de 2.50 m au </w:t>
      </w:r>
      <w:proofErr w:type="spellStart"/>
      <w:r w:rsidRPr="00135DC1">
        <w:rPr>
          <w:color w:val="000000" w:themeColor="text1"/>
        </w:rPr>
        <w:t>moins</w:t>
      </w:r>
      <w:proofErr w:type="spellEnd"/>
      <w:r w:rsidRPr="00135DC1">
        <w:rPr>
          <w:color w:val="000000" w:themeColor="text1"/>
        </w:rPr>
        <w:t xml:space="preserve">”. The word “diameter” is better </w:t>
      </w:r>
      <w:r>
        <w:rPr>
          <w:color w:val="000000" w:themeColor="text1"/>
        </w:rPr>
        <w:t xml:space="preserve">than “width” </w:t>
      </w:r>
      <w:r w:rsidRPr="00135DC1">
        <w:rPr>
          <w:color w:val="000000" w:themeColor="text1"/>
        </w:rPr>
        <w:t>in the case of a cylinder. What about the German word “</w:t>
      </w:r>
      <w:proofErr w:type="spellStart"/>
      <w:r w:rsidRPr="00135DC1">
        <w:rPr>
          <w:color w:val="000000" w:themeColor="text1"/>
        </w:rPr>
        <w:t>Kreisringbreite</w:t>
      </w:r>
      <w:proofErr w:type="spellEnd"/>
      <w:r w:rsidRPr="00135DC1">
        <w:rPr>
          <w:color w:val="000000" w:themeColor="text1"/>
        </w:rPr>
        <w:t>”.</w:t>
      </w:r>
    </w:p>
    <w:p w:rsidR="00926529" w:rsidRPr="00926529" w:rsidRDefault="00926529" w:rsidP="00926529">
      <w:pPr>
        <w:pStyle w:val="SingleTxtG"/>
        <w:rPr>
          <w:b/>
          <w:bCs/>
        </w:rPr>
      </w:pPr>
      <w:r w:rsidRPr="006E6A0E">
        <w:lastRenderedPageBreak/>
        <w:t>4.</w:t>
      </w:r>
      <w:r w:rsidRPr="00926529">
        <w:rPr>
          <w:b/>
          <w:bCs/>
        </w:rPr>
        <w:tab/>
      </w:r>
      <w:r w:rsidRPr="00A41F7F">
        <w:t>“Cylindrical zone”:</w:t>
      </w:r>
    </w:p>
    <w:p w:rsidR="00926529" w:rsidRPr="00926529" w:rsidRDefault="00926529" w:rsidP="00926529">
      <w:pPr>
        <w:pStyle w:val="SingleTxtG"/>
      </w:pPr>
      <w:r>
        <w:tab/>
      </w:r>
      <w:r>
        <w:tab/>
      </w:r>
      <w:r w:rsidRPr="00926529">
        <w:t>How is this cylinder oriented? Vertical? horizontal? perpendicular to the opening</w:t>
      </w:r>
      <w:r>
        <w:tab/>
      </w:r>
      <w:r>
        <w:tab/>
      </w:r>
      <w:r w:rsidRPr="00926529">
        <w:t>plane?</w:t>
      </w:r>
    </w:p>
    <w:p w:rsidR="00926529" w:rsidRPr="00926529" w:rsidRDefault="00926529" w:rsidP="00926529">
      <w:pPr>
        <w:pStyle w:val="SingleTxtG"/>
        <w:rPr>
          <w:b/>
          <w:bCs/>
        </w:rPr>
      </w:pPr>
      <w:r w:rsidRPr="006E6A0E">
        <w:t>5.</w:t>
      </w:r>
      <w:r w:rsidRPr="00926529">
        <w:rPr>
          <w:b/>
          <w:bCs/>
        </w:rPr>
        <w:tab/>
      </w:r>
      <w:r w:rsidRPr="00926529">
        <w:t>The height of the cylinder would be defined.</w:t>
      </w:r>
    </w:p>
    <w:p w:rsidR="00926529" w:rsidRDefault="00926529" w:rsidP="00820E5D">
      <w:pPr>
        <w:pStyle w:val="SingleTxtG"/>
      </w:pPr>
      <w:r w:rsidRPr="006E6A0E">
        <w:rPr>
          <w:color w:val="000000" w:themeColor="text1"/>
        </w:rPr>
        <w:t>6.</w:t>
      </w:r>
      <w:r w:rsidRPr="002E1043">
        <w:rPr>
          <w:color w:val="000000" w:themeColor="text1"/>
        </w:rPr>
        <w:tab/>
      </w:r>
      <w:r w:rsidRPr="00135DC1">
        <w:t xml:space="preserve">The English version seems the clearest definition. With respect to the cylinder around the openings the group concluded that the prescribed cylindrical zone around the openings from Zone 0 should be a semi-sphere at the top of the cylinder with a radius of 2,5 m. </w:t>
      </w:r>
    </w:p>
    <w:p w:rsidR="00926529" w:rsidRDefault="00926529" w:rsidP="00820E5D">
      <w:pPr>
        <w:pStyle w:val="SingleTxtG"/>
      </w:pPr>
      <w:r w:rsidRPr="006E6A0E">
        <w:t>7.</w:t>
      </w:r>
      <w:r>
        <w:tab/>
      </w:r>
      <w:r w:rsidRPr="00135DC1">
        <w:t>The Group asks the Safety Committee to review and confirm this interpretation.</w:t>
      </w:r>
    </w:p>
    <w:p w:rsidR="00926529" w:rsidRDefault="00926529" w:rsidP="00820E5D">
      <w:pPr>
        <w:pStyle w:val="SingleTxtG"/>
      </w:pPr>
      <w:r w:rsidRPr="006E6A0E">
        <w:t>8.</w:t>
      </w:r>
      <w:r>
        <w:tab/>
        <w:t>The link between this text and the schema would be clarified.</w:t>
      </w:r>
    </w:p>
    <w:p w:rsidR="00926529" w:rsidRDefault="00926529" w:rsidP="00820E5D">
      <w:pPr>
        <w:pStyle w:val="SingleTxtG"/>
      </w:pPr>
      <w:r w:rsidRPr="006E6A0E">
        <w:t>9.</w:t>
      </w:r>
      <w:r>
        <w:tab/>
      </w:r>
      <w:r w:rsidRPr="00135DC1">
        <w:t xml:space="preserve">A second question </w:t>
      </w:r>
      <w:r w:rsidR="006E6A0E">
        <w:t>is</w:t>
      </w:r>
      <w:r w:rsidRPr="00135DC1">
        <w:t xml:space="preserve"> about the definition of zone</w:t>
      </w:r>
      <w:r>
        <w:t xml:space="preserve"> 1</w:t>
      </w:r>
      <w:r w:rsidRPr="00135DC1">
        <w:t xml:space="preserve"> for tank vessels with a hold space.</w:t>
      </w:r>
    </w:p>
    <w:p w:rsidR="00820E5D" w:rsidRPr="00B5704D" w:rsidRDefault="00820E5D" w:rsidP="00820E5D">
      <w:pPr>
        <w:pStyle w:val="SingleTxtG"/>
      </w:pPr>
      <w:r w:rsidRPr="00B5704D">
        <w:t>“ …</w:t>
      </w:r>
    </w:p>
    <w:p w:rsidR="00820E5D" w:rsidRPr="00B5704D" w:rsidRDefault="00820E5D" w:rsidP="00820E5D">
      <w:pPr>
        <w:pStyle w:val="SingleTxtG"/>
        <w:spacing w:after="0"/>
      </w:pPr>
      <w:r w:rsidRPr="00B5704D">
        <w:t>If the ship is built with hold spaces or a cofferdam/part of a cofferdam is arranged as a</w:t>
      </w:r>
      <w:r>
        <w:t xml:space="preserve"> service</w:t>
      </w:r>
    </w:p>
    <w:p w:rsidR="00820E5D" w:rsidRDefault="00820E5D" w:rsidP="00820E5D">
      <w:pPr>
        <w:pStyle w:val="SingleTxtG"/>
        <w:spacing w:after="360"/>
        <w:jc w:val="left"/>
      </w:pPr>
      <w:r w:rsidRPr="00B5704D">
        <w:t>space, the adjacent height (fore and aft) to the “boundary plane of the cargo</w:t>
      </w:r>
      <w:r>
        <w:t xml:space="preserve"> area” is 1.00 m above </w:t>
      </w:r>
      <w:proofErr w:type="spellStart"/>
      <w:r w:rsidRPr="00B5704D">
        <w:t>above</w:t>
      </w:r>
      <w:proofErr w:type="spellEnd"/>
      <w:r w:rsidRPr="00B5704D">
        <w:t xml:space="preserve"> deck (see diagram).</w:t>
      </w:r>
      <w:r>
        <w:t>”</w:t>
      </w:r>
    </w:p>
    <w:p w:rsidR="00820E5D" w:rsidRPr="00DB1577" w:rsidRDefault="00820E5D" w:rsidP="00820E5D">
      <w:pPr>
        <w:ind w:left="720" w:firstLine="720"/>
        <w:rPr>
          <w:rFonts w:ascii="Comic Sans MS" w:hAnsi="Comic Sans MS"/>
          <w:sz w:val="24"/>
          <w:szCs w:val="24"/>
          <w:lang w:val="fr-BE"/>
        </w:rPr>
      </w:pPr>
      <w:r w:rsidRPr="00DB1577">
        <w:rPr>
          <w:rFonts w:ascii="Comic Sans MS" w:hAnsi="Comic Sans MS"/>
          <w:noProof/>
          <w:sz w:val="24"/>
          <w:szCs w:val="24"/>
          <w:lang w:val="nl-BE" w:eastAsia="nl-BE"/>
        </w:rPr>
        <w:drawing>
          <wp:inline distT="0" distB="0" distL="0" distR="0" wp14:anchorId="1544EA6D" wp14:editId="0FE20DA0">
            <wp:extent cx="2062165" cy="1568186"/>
            <wp:effectExtent l="0" t="63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1414" cy="157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577">
        <w:rPr>
          <w:rFonts w:ascii="Comic Sans MS" w:hAnsi="Comic Sans MS"/>
          <w:sz w:val="24"/>
          <w:szCs w:val="24"/>
          <w:lang w:val="fr-BE"/>
        </w:rPr>
        <w:tab/>
      </w:r>
      <w:r w:rsidRPr="00DB1577">
        <w:rPr>
          <w:rFonts w:ascii="Comic Sans MS" w:hAnsi="Comic Sans MS"/>
          <w:sz w:val="24"/>
          <w:szCs w:val="24"/>
          <w:lang w:val="fr-BE"/>
        </w:rPr>
        <w:tab/>
      </w:r>
      <w:r w:rsidRPr="00DB1577">
        <w:rPr>
          <w:rFonts w:ascii="Comic Sans MS" w:hAnsi="Comic Sans MS"/>
          <w:sz w:val="24"/>
          <w:szCs w:val="24"/>
          <w:lang w:val="fr-BE"/>
        </w:rPr>
        <w:tab/>
      </w:r>
      <w:r w:rsidRPr="00DB1577">
        <w:rPr>
          <w:rFonts w:ascii="Comic Sans MS" w:hAnsi="Comic Sans MS"/>
          <w:noProof/>
          <w:sz w:val="24"/>
          <w:szCs w:val="24"/>
          <w:lang w:val="nl-BE" w:eastAsia="nl-BE"/>
        </w:rPr>
        <w:drawing>
          <wp:inline distT="0" distB="0" distL="0" distR="0" wp14:anchorId="6E31652D" wp14:editId="78035612">
            <wp:extent cx="1752600" cy="1215217"/>
            <wp:effectExtent l="2222" t="0" r="2223" b="222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6974" cy="123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0E5D" w:rsidRPr="00B5704D" w:rsidRDefault="00820E5D" w:rsidP="002E1EA2">
      <w:pPr>
        <w:pStyle w:val="SingleTxtG"/>
        <w:spacing w:before="240"/>
      </w:pPr>
      <w:r w:rsidRPr="00B5704D">
        <w:t xml:space="preserve">Why this reference to the diagram that doesn’t include </w:t>
      </w:r>
      <w:proofErr w:type="gramStart"/>
      <w:r w:rsidRPr="00B5704D">
        <w:t>an</w:t>
      </w:r>
      <w:proofErr w:type="gramEnd"/>
      <w:r w:rsidRPr="00B5704D">
        <w:t xml:space="preserve"> hold space?</w:t>
      </w:r>
    </w:p>
    <w:p w:rsidR="00820E5D" w:rsidRPr="00401EA7" w:rsidRDefault="00820E5D" w:rsidP="00820E5D">
      <w:pPr>
        <w:pStyle w:val="SingleTxtG"/>
        <w:rPr>
          <w:rFonts w:ascii="Verdana" w:hAnsi="Verdana"/>
        </w:rPr>
      </w:pPr>
      <w:r w:rsidRPr="006E6A0E">
        <w:t>10.</w:t>
      </w:r>
      <w:r>
        <w:tab/>
      </w:r>
      <w:r w:rsidRPr="00B5704D">
        <w:t xml:space="preserve">This question could be solved </w:t>
      </w:r>
      <w:proofErr w:type="gramStart"/>
      <w:r w:rsidRPr="00B5704D">
        <w:t>on the basis of</w:t>
      </w:r>
      <w:proofErr w:type="gramEnd"/>
      <w:r w:rsidRPr="00B5704D">
        <w:t xml:space="preserve"> the actual definitions and the connected sketches. Nevertheless, the group believes the relationship between written definitions and illustrative sketches could be made clearer.</w:t>
      </w:r>
    </w:p>
    <w:p w:rsidR="00820E5D" w:rsidRDefault="00820E5D" w:rsidP="00820E5D">
      <w:pPr>
        <w:pStyle w:val="SingleTxtG"/>
      </w:pPr>
      <w:r w:rsidRPr="006E6A0E">
        <w:t>11.</w:t>
      </w:r>
      <w:r>
        <w:tab/>
        <w:t>The words “Every opening …” would be explained: what kind of openings? is a bolted blind flange an opening?</w:t>
      </w:r>
    </w:p>
    <w:p w:rsidR="00820E5D" w:rsidRPr="00820E5D" w:rsidRDefault="00820E5D" w:rsidP="00820E5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20E5D" w:rsidRPr="00820E5D" w:rsidSect="00820E5D">
      <w:headerReference w:type="even" r:id="rId10"/>
      <w:headerReference w:type="default" r:id="rId1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1B2" w:rsidRDefault="008C01B2" w:rsidP="00F95C08">
      <w:pPr>
        <w:spacing w:line="240" w:lineRule="auto"/>
      </w:pPr>
    </w:p>
  </w:endnote>
  <w:endnote w:type="continuationSeparator" w:id="0">
    <w:p w:rsidR="008C01B2" w:rsidRPr="00AC3823" w:rsidRDefault="008C01B2" w:rsidP="00AC3823">
      <w:pPr>
        <w:pStyle w:val="Footer"/>
      </w:pPr>
    </w:p>
  </w:endnote>
  <w:endnote w:type="continuationNotice" w:id="1">
    <w:p w:rsidR="008C01B2" w:rsidRDefault="008C01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1B2" w:rsidRPr="00AC3823" w:rsidRDefault="008C01B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01B2" w:rsidRPr="00AC3823" w:rsidRDefault="008C01B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C01B2" w:rsidRPr="00AC3823" w:rsidRDefault="008C01B2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5D" w:rsidRPr="00820E5D" w:rsidRDefault="00820E5D">
    <w:pPr>
      <w:pStyle w:val="Header"/>
      <w:rPr>
        <w:lang w:val="fr-CH"/>
      </w:rPr>
    </w:pPr>
    <w:r>
      <w:rPr>
        <w:lang w:val="fr-CH"/>
      </w:rPr>
      <w:t>INF.25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5D" w:rsidRPr="00820E5D" w:rsidRDefault="00820E5D">
    <w:pPr>
      <w:pStyle w:val="Header"/>
      <w:rPr>
        <w:lang w:val="fr-CH"/>
      </w:rPr>
    </w:pPr>
    <w:r>
      <w:rPr>
        <w:lang w:val="fr-CH"/>
      </w:rPr>
      <w:t>INF. 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08451DA"/>
    <w:multiLevelType w:val="hybridMultilevel"/>
    <w:tmpl w:val="65364D22"/>
    <w:lvl w:ilvl="0" w:tplc="620E4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2"/>
    <w:rsid w:val="00017F94"/>
    <w:rsid w:val="00023842"/>
    <w:rsid w:val="000334F9"/>
    <w:rsid w:val="0007796D"/>
    <w:rsid w:val="000B7790"/>
    <w:rsid w:val="000C390E"/>
    <w:rsid w:val="00103267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2E1EA2"/>
    <w:rsid w:val="00350987"/>
    <w:rsid w:val="00353ED5"/>
    <w:rsid w:val="00382A1F"/>
    <w:rsid w:val="00390178"/>
    <w:rsid w:val="003D1AD0"/>
    <w:rsid w:val="00446FE5"/>
    <w:rsid w:val="00452396"/>
    <w:rsid w:val="004559FB"/>
    <w:rsid w:val="004D1CEB"/>
    <w:rsid w:val="005505B7"/>
    <w:rsid w:val="00573BE5"/>
    <w:rsid w:val="00586ED3"/>
    <w:rsid w:val="00596AA9"/>
    <w:rsid w:val="006122C4"/>
    <w:rsid w:val="006E2C9B"/>
    <w:rsid w:val="006E6A0E"/>
    <w:rsid w:val="0071601D"/>
    <w:rsid w:val="0076624F"/>
    <w:rsid w:val="00766CEC"/>
    <w:rsid w:val="0079527C"/>
    <w:rsid w:val="007A62E6"/>
    <w:rsid w:val="007D0A06"/>
    <w:rsid w:val="0080684C"/>
    <w:rsid w:val="00815502"/>
    <w:rsid w:val="00820E5D"/>
    <w:rsid w:val="00871C75"/>
    <w:rsid w:val="008776DC"/>
    <w:rsid w:val="008C01B2"/>
    <w:rsid w:val="008F2A1D"/>
    <w:rsid w:val="00926529"/>
    <w:rsid w:val="0093050C"/>
    <w:rsid w:val="00957790"/>
    <w:rsid w:val="009705C8"/>
    <w:rsid w:val="00A12AB5"/>
    <w:rsid w:val="00A41F7F"/>
    <w:rsid w:val="00AC3823"/>
    <w:rsid w:val="00AD3959"/>
    <w:rsid w:val="00AE323C"/>
    <w:rsid w:val="00AE7D9F"/>
    <w:rsid w:val="00B00181"/>
    <w:rsid w:val="00B43C66"/>
    <w:rsid w:val="00B645F1"/>
    <w:rsid w:val="00B765F7"/>
    <w:rsid w:val="00BA0CA9"/>
    <w:rsid w:val="00BB3E59"/>
    <w:rsid w:val="00BE1F4C"/>
    <w:rsid w:val="00BE4745"/>
    <w:rsid w:val="00BF3C2C"/>
    <w:rsid w:val="00C02897"/>
    <w:rsid w:val="00C94FD2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52D9F"/>
    <w:rsid w:val="00F12269"/>
    <w:rsid w:val="00F164B0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5426122-B51A-4653-BDE0-DFCE584F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2"/>
    <w:pPr>
      <w:suppressAutoHyphens/>
      <w:spacing w:after="0"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</w:pPr>
  </w:style>
  <w:style w:type="paragraph" w:customStyle="1" w:styleId="Default">
    <w:name w:val="Default"/>
    <w:rsid w:val="008C01B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nl-BE" w:eastAsia="en-US"/>
    </w:rPr>
  </w:style>
  <w:style w:type="paragraph" w:styleId="ListParagraph">
    <w:name w:val="List Paragraph"/>
    <w:basedOn w:val="Normal"/>
    <w:uiPriority w:val="34"/>
    <w:qFormat/>
    <w:rsid w:val="00B645F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CE88-D73E-4B19-81B8-169EE891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Marie-Claude Collet</cp:lastModifiedBy>
  <cp:revision>5</cp:revision>
  <cp:lastPrinted>2019-07-29T09:21:00Z</cp:lastPrinted>
  <dcterms:created xsi:type="dcterms:W3CDTF">2019-07-29T08:43:00Z</dcterms:created>
  <dcterms:modified xsi:type="dcterms:W3CDTF">2019-07-29T14:14:00Z</dcterms:modified>
</cp:coreProperties>
</file>