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4B01" w14:textId="77777777" w:rsidR="003F2B10" w:rsidRPr="003F2B10" w:rsidRDefault="003F2B10" w:rsidP="00C06212">
      <w:pPr>
        <w:rPr>
          <w:lang w:val="de-DE"/>
        </w:rPr>
      </w:pPr>
      <w:bookmarkStart w:id="0" w:name="_GoBack"/>
      <w:bookmarkEnd w:id="0"/>
    </w:p>
    <w:p w14:paraId="477012D8" w14:textId="77777777" w:rsidR="003F2B10" w:rsidRPr="003F2B10" w:rsidRDefault="003F2B10" w:rsidP="003F2B10">
      <w:pPr>
        <w:rPr>
          <w:lang w:val="de-DE"/>
        </w:rPr>
      </w:pPr>
    </w:p>
    <w:p w14:paraId="318FCC20" w14:textId="24920019" w:rsidR="003F2B10" w:rsidRPr="00AD6C7D" w:rsidRDefault="003F2B10" w:rsidP="003F2B10">
      <w:pPr>
        <w:spacing w:line="240" w:lineRule="auto"/>
        <w:ind w:left="5387" w:right="-286"/>
        <w:outlineLvl w:val="0"/>
        <w:rPr>
          <w:rFonts w:ascii="Arial" w:eastAsia="Arial" w:hAnsi="Arial" w:cs="Arial"/>
          <w:bCs/>
          <w:szCs w:val="24"/>
          <w:lang w:val="de-DE" w:eastAsia="de-DE"/>
        </w:rPr>
      </w:pPr>
      <w:r w:rsidRPr="00AD6C7D">
        <w:rPr>
          <w:noProof/>
          <w:lang w:val="de-DE" w:eastAsia="de-DE"/>
        </w:rPr>
        <w:drawing>
          <wp:anchor distT="0" distB="0" distL="114300" distR="114300" simplePos="0" relativeHeight="251659264" behindDoc="0" locked="0" layoutInCell="1" allowOverlap="1" wp14:anchorId="5FEEBEF3" wp14:editId="65205847">
            <wp:simplePos x="0" y="0"/>
            <wp:positionH relativeFrom="column">
              <wp:posOffset>0</wp:posOffset>
            </wp:positionH>
            <wp:positionV relativeFrom="paragraph">
              <wp:posOffset>-68580</wp:posOffset>
            </wp:positionV>
            <wp:extent cx="1713865" cy="604520"/>
            <wp:effectExtent l="0" t="0" r="635" b="508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Pr="00AD6C7D">
        <w:rPr>
          <w:rFonts w:ascii="Arial" w:eastAsia="Arial" w:hAnsi="Arial" w:cs="Arial"/>
          <w:bCs/>
          <w:szCs w:val="24"/>
          <w:lang w:val="de-DE" w:eastAsia="de-DE"/>
        </w:rPr>
        <w:t>CCNR-ZKR/ADN/WP.15/AC.2/72</w:t>
      </w:r>
    </w:p>
    <w:p w14:paraId="7496B16D" w14:textId="77777777" w:rsidR="003F2B10" w:rsidRPr="00AD6C7D" w:rsidRDefault="003F2B10" w:rsidP="003F2B10">
      <w:pPr>
        <w:spacing w:line="240" w:lineRule="auto"/>
        <w:ind w:left="5387" w:right="-286"/>
        <w:outlineLvl w:val="0"/>
        <w:rPr>
          <w:rFonts w:ascii="Arial" w:hAnsi="Arial" w:cs="Arial"/>
          <w:sz w:val="16"/>
          <w:szCs w:val="24"/>
          <w:lang w:val="de-DE" w:eastAsia="de-DE"/>
        </w:rPr>
      </w:pPr>
      <w:r w:rsidRPr="00AD6C7D">
        <w:rPr>
          <w:rFonts w:ascii="Arial" w:hAnsi="Arial" w:cs="Arial"/>
          <w:sz w:val="16"/>
          <w:szCs w:val="24"/>
          <w:lang w:val="de-DE" w:eastAsia="de-DE"/>
        </w:rPr>
        <w:t>Allgemeine Verteilung</w:t>
      </w:r>
    </w:p>
    <w:p w14:paraId="54219F94" w14:textId="5D864F60" w:rsidR="003F2B10" w:rsidRPr="00AD6C7D" w:rsidRDefault="003F2B10" w:rsidP="003F2B10">
      <w:pPr>
        <w:tabs>
          <w:tab w:val="right" w:pos="3856"/>
          <w:tab w:val="left" w:pos="5670"/>
        </w:tabs>
        <w:spacing w:line="240" w:lineRule="auto"/>
        <w:ind w:left="5387"/>
        <w:rPr>
          <w:rFonts w:ascii="Arial" w:eastAsia="Arial" w:hAnsi="Arial" w:cs="Arial"/>
          <w:szCs w:val="24"/>
          <w:lang w:val="de-DE" w:eastAsia="de-DE"/>
        </w:rPr>
      </w:pPr>
      <w:r w:rsidRPr="00AD6C7D">
        <w:rPr>
          <w:rFonts w:ascii="Arial" w:eastAsia="Arial" w:hAnsi="Arial" w:cs="Arial"/>
          <w:szCs w:val="24"/>
          <w:lang w:val="de-DE" w:eastAsia="de-DE"/>
        </w:rPr>
        <w:t>12. September 2019</w:t>
      </w:r>
    </w:p>
    <w:p w14:paraId="28F3C9B5" w14:textId="77777777" w:rsidR="003F2B10" w:rsidRPr="00AD6C7D" w:rsidRDefault="003F2B10" w:rsidP="003F2B10">
      <w:pPr>
        <w:tabs>
          <w:tab w:val="right" w:pos="3856"/>
          <w:tab w:val="left" w:pos="5670"/>
        </w:tabs>
        <w:spacing w:line="240" w:lineRule="auto"/>
        <w:ind w:left="5387" w:right="565"/>
        <w:rPr>
          <w:rFonts w:ascii="Arial" w:hAnsi="Arial" w:cs="Arial"/>
          <w:snapToGrid w:val="0"/>
          <w:kern w:val="2"/>
          <w:lang w:val="de-DE" w:eastAsia="de-DE"/>
        </w:rPr>
      </w:pPr>
      <w:proofErr w:type="spellStart"/>
      <w:r w:rsidRPr="00AD6C7D">
        <w:rPr>
          <w:rFonts w:ascii="Arial" w:eastAsia="Arial" w:hAnsi="Arial" w:cs="Arial"/>
          <w:sz w:val="16"/>
          <w:szCs w:val="24"/>
          <w:lang w:val="de-DE" w:eastAsia="de-DE"/>
        </w:rPr>
        <w:t>Or</w:t>
      </w:r>
      <w:proofErr w:type="spellEnd"/>
      <w:r w:rsidRPr="00AD6C7D">
        <w:rPr>
          <w:rFonts w:ascii="Arial" w:eastAsia="Arial" w:hAnsi="Arial" w:cs="Arial"/>
          <w:sz w:val="16"/>
          <w:szCs w:val="24"/>
          <w:lang w:val="de-DE" w:eastAsia="de-DE"/>
        </w:rPr>
        <w:t>.  ENGLISCH</w:t>
      </w:r>
    </w:p>
    <w:p w14:paraId="2B8DEF89" w14:textId="77777777" w:rsidR="003F2B10" w:rsidRPr="00AD6C7D" w:rsidRDefault="003F2B10" w:rsidP="003F2B10">
      <w:pPr>
        <w:spacing w:line="240" w:lineRule="auto"/>
        <w:rPr>
          <w:rFonts w:ascii="Arial" w:hAnsi="Arial" w:cs="Arial"/>
          <w:sz w:val="16"/>
          <w:szCs w:val="24"/>
          <w:lang w:val="de-DE" w:eastAsia="de-DE"/>
        </w:rPr>
      </w:pPr>
    </w:p>
    <w:p w14:paraId="7F2B18E2" w14:textId="0F24413E" w:rsidR="003F2B10" w:rsidRPr="00AD6C7D" w:rsidRDefault="003F2B10" w:rsidP="003F2B10">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AD6C7D">
        <w:rPr>
          <w:rFonts w:ascii="Arial" w:hAnsi="Arial" w:cs="Arial"/>
          <w:snapToGrid w:val="0"/>
          <w:sz w:val="16"/>
          <w:szCs w:val="16"/>
          <w:lang w:val="de-DE" w:eastAsia="fr-FR"/>
        </w:rPr>
        <w:t xml:space="preserve">GEMEINSAME EXPERTENTAGUNG FÜR DIE DEM ÜBEREINKOMMEN ÜBER DIE INTERNATIONALE BEFÖRDERUNG VON GEFÄHRLICHEN GÜTERN AUF </w:t>
      </w:r>
      <w:proofErr w:type="spellStart"/>
      <w:r w:rsidRPr="00AD6C7D">
        <w:rPr>
          <w:rFonts w:ascii="Arial" w:hAnsi="Arial" w:cs="Arial"/>
          <w:snapToGrid w:val="0"/>
          <w:sz w:val="16"/>
          <w:szCs w:val="16"/>
          <w:lang w:val="de-DE" w:eastAsia="fr-FR"/>
        </w:rPr>
        <w:t>BINNENWASSERSTRA</w:t>
      </w:r>
      <w:r w:rsidR="00BE1232" w:rsidRPr="00AD6C7D">
        <w:rPr>
          <w:rFonts w:ascii="Arial" w:hAnsi="Arial" w:cs="Arial"/>
          <w:snapToGrid w:val="0"/>
          <w:sz w:val="16"/>
          <w:szCs w:val="16"/>
          <w:lang w:val="de-DE" w:eastAsia="fr-FR"/>
        </w:rPr>
        <w:t>ß</w:t>
      </w:r>
      <w:r w:rsidRPr="00AD6C7D">
        <w:rPr>
          <w:rFonts w:ascii="Arial" w:hAnsi="Arial" w:cs="Arial"/>
          <w:snapToGrid w:val="0"/>
          <w:sz w:val="16"/>
          <w:szCs w:val="16"/>
          <w:lang w:val="de-DE" w:eastAsia="fr-FR"/>
        </w:rPr>
        <w:t>EN</w:t>
      </w:r>
      <w:proofErr w:type="spellEnd"/>
    </w:p>
    <w:p w14:paraId="33668632" w14:textId="7CE7A509" w:rsidR="003F2B10" w:rsidRPr="00AD6C7D" w:rsidRDefault="00BE1232" w:rsidP="003F2B10">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AD6C7D">
        <w:rPr>
          <w:rFonts w:ascii="Arial" w:hAnsi="Arial" w:cs="Arial"/>
          <w:snapToGrid w:val="0"/>
          <w:sz w:val="16"/>
          <w:szCs w:val="16"/>
          <w:lang w:val="de-DE" w:eastAsia="fr-FR"/>
        </w:rPr>
        <w:t xml:space="preserve">(ADN) </w:t>
      </w:r>
      <w:r w:rsidR="003F2B10" w:rsidRPr="00AD6C7D">
        <w:rPr>
          <w:rFonts w:ascii="Arial" w:hAnsi="Arial" w:cs="Arial"/>
          <w:snapToGrid w:val="0"/>
          <w:sz w:val="16"/>
          <w:szCs w:val="16"/>
          <w:lang w:val="de-DE" w:eastAsia="fr-FR"/>
        </w:rPr>
        <w:t>BEIGEFÜGTE VERORDNUNG</w:t>
      </w:r>
    </w:p>
    <w:p w14:paraId="7F36FBCF" w14:textId="77777777" w:rsidR="003F2B10" w:rsidRPr="00AD6C7D" w:rsidRDefault="003F2B10" w:rsidP="003F2B10">
      <w:pPr>
        <w:tabs>
          <w:tab w:val="left" w:pos="2977"/>
        </w:tabs>
        <w:spacing w:line="240" w:lineRule="auto"/>
        <w:ind w:left="4111" w:right="-2"/>
        <w:rPr>
          <w:rFonts w:ascii="Arial" w:hAnsi="Arial" w:cs="Arial"/>
          <w:snapToGrid w:val="0"/>
          <w:sz w:val="16"/>
          <w:szCs w:val="16"/>
          <w:lang w:val="de-DE" w:eastAsia="fr-FR"/>
        </w:rPr>
      </w:pPr>
      <w:r w:rsidRPr="00AD6C7D">
        <w:rPr>
          <w:rFonts w:ascii="Arial" w:hAnsi="Arial" w:cs="Arial"/>
          <w:snapToGrid w:val="0"/>
          <w:sz w:val="16"/>
          <w:szCs w:val="16"/>
          <w:lang w:val="de-DE" w:eastAsia="fr-FR"/>
        </w:rPr>
        <w:t>(SICHERHEITSAUSSCHUSS)</w:t>
      </w:r>
    </w:p>
    <w:p w14:paraId="7B67379F" w14:textId="6BCADF58" w:rsidR="003F2B10" w:rsidRPr="00AD6C7D" w:rsidRDefault="003F2B10" w:rsidP="003F2B10">
      <w:pPr>
        <w:tabs>
          <w:tab w:val="left" w:pos="2977"/>
        </w:tabs>
        <w:spacing w:line="240" w:lineRule="auto"/>
        <w:ind w:left="4111" w:right="-2"/>
        <w:rPr>
          <w:rFonts w:ascii="Arial" w:hAnsi="Arial" w:cs="Arial"/>
          <w:snapToGrid w:val="0"/>
          <w:sz w:val="16"/>
          <w:szCs w:val="16"/>
          <w:lang w:val="de-DE" w:eastAsia="fr-FR"/>
        </w:rPr>
      </w:pPr>
      <w:r w:rsidRPr="00AD6C7D">
        <w:rPr>
          <w:rFonts w:ascii="Arial" w:hAnsi="Arial" w:cs="Arial"/>
          <w:snapToGrid w:val="0"/>
          <w:sz w:val="16"/>
          <w:szCs w:val="16"/>
          <w:lang w:val="de-DE" w:eastAsia="fr-FR"/>
        </w:rPr>
        <w:t>(35. Tagung, Genf, 26. bis 30. August 2019)</w:t>
      </w:r>
    </w:p>
    <w:p w14:paraId="41CDBFAE" w14:textId="77777777" w:rsidR="003F2B10" w:rsidRPr="00AD6C7D" w:rsidRDefault="003F2B10" w:rsidP="003F2B10">
      <w:pPr>
        <w:rPr>
          <w:lang w:val="de-DE"/>
        </w:rPr>
      </w:pPr>
    </w:p>
    <w:p w14:paraId="0D3F45DD" w14:textId="4E2F70EB" w:rsidR="003F2B10" w:rsidRPr="00AD6C7D" w:rsidRDefault="003F2B10" w:rsidP="003F2B10">
      <w:pPr>
        <w:keepNext/>
        <w:keepLines/>
        <w:tabs>
          <w:tab w:val="right" w:pos="851"/>
        </w:tabs>
        <w:spacing w:before="300" w:after="240" w:line="300" w:lineRule="exact"/>
        <w:ind w:left="1134" w:right="1134" w:hanging="1134"/>
        <w:rPr>
          <w:b/>
          <w:sz w:val="28"/>
          <w:szCs w:val="28"/>
          <w:lang w:val="de-DE"/>
        </w:rPr>
      </w:pPr>
      <w:r w:rsidRPr="00AD6C7D">
        <w:rPr>
          <w:b/>
          <w:sz w:val="28"/>
          <w:lang w:val="de-DE"/>
        </w:rPr>
        <w:tab/>
      </w:r>
      <w:bookmarkStart w:id="1" w:name="_Toc505688398"/>
      <w:r w:rsidRPr="00AD6C7D">
        <w:rPr>
          <w:b/>
          <w:sz w:val="28"/>
          <w:lang w:val="de-DE"/>
        </w:rPr>
        <w:tab/>
      </w:r>
      <w:bookmarkEnd w:id="1"/>
      <w:r w:rsidRPr="00AD6C7D">
        <w:rPr>
          <w:b/>
          <w:sz w:val="28"/>
          <w:lang w:val="de-DE"/>
        </w:rPr>
        <w:t>Protokoll über die fünfunddreißigste Sitzung der Gemeinsamen Expertentagung für die dem Europäischen Übereinkommen über die internationale Beförderung von gefährlichen Gütern auf Binnenwasserstraßen beigefügte Verordnung (ADN-Sicherheitsausschuss)</w:t>
      </w:r>
      <w:r w:rsidRPr="00AD6C7D">
        <w:rPr>
          <w:b/>
          <w:sz w:val="18"/>
          <w:szCs w:val="28"/>
          <w:vertAlign w:val="superscript"/>
          <w:lang w:val="de-DE"/>
        </w:rPr>
        <w:t xml:space="preserve"> </w:t>
      </w:r>
      <w:r w:rsidRPr="00AD6C7D">
        <w:rPr>
          <w:szCs w:val="28"/>
          <w:vertAlign w:val="superscript"/>
          <w:lang w:val="de-DE"/>
        </w:rPr>
        <w:footnoteReference w:customMarkFollows="1" w:id="1"/>
        <w:sym w:font="Symbol" w:char="F02A"/>
      </w:r>
    </w:p>
    <w:p w14:paraId="2FE6AD36" w14:textId="254E96D9" w:rsidR="00925F82" w:rsidRPr="00AD6C7D" w:rsidRDefault="00925F82" w:rsidP="00925F82">
      <w:pPr>
        <w:spacing w:after="120"/>
        <w:rPr>
          <w:sz w:val="28"/>
          <w:lang w:val="de-DE"/>
        </w:rPr>
      </w:pPr>
      <w:r w:rsidRPr="00AD6C7D">
        <w:rPr>
          <w:lang w:val="de-DE"/>
        </w:rPr>
        <w:br w:type="page"/>
      </w:r>
      <w:bookmarkStart w:id="2" w:name="_Toc410743247"/>
      <w:bookmarkStart w:id="3" w:name="_Toc428948782"/>
      <w:bookmarkStart w:id="4" w:name="_Toc442372096"/>
    </w:p>
    <w:bookmarkEnd w:id="2"/>
    <w:bookmarkEnd w:id="3"/>
    <w:bookmarkEnd w:id="4"/>
    <w:p w14:paraId="3F8FC211" w14:textId="4E22E2B0" w:rsidR="00925F82" w:rsidRPr="00AD6C7D" w:rsidRDefault="003C3FED" w:rsidP="00925F82">
      <w:pPr>
        <w:tabs>
          <w:tab w:val="right" w:pos="850"/>
          <w:tab w:val="left" w:pos="1134"/>
          <w:tab w:val="left" w:pos="1559"/>
          <w:tab w:val="left" w:pos="1984"/>
          <w:tab w:val="left" w:leader="dot" w:pos="7654"/>
          <w:tab w:val="right" w:pos="8929"/>
          <w:tab w:val="right" w:pos="9638"/>
        </w:tabs>
        <w:spacing w:after="120"/>
        <w:rPr>
          <w:sz w:val="24"/>
          <w:szCs w:val="24"/>
          <w:lang w:val="de-DE"/>
        </w:rPr>
      </w:pPr>
      <w:r w:rsidRPr="00AD6C7D">
        <w:rPr>
          <w:b/>
          <w:sz w:val="24"/>
          <w:szCs w:val="24"/>
          <w:lang w:val="de-DE"/>
        </w:rPr>
        <w:lastRenderedPageBreak/>
        <w:t>Inhalt</w:t>
      </w:r>
    </w:p>
    <w:p w14:paraId="570F2C07" w14:textId="77777777" w:rsidR="003C3FED" w:rsidRPr="00AD6C7D" w:rsidRDefault="003C3FED" w:rsidP="003C3FED">
      <w:pPr>
        <w:tabs>
          <w:tab w:val="right" w:pos="8929"/>
          <w:tab w:val="right" w:pos="9638"/>
        </w:tabs>
        <w:spacing w:after="120"/>
        <w:ind w:left="283"/>
        <w:rPr>
          <w:sz w:val="18"/>
          <w:lang w:val="de-DE"/>
        </w:rPr>
      </w:pPr>
      <w:r w:rsidRPr="00AD6C7D">
        <w:rPr>
          <w:i/>
          <w:sz w:val="18"/>
          <w:lang w:val="de-DE"/>
        </w:rPr>
        <w:tab/>
        <w:t>Absätze</w:t>
      </w:r>
      <w:r w:rsidRPr="00AD6C7D">
        <w:rPr>
          <w:i/>
          <w:sz w:val="18"/>
          <w:lang w:val="de-DE"/>
        </w:rPr>
        <w:tab/>
        <w:t>Seite</w:t>
      </w:r>
    </w:p>
    <w:p w14:paraId="7DAF8FFB" w14:textId="6DE4503C" w:rsidR="00925F82" w:rsidRPr="00AD6C7D" w:rsidRDefault="00925F82" w:rsidP="00925F82">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AD6C7D">
        <w:rPr>
          <w:noProof/>
          <w:lang w:val="de-DE"/>
        </w:rPr>
        <w:tab/>
        <w:t>I.</w:t>
      </w:r>
      <w:r w:rsidRPr="00AD6C7D">
        <w:rPr>
          <w:noProof/>
          <w:lang w:val="de-DE"/>
        </w:rPr>
        <w:tab/>
      </w:r>
      <w:r w:rsidR="003C3FED" w:rsidRPr="00AD6C7D">
        <w:rPr>
          <w:noProof/>
          <w:lang w:val="de-DE"/>
        </w:rPr>
        <w:t>Teilnehmer</w:t>
      </w:r>
      <w:r w:rsidRPr="00AD6C7D">
        <w:rPr>
          <w:noProof/>
          <w:webHidden/>
          <w:lang w:val="de-DE"/>
        </w:rPr>
        <w:tab/>
      </w:r>
      <w:r w:rsidRPr="00AD6C7D">
        <w:rPr>
          <w:noProof/>
          <w:webHidden/>
          <w:lang w:val="de-DE"/>
        </w:rPr>
        <w:tab/>
        <w:t>1-4</w:t>
      </w:r>
      <w:r w:rsidRPr="00AD6C7D">
        <w:rPr>
          <w:noProof/>
          <w:webHidden/>
          <w:lang w:val="de-DE"/>
        </w:rPr>
        <w:tab/>
        <w:t>4</w:t>
      </w:r>
    </w:p>
    <w:p w14:paraId="5333812D" w14:textId="4F1A10A9" w:rsidR="00925F82" w:rsidRPr="00AD6C7D" w:rsidRDefault="00925F82" w:rsidP="00C57F49">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AD6C7D">
        <w:rPr>
          <w:lang w:val="de-DE"/>
        </w:rPr>
        <w:tab/>
        <w:t>II.</w:t>
      </w:r>
      <w:r w:rsidRPr="00AD6C7D">
        <w:rPr>
          <w:lang w:val="de-DE"/>
        </w:rPr>
        <w:tab/>
      </w:r>
      <w:r w:rsidR="00C57F49" w:rsidRPr="00AD6C7D">
        <w:rPr>
          <w:lang w:val="de-DE"/>
        </w:rPr>
        <w:t>Eröffnung der Sitzung</w:t>
      </w:r>
      <w:r w:rsidRPr="00AD6C7D">
        <w:rPr>
          <w:lang w:val="de-DE"/>
        </w:rPr>
        <w:tab/>
      </w:r>
      <w:r w:rsidRPr="00AD6C7D">
        <w:rPr>
          <w:lang w:val="de-DE"/>
        </w:rPr>
        <w:tab/>
        <w:t>5</w:t>
      </w:r>
      <w:r w:rsidRPr="00AD6C7D">
        <w:rPr>
          <w:lang w:val="de-DE"/>
        </w:rPr>
        <w:tab/>
        <w:t>4</w:t>
      </w:r>
    </w:p>
    <w:p w14:paraId="79EF71E3" w14:textId="4BA029F3" w:rsidR="00925F82" w:rsidRPr="00AD6C7D" w:rsidRDefault="00925F82" w:rsidP="00925F82">
      <w:pPr>
        <w:tabs>
          <w:tab w:val="right" w:pos="850"/>
          <w:tab w:val="left" w:pos="1134"/>
          <w:tab w:val="left" w:pos="1559"/>
          <w:tab w:val="left" w:pos="1984"/>
          <w:tab w:val="left" w:leader="dot" w:pos="7654"/>
          <w:tab w:val="right" w:pos="8929"/>
          <w:tab w:val="right" w:pos="9638"/>
        </w:tabs>
        <w:spacing w:after="120" w:line="220" w:lineRule="atLeast"/>
        <w:rPr>
          <w:noProof/>
          <w:webHidden/>
          <w:lang w:val="de-DE"/>
        </w:rPr>
      </w:pPr>
      <w:r w:rsidRPr="00AD6C7D">
        <w:rPr>
          <w:noProof/>
          <w:lang w:val="de-DE"/>
        </w:rPr>
        <w:tab/>
        <w:t>III.</w:t>
      </w:r>
      <w:r w:rsidRPr="00AD6C7D">
        <w:rPr>
          <w:noProof/>
          <w:lang w:val="de-DE"/>
        </w:rPr>
        <w:tab/>
      </w:r>
      <w:r w:rsidR="003C3FED" w:rsidRPr="00AD6C7D">
        <w:rPr>
          <w:noProof/>
          <w:lang w:val="de-DE"/>
        </w:rPr>
        <w:t>Genehmigung der Tagesordnung (TOP 1)</w:t>
      </w:r>
      <w:r w:rsidRPr="00AD6C7D">
        <w:rPr>
          <w:noProof/>
          <w:webHidden/>
          <w:lang w:val="de-DE"/>
        </w:rPr>
        <w:tab/>
      </w:r>
      <w:r w:rsidRPr="00AD6C7D">
        <w:rPr>
          <w:noProof/>
          <w:webHidden/>
          <w:lang w:val="de-DE"/>
        </w:rPr>
        <w:tab/>
        <w:t>6</w:t>
      </w:r>
      <w:r w:rsidRPr="00AD6C7D">
        <w:rPr>
          <w:noProof/>
          <w:webHidden/>
          <w:lang w:val="de-DE"/>
        </w:rPr>
        <w:tab/>
        <w:t>4</w:t>
      </w:r>
    </w:p>
    <w:p w14:paraId="71F109CC" w14:textId="1D91D479" w:rsidR="00925F82" w:rsidRPr="00AD6C7D" w:rsidRDefault="00925F82" w:rsidP="00010711">
      <w:pPr>
        <w:tabs>
          <w:tab w:val="left" w:pos="1276"/>
          <w:tab w:val="left" w:pos="1559"/>
          <w:tab w:val="left" w:pos="1984"/>
          <w:tab w:val="left" w:leader="dot" w:pos="7654"/>
          <w:tab w:val="right" w:pos="8929"/>
          <w:tab w:val="right" w:pos="9638"/>
        </w:tabs>
        <w:spacing w:after="120" w:line="220" w:lineRule="atLeast"/>
        <w:ind w:left="1276" w:hanging="709"/>
        <w:rPr>
          <w:noProof/>
          <w:lang w:val="de-DE"/>
        </w:rPr>
      </w:pPr>
      <w:r w:rsidRPr="00AD6C7D">
        <w:rPr>
          <w:noProof/>
          <w:webHidden/>
          <w:lang w:val="de-DE"/>
        </w:rPr>
        <w:t>IV.</w:t>
      </w:r>
      <w:r w:rsidRPr="00AD6C7D">
        <w:rPr>
          <w:noProof/>
          <w:webHidden/>
          <w:lang w:val="de-DE"/>
        </w:rPr>
        <w:tab/>
      </w:r>
      <w:r w:rsidR="00010711" w:rsidRPr="00AD6C7D">
        <w:rPr>
          <w:noProof/>
          <w:lang w:val="de-DE"/>
        </w:rPr>
        <w:t>Fragen im Zusammenhang mit den Arbeiten der Organe der Vereinten Nationen und anderer Organisationen (TOP 2)</w:t>
      </w:r>
      <w:r w:rsidRPr="00AD6C7D">
        <w:rPr>
          <w:noProof/>
          <w:lang w:val="de-DE"/>
        </w:rPr>
        <w:tab/>
      </w:r>
      <w:r w:rsidRPr="00AD6C7D">
        <w:rPr>
          <w:noProof/>
          <w:lang w:val="de-DE"/>
        </w:rPr>
        <w:tab/>
        <w:t>7</w:t>
      </w:r>
      <w:r w:rsidRPr="00AD6C7D">
        <w:rPr>
          <w:noProof/>
          <w:lang w:val="de-DE"/>
        </w:rPr>
        <w:tab/>
        <w:t>4</w:t>
      </w:r>
    </w:p>
    <w:p w14:paraId="4711CC86" w14:textId="7E0947F5" w:rsidR="00925F82" w:rsidRPr="00AD6C7D" w:rsidRDefault="00925F82" w:rsidP="00925F82">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AD6C7D">
        <w:rPr>
          <w:noProof/>
          <w:lang w:val="de-DE"/>
        </w:rPr>
        <w:tab/>
        <w:t>V.</w:t>
      </w:r>
      <w:r w:rsidRPr="00AD6C7D">
        <w:rPr>
          <w:noProof/>
          <w:lang w:val="de-DE"/>
        </w:rPr>
        <w:tab/>
      </w:r>
      <w:r w:rsidR="000455DD" w:rsidRPr="00AD6C7D">
        <w:rPr>
          <w:noProof/>
          <w:lang w:val="de-DE"/>
        </w:rPr>
        <w:t>Durchführung des Europäischen Übereinkommens über die internationale Beförderung von gefährlichen Gütern auf Binnenwasserstraßen (ADN) (TOP 3)</w:t>
      </w:r>
      <w:r w:rsidRPr="00AD6C7D">
        <w:rPr>
          <w:noProof/>
          <w:lang w:val="de-DE"/>
        </w:rPr>
        <w:tab/>
      </w:r>
      <w:r w:rsidRPr="00AD6C7D">
        <w:rPr>
          <w:noProof/>
          <w:lang w:val="de-DE"/>
        </w:rPr>
        <w:tab/>
      </w:r>
      <w:r w:rsidR="000455DD" w:rsidRPr="00AD6C7D">
        <w:rPr>
          <w:noProof/>
          <w:lang w:val="de-DE"/>
        </w:rPr>
        <w:tab/>
      </w:r>
      <w:r w:rsidRPr="00AD6C7D">
        <w:rPr>
          <w:noProof/>
          <w:lang w:val="de-DE"/>
        </w:rPr>
        <w:t>5</w:t>
      </w:r>
    </w:p>
    <w:p w14:paraId="10DFFC6F" w14:textId="2CF302E3" w:rsidR="00925F82" w:rsidRPr="00AD6C7D" w:rsidRDefault="00925F82" w:rsidP="00925F82">
      <w:pPr>
        <w:tabs>
          <w:tab w:val="right" w:pos="850"/>
          <w:tab w:val="left" w:pos="1134"/>
          <w:tab w:val="left" w:pos="1559"/>
          <w:tab w:val="left" w:pos="1984"/>
          <w:tab w:val="left" w:leader="dot" w:pos="7654"/>
          <w:tab w:val="right" w:pos="8929"/>
          <w:tab w:val="right" w:pos="9638"/>
        </w:tabs>
        <w:spacing w:after="120" w:line="220" w:lineRule="atLeast"/>
        <w:ind w:left="1134" w:hanging="1134"/>
        <w:rPr>
          <w:lang w:val="de-DE"/>
        </w:rPr>
      </w:pPr>
      <w:r w:rsidRPr="00AD6C7D">
        <w:rPr>
          <w:noProof/>
          <w:lang w:val="de-DE"/>
        </w:rPr>
        <w:tab/>
      </w:r>
      <w:r w:rsidRPr="00AD6C7D">
        <w:rPr>
          <w:noProof/>
          <w:lang w:val="de-DE"/>
        </w:rPr>
        <w:tab/>
        <w:t>A.</w:t>
      </w:r>
      <w:r w:rsidRPr="00AD6C7D">
        <w:rPr>
          <w:noProof/>
          <w:lang w:val="de-DE"/>
        </w:rPr>
        <w:tab/>
      </w:r>
      <w:r w:rsidRPr="00AD6C7D">
        <w:rPr>
          <w:lang w:val="de-DE"/>
        </w:rPr>
        <w:t>Status</w:t>
      </w:r>
      <w:r w:rsidR="00C808C2" w:rsidRPr="00AD6C7D">
        <w:rPr>
          <w:lang w:val="de-DE"/>
        </w:rPr>
        <w:t xml:space="preserve"> des</w:t>
      </w:r>
      <w:r w:rsidRPr="00AD6C7D">
        <w:rPr>
          <w:lang w:val="de-DE"/>
        </w:rPr>
        <w:t xml:space="preserve"> ADN</w:t>
      </w:r>
      <w:r w:rsidRPr="00AD6C7D">
        <w:rPr>
          <w:lang w:val="de-DE"/>
        </w:rPr>
        <w:tab/>
      </w:r>
      <w:r w:rsidRPr="00AD6C7D">
        <w:rPr>
          <w:lang w:val="de-DE"/>
        </w:rPr>
        <w:tab/>
        <w:t>8</w:t>
      </w:r>
      <w:r w:rsidRPr="00AD6C7D">
        <w:rPr>
          <w:lang w:val="de-DE"/>
        </w:rPr>
        <w:tab/>
        <w:t>5</w:t>
      </w:r>
    </w:p>
    <w:p w14:paraId="7BE3FA4C" w14:textId="1CDAB2CD" w:rsidR="00925F82" w:rsidRPr="00AD6C7D" w:rsidRDefault="00925F82" w:rsidP="00925F82">
      <w:pPr>
        <w:tabs>
          <w:tab w:val="right" w:pos="850"/>
          <w:tab w:val="left" w:pos="1134"/>
          <w:tab w:val="left" w:pos="1559"/>
          <w:tab w:val="left" w:pos="1984"/>
          <w:tab w:val="left" w:leader="dot" w:pos="7654"/>
          <w:tab w:val="right" w:pos="8929"/>
          <w:tab w:val="right" w:pos="9638"/>
        </w:tabs>
        <w:spacing w:after="120" w:line="220" w:lineRule="atLeast"/>
        <w:ind w:left="1134" w:hanging="1134"/>
        <w:rPr>
          <w:lang w:val="de-DE"/>
        </w:rPr>
      </w:pPr>
      <w:r w:rsidRPr="00AD6C7D">
        <w:rPr>
          <w:lang w:val="de-DE"/>
        </w:rPr>
        <w:tab/>
      </w:r>
      <w:r w:rsidRPr="00AD6C7D">
        <w:rPr>
          <w:lang w:val="de-DE"/>
        </w:rPr>
        <w:tab/>
        <w:t>B.</w:t>
      </w:r>
      <w:r w:rsidRPr="00AD6C7D">
        <w:rPr>
          <w:lang w:val="de-DE"/>
        </w:rPr>
        <w:tab/>
      </w:r>
      <w:r w:rsidR="00C808C2" w:rsidRPr="00AD6C7D">
        <w:rPr>
          <w:lang w:val="de-DE"/>
        </w:rPr>
        <w:t>Ausnahmegenehmigungen, Abweichungen und Gleichwertigkeiten</w:t>
      </w:r>
      <w:r w:rsidRPr="00AD6C7D">
        <w:rPr>
          <w:lang w:val="de-DE"/>
        </w:rPr>
        <w:tab/>
      </w:r>
      <w:r w:rsidRPr="00AD6C7D">
        <w:rPr>
          <w:lang w:val="de-DE"/>
        </w:rPr>
        <w:tab/>
        <w:t>9</w:t>
      </w:r>
      <w:r w:rsidRPr="00AD6C7D">
        <w:rPr>
          <w:lang w:val="de-DE"/>
        </w:rPr>
        <w:tab/>
        <w:t>5</w:t>
      </w:r>
    </w:p>
    <w:p w14:paraId="74063CDA" w14:textId="40EEBE8A" w:rsidR="00925F82" w:rsidRPr="00AD6C7D" w:rsidRDefault="00925F82" w:rsidP="00925F82">
      <w:pPr>
        <w:tabs>
          <w:tab w:val="right" w:pos="850"/>
          <w:tab w:val="left" w:pos="1134"/>
          <w:tab w:val="left" w:pos="1559"/>
          <w:tab w:val="left" w:pos="1984"/>
          <w:tab w:val="left" w:leader="dot" w:pos="7654"/>
          <w:tab w:val="right" w:pos="8929"/>
          <w:tab w:val="right" w:pos="9638"/>
        </w:tabs>
        <w:spacing w:after="120" w:line="220" w:lineRule="atLeast"/>
        <w:ind w:left="1134" w:hanging="1134"/>
        <w:rPr>
          <w:lang w:val="de-DE"/>
        </w:rPr>
      </w:pPr>
      <w:r w:rsidRPr="00AD6C7D">
        <w:rPr>
          <w:lang w:val="de-DE"/>
        </w:rPr>
        <w:tab/>
      </w:r>
      <w:r w:rsidRPr="00AD6C7D">
        <w:rPr>
          <w:lang w:val="de-DE"/>
        </w:rPr>
        <w:tab/>
        <w:t>C.</w:t>
      </w:r>
      <w:r w:rsidRPr="00AD6C7D">
        <w:rPr>
          <w:lang w:val="de-DE"/>
        </w:rPr>
        <w:tab/>
      </w:r>
      <w:r w:rsidR="00C808C2" w:rsidRPr="00AD6C7D">
        <w:rPr>
          <w:lang w:val="de-DE"/>
        </w:rPr>
        <w:t>Auslegung der dem ADN beigefügten Verordnung</w:t>
      </w:r>
      <w:r w:rsidRPr="00AD6C7D">
        <w:rPr>
          <w:lang w:val="de-DE"/>
        </w:rPr>
        <w:tab/>
      </w:r>
      <w:r w:rsidRPr="00AD6C7D">
        <w:rPr>
          <w:lang w:val="de-DE"/>
        </w:rPr>
        <w:tab/>
        <w:t>10-27</w:t>
      </w:r>
      <w:r w:rsidRPr="00AD6C7D">
        <w:rPr>
          <w:lang w:val="de-DE"/>
        </w:rPr>
        <w:tab/>
        <w:t>5</w:t>
      </w:r>
    </w:p>
    <w:p w14:paraId="2E597227" w14:textId="30D1D493" w:rsidR="00925F82" w:rsidRPr="00AD6C7D" w:rsidRDefault="00925F82" w:rsidP="006948C6">
      <w:pPr>
        <w:tabs>
          <w:tab w:val="right" w:pos="850"/>
          <w:tab w:val="left" w:pos="1134"/>
          <w:tab w:val="left" w:pos="1559"/>
          <w:tab w:val="left" w:pos="1984"/>
          <w:tab w:val="left" w:leader="dot" w:pos="7654"/>
          <w:tab w:val="right" w:pos="8929"/>
          <w:tab w:val="right" w:pos="9638"/>
        </w:tabs>
        <w:spacing w:after="120" w:line="220" w:lineRule="atLeast"/>
        <w:ind w:left="1134" w:hanging="1134"/>
        <w:rPr>
          <w:lang w:val="de-DE"/>
        </w:rPr>
      </w:pPr>
      <w:r w:rsidRPr="00AD6C7D">
        <w:rPr>
          <w:lang w:val="de-DE"/>
        </w:rPr>
        <w:tab/>
      </w:r>
      <w:r w:rsidRPr="00AD6C7D">
        <w:rPr>
          <w:lang w:val="de-DE"/>
        </w:rPr>
        <w:tab/>
      </w:r>
      <w:r w:rsidRPr="00AD6C7D">
        <w:rPr>
          <w:lang w:val="de-DE"/>
        </w:rPr>
        <w:tab/>
        <w:t>1.</w:t>
      </w:r>
      <w:r w:rsidRPr="00AD6C7D">
        <w:rPr>
          <w:lang w:val="de-DE"/>
        </w:rPr>
        <w:tab/>
      </w:r>
      <w:r w:rsidR="00C57F49" w:rsidRPr="00AD6C7D">
        <w:rPr>
          <w:lang w:val="de-DE"/>
        </w:rPr>
        <w:t>Entgas</w:t>
      </w:r>
      <w:r w:rsidR="006948C6" w:rsidRPr="00AD6C7D">
        <w:rPr>
          <w:lang w:val="de-DE"/>
        </w:rPr>
        <w:t>e</w:t>
      </w:r>
      <w:r w:rsidR="00C57F49" w:rsidRPr="00AD6C7D">
        <w:rPr>
          <w:lang w:val="de-DE"/>
        </w:rPr>
        <w:t>n von Tankschiffen an Annahmestellen</w:t>
      </w:r>
      <w:r w:rsidRPr="00AD6C7D">
        <w:rPr>
          <w:lang w:val="de-DE"/>
        </w:rPr>
        <w:tab/>
      </w:r>
      <w:r w:rsidRPr="00AD6C7D">
        <w:rPr>
          <w:lang w:val="de-DE"/>
        </w:rPr>
        <w:tab/>
        <w:t>10-13</w:t>
      </w:r>
      <w:r w:rsidRPr="00AD6C7D">
        <w:rPr>
          <w:lang w:val="de-DE"/>
        </w:rPr>
        <w:tab/>
        <w:t>5</w:t>
      </w:r>
    </w:p>
    <w:p w14:paraId="387D1EDB" w14:textId="4AA3C36F" w:rsidR="00925F82" w:rsidRPr="00AD6C7D" w:rsidRDefault="00925F82" w:rsidP="00925F82">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2.</w:t>
      </w:r>
      <w:r w:rsidRPr="00AD6C7D">
        <w:rPr>
          <w:lang w:val="de-DE"/>
        </w:rPr>
        <w:tab/>
      </w:r>
      <w:r w:rsidR="00471C86" w:rsidRPr="00AD6C7D">
        <w:rPr>
          <w:lang w:val="de-DE"/>
        </w:rPr>
        <w:t>Lade- und Löschraten</w:t>
      </w:r>
      <w:r w:rsidRPr="00AD6C7D">
        <w:rPr>
          <w:lang w:val="de-DE"/>
        </w:rPr>
        <w:tab/>
      </w:r>
      <w:r w:rsidRPr="00AD6C7D">
        <w:rPr>
          <w:lang w:val="de-DE"/>
        </w:rPr>
        <w:tab/>
        <w:t>14-16</w:t>
      </w:r>
      <w:r w:rsidRPr="00AD6C7D">
        <w:rPr>
          <w:lang w:val="de-DE"/>
        </w:rPr>
        <w:tab/>
        <w:t>6</w:t>
      </w:r>
    </w:p>
    <w:p w14:paraId="3315857C" w14:textId="4DF24D82" w:rsidR="00925F82" w:rsidRPr="00AD6C7D" w:rsidRDefault="00925F82" w:rsidP="006948C6">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3.</w:t>
      </w:r>
      <w:r w:rsidRPr="00AD6C7D">
        <w:rPr>
          <w:lang w:val="de-DE"/>
        </w:rPr>
        <w:tab/>
      </w:r>
      <w:r w:rsidR="006948C6" w:rsidRPr="00AD6C7D">
        <w:rPr>
          <w:lang w:val="de-DE"/>
        </w:rPr>
        <w:t xml:space="preserve">Umweltgefährdende Stoffe mit einem Flammpunkt über 60°C bis </w:t>
      </w:r>
      <w:r w:rsidR="004F2AF2" w:rsidRPr="00AD6C7D">
        <w:rPr>
          <w:lang w:val="de-DE"/>
        </w:rPr>
        <w:br/>
      </w:r>
      <w:r w:rsidR="006948C6" w:rsidRPr="00AD6C7D">
        <w:rPr>
          <w:lang w:val="de-DE"/>
        </w:rPr>
        <w:t xml:space="preserve">höchstens 100°C, die der UN-Nummer 3082 oder der Stoffnummer </w:t>
      </w:r>
      <w:r w:rsidR="004F2AF2" w:rsidRPr="00AD6C7D">
        <w:rPr>
          <w:lang w:val="de-DE"/>
        </w:rPr>
        <w:br/>
      </w:r>
      <w:r w:rsidR="006948C6" w:rsidRPr="00AD6C7D">
        <w:rPr>
          <w:lang w:val="de-DE"/>
        </w:rPr>
        <w:t>9003 zugeordnet sind</w:t>
      </w:r>
      <w:r w:rsidRPr="00AD6C7D">
        <w:rPr>
          <w:lang w:val="de-DE"/>
        </w:rPr>
        <w:tab/>
      </w:r>
      <w:r w:rsidRPr="00AD6C7D">
        <w:rPr>
          <w:lang w:val="de-DE"/>
        </w:rPr>
        <w:tab/>
        <w:t>17</w:t>
      </w:r>
      <w:r w:rsidRPr="00AD6C7D">
        <w:rPr>
          <w:lang w:val="de-DE"/>
        </w:rPr>
        <w:tab/>
        <w:t>6</w:t>
      </w:r>
    </w:p>
    <w:p w14:paraId="5BAEBC4A" w14:textId="6B22D0CA" w:rsidR="00925F82" w:rsidRPr="00AD6C7D" w:rsidRDefault="00925F82" w:rsidP="006948C6">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4.</w:t>
      </w:r>
      <w:r w:rsidRPr="00AD6C7D">
        <w:rPr>
          <w:lang w:val="de-DE"/>
        </w:rPr>
        <w:tab/>
      </w:r>
      <w:r w:rsidR="006948C6" w:rsidRPr="00AD6C7D">
        <w:rPr>
          <w:lang w:val="de-DE"/>
        </w:rPr>
        <w:t>Entgasen von Tankschiffen</w:t>
      </w:r>
      <w:r w:rsidRPr="00AD6C7D">
        <w:rPr>
          <w:lang w:val="de-DE"/>
        </w:rPr>
        <w:tab/>
      </w:r>
      <w:r w:rsidRPr="00AD6C7D">
        <w:rPr>
          <w:lang w:val="de-DE"/>
        </w:rPr>
        <w:tab/>
        <w:t>18-19</w:t>
      </w:r>
      <w:r w:rsidRPr="00AD6C7D">
        <w:rPr>
          <w:lang w:val="de-DE"/>
        </w:rPr>
        <w:tab/>
        <w:t>6</w:t>
      </w:r>
    </w:p>
    <w:p w14:paraId="597A3F58" w14:textId="4A39956B" w:rsidR="00925F82" w:rsidRPr="00AD6C7D" w:rsidRDefault="00925F82" w:rsidP="00871B0C">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5.</w:t>
      </w:r>
      <w:r w:rsidRPr="00AD6C7D">
        <w:rPr>
          <w:lang w:val="de-DE"/>
        </w:rPr>
        <w:tab/>
      </w:r>
      <w:r w:rsidR="00871B0C" w:rsidRPr="00AD6C7D">
        <w:rPr>
          <w:lang w:val="de-DE"/>
        </w:rPr>
        <w:t>Probeentnahmeeinrichtungen</w:t>
      </w:r>
      <w:r w:rsidR="00B75CF6" w:rsidRPr="00AD6C7D">
        <w:rPr>
          <w:lang w:val="de-DE"/>
        </w:rPr>
        <w:t xml:space="preserve"> und Lüftung</w:t>
      </w:r>
      <w:r w:rsidRPr="00AD6C7D">
        <w:rPr>
          <w:lang w:val="de-DE"/>
        </w:rPr>
        <w:tab/>
      </w:r>
      <w:r w:rsidRPr="00AD6C7D">
        <w:rPr>
          <w:lang w:val="de-DE"/>
        </w:rPr>
        <w:tab/>
        <w:t>20-21</w:t>
      </w:r>
      <w:r w:rsidRPr="00AD6C7D">
        <w:rPr>
          <w:lang w:val="de-DE"/>
        </w:rPr>
        <w:tab/>
        <w:t>7</w:t>
      </w:r>
    </w:p>
    <w:p w14:paraId="41DCF25A" w14:textId="63944393" w:rsidR="00925F82" w:rsidRPr="00AD6C7D" w:rsidRDefault="00925F82" w:rsidP="00871B0C">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6.</w:t>
      </w:r>
      <w:r w:rsidRPr="00AD6C7D">
        <w:rPr>
          <w:lang w:val="de-DE"/>
        </w:rPr>
        <w:tab/>
      </w:r>
      <w:r w:rsidR="00871B0C" w:rsidRPr="00AD6C7D">
        <w:rPr>
          <w:lang w:val="de-DE"/>
        </w:rPr>
        <w:t>Vorschlag zur Anpassung des Abschnitts 8.3.5 ADN „Arbeiten an Bord“</w:t>
      </w:r>
      <w:r w:rsidRPr="00AD6C7D">
        <w:rPr>
          <w:lang w:val="de-DE"/>
        </w:rPr>
        <w:tab/>
        <w:t>22-23</w:t>
      </w:r>
      <w:r w:rsidRPr="00AD6C7D">
        <w:rPr>
          <w:lang w:val="de-DE"/>
        </w:rPr>
        <w:tab/>
        <w:t>7</w:t>
      </w:r>
    </w:p>
    <w:p w14:paraId="544A494D" w14:textId="46A1F58E" w:rsidR="00925F82" w:rsidRPr="00AD6C7D" w:rsidRDefault="00925F82" w:rsidP="00871B0C">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7.</w:t>
      </w:r>
      <w:r w:rsidRPr="00AD6C7D">
        <w:rPr>
          <w:lang w:val="de-DE"/>
        </w:rPr>
        <w:tab/>
      </w:r>
      <w:r w:rsidR="00871B0C" w:rsidRPr="00AD6C7D">
        <w:rPr>
          <w:lang w:val="de-DE"/>
        </w:rPr>
        <w:t>Kalibrieren von Gasspüranlagen auf n-Hexan und Gasspürgeräte</w:t>
      </w:r>
      <w:r w:rsidRPr="00AD6C7D">
        <w:rPr>
          <w:lang w:val="de-DE"/>
        </w:rPr>
        <w:tab/>
      </w:r>
      <w:r w:rsidRPr="00AD6C7D">
        <w:rPr>
          <w:lang w:val="de-DE"/>
        </w:rPr>
        <w:tab/>
        <w:t>24</w:t>
      </w:r>
      <w:r w:rsidRPr="00AD6C7D">
        <w:rPr>
          <w:lang w:val="de-DE"/>
        </w:rPr>
        <w:tab/>
        <w:t>7</w:t>
      </w:r>
    </w:p>
    <w:p w14:paraId="40EAEA4F" w14:textId="1A173764" w:rsidR="00925F82" w:rsidRPr="00AD6C7D" w:rsidRDefault="00925F82" w:rsidP="00871B0C">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8.</w:t>
      </w:r>
      <w:r w:rsidRPr="00AD6C7D">
        <w:rPr>
          <w:lang w:val="de-DE"/>
        </w:rPr>
        <w:tab/>
      </w:r>
      <w:r w:rsidR="00871B0C" w:rsidRPr="00AD6C7D">
        <w:rPr>
          <w:lang w:val="de-DE"/>
        </w:rPr>
        <w:t>Gasspüranlagen</w:t>
      </w:r>
      <w:r w:rsidRPr="00AD6C7D">
        <w:rPr>
          <w:lang w:val="de-DE"/>
        </w:rPr>
        <w:tab/>
      </w:r>
      <w:r w:rsidRPr="00AD6C7D">
        <w:rPr>
          <w:lang w:val="de-DE"/>
        </w:rPr>
        <w:tab/>
        <w:t>25</w:t>
      </w:r>
      <w:r w:rsidRPr="00AD6C7D">
        <w:rPr>
          <w:lang w:val="de-DE"/>
        </w:rPr>
        <w:tab/>
        <w:t>8</w:t>
      </w:r>
    </w:p>
    <w:p w14:paraId="0F2BC2A7" w14:textId="55F50342" w:rsidR="00925F82" w:rsidRPr="00AD6C7D" w:rsidRDefault="00925F82" w:rsidP="007A6D1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9.</w:t>
      </w:r>
      <w:r w:rsidRPr="00AD6C7D">
        <w:rPr>
          <w:lang w:val="de-DE"/>
        </w:rPr>
        <w:tab/>
      </w:r>
      <w:r w:rsidR="007A6D17" w:rsidRPr="00AD6C7D">
        <w:rPr>
          <w:lang w:val="de-DE"/>
        </w:rPr>
        <w:t>Über die Zoneneinteilung – Zone 1</w:t>
      </w:r>
      <w:r w:rsidRPr="00AD6C7D">
        <w:rPr>
          <w:lang w:val="de-DE"/>
        </w:rPr>
        <w:tab/>
      </w:r>
      <w:r w:rsidRPr="00AD6C7D">
        <w:rPr>
          <w:lang w:val="de-DE"/>
        </w:rPr>
        <w:tab/>
        <w:t>26-27</w:t>
      </w:r>
      <w:r w:rsidRPr="00AD6C7D">
        <w:rPr>
          <w:lang w:val="de-DE"/>
        </w:rPr>
        <w:tab/>
        <w:t>8</w:t>
      </w:r>
    </w:p>
    <w:p w14:paraId="1CD72E01" w14:textId="4AF38C4E" w:rsidR="00925F82" w:rsidRPr="00660988" w:rsidRDefault="00925F82" w:rsidP="00925F82">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660988">
        <w:rPr>
          <w:lang w:val="de-DE"/>
        </w:rPr>
        <w:t>D.</w:t>
      </w:r>
      <w:r w:rsidRPr="00660988">
        <w:rPr>
          <w:lang w:val="de-DE"/>
        </w:rPr>
        <w:tab/>
      </w:r>
      <w:proofErr w:type="spellStart"/>
      <w:r w:rsidR="00881607" w:rsidRPr="00660988">
        <w:rPr>
          <w:lang w:val="de-DE"/>
        </w:rPr>
        <w:t>Sachkundigenausbildung</w:t>
      </w:r>
      <w:proofErr w:type="spellEnd"/>
      <w:r w:rsidRPr="00660988">
        <w:rPr>
          <w:lang w:val="de-DE"/>
        </w:rPr>
        <w:tab/>
      </w:r>
      <w:r w:rsidRPr="00660988">
        <w:rPr>
          <w:lang w:val="de-DE"/>
        </w:rPr>
        <w:tab/>
        <w:t>28-31</w:t>
      </w:r>
      <w:r w:rsidRPr="00660988">
        <w:rPr>
          <w:lang w:val="de-DE"/>
        </w:rPr>
        <w:tab/>
        <w:t>8</w:t>
      </w:r>
    </w:p>
    <w:p w14:paraId="060C8BB9" w14:textId="49F145F4" w:rsidR="00925F82" w:rsidRPr="00AD6C7D" w:rsidRDefault="00925F82" w:rsidP="007A6D1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660988">
        <w:rPr>
          <w:lang w:val="de-DE"/>
        </w:rPr>
        <w:tab/>
      </w:r>
      <w:r w:rsidRPr="00660988">
        <w:rPr>
          <w:lang w:val="de-DE"/>
        </w:rPr>
        <w:tab/>
      </w:r>
      <w:r w:rsidRPr="00660988">
        <w:rPr>
          <w:lang w:val="de-DE"/>
        </w:rPr>
        <w:tab/>
      </w:r>
      <w:r w:rsidRPr="00AD6C7D">
        <w:rPr>
          <w:lang w:val="de-DE"/>
        </w:rPr>
        <w:t>1.</w:t>
      </w:r>
      <w:r w:rsidRPr="00AD6C7D">
        <w:rPr>
          <w:lang w:val="de-DE"/>
        </w:rPr>
        <w:tab/>
      </w:r>
      <w:r w:rsidR="007A6D17" w:rsidRPr="00AD6C7D">
        <w:rPr>
          <w:lang w:val="de-DE"/>
        </w:rPr>
        <w:t xml:space="preserve">Vorschlag für die Aktualisierung des Arbeitsplans der informellen </w:t>
      </w:r>
      <w:r w:rsidR="004F2AF2" w:rsidRPr="00AD6C7D">
        <w:rPr>
          <w:lang w:val="de-DE"/>
        </w:rPr>
        <w:br/>
      </w:r>
      <w:r w:rsidR="007A6D17" w:rsidRPr="00AD6C7D">
        <w:rPr>
          <w:lang w:val="de-DE"/>
        </w:rPr>
        <w:t>Arbeitsgruppe „</w:t>
      </w:r>
      <w:proofErr w:type="spellStart"/>
      <w:r w:rsidR="007A6D17" w:rsidRPr="00AD6C7D">
        <w:rPr>
          <w:lang w:val="de-DE"/>
        </w:rPr>
        <w:t>Sachkundigenausbildung</w:t>
      </w:r>
      <w:proofErr w:type="spellEnd"/>
      <w:r w:rsidR="007A6D17" w:rsidRPr="00AD6C7D">
        <w:rPr>
          <w:lang w:val="de-DE"/>
        </w:rPr>
        <w:t>“</w:t>
      </w:r>
      <w:r w:rsidRPr="00AD6C7D">
        <w:rPr>
          <w:lang w:val="de-DE"/>
        </w:rPr>
        <w:tab/>
      </w:r>
      <w:r w:rsidRPr="00AD6C7D">
        <w:rPr>
          <w:lang w:val="de-DE"/>
        </w:rPr>
        <w:tab/>
        <w:t>28-31</w:t>
      </w:r>
      <w:r w:rsidRPr="00AD6C7D">
        <w:rPr>
          <w:lang w:val="de-DE"/>
        </w:rPr>
        <w:tab/>
        <w:t>8</w:t>
      </w:r>
    </w:p>
    <w:p w14:paraId="2A58E3E4" w14:textId="0FF40E00" w:rsidR="00925F82" w:rsidRPr="00AD6C7D" w:rsidRDefault="00925F82" w:rsidP="00925F82">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t>E.</w:t>
      </w:r>
      <w:r w:rsidRPr="00AD6C7D">
        <w:rPr>
          <w:lang w:val="de-DE"/>
        </w:rPr>
        <w:tab/>
      </w:r>
      <w:r w:rsidR="00881607" w:rsidRPr="00AD6C7D">
        <w:rPr>
          <w:lang w:val="de-DE"/>
        </w:rPr>
        <w:t>Fragen im Zusammenhang mit den Klassifikationsgesellschaften</w:t>
      </w:r>
      <w:r w:rsidRPr="00AD6C7D">
        <w:rPr>
          <w:lang w:val="de-DE"/>
        </w:rPr>
        <w:tab/>
      </w:r>
      <w:r w:rsidRPr="00AD6C7D">
        <w:rPr>
          <w:lang w:val="de-DE"/>
        </w:rPr>
        <w:tab/>
        <w:t>32-38</w:t>
      </w:r>
      <w:r w:rsidRPr="00AD6C7D">
        <w:rPr>
          <w:lang w:val="de-DE"/>
        </w:rPr>
        <w:tab/>
        <w:t>9</w:t>
      </w:r>
    </w:p>
    <w:p w14:paraId="2F2B77B3" w14:textId="227745D6" w:rsidR="00925F82" w:rsidRPr="00AD6C7D" w:rsidRDefault="00925F82" w:rsidP="007A6D1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1.</w:t>
      </w:r>
      <w:r w:rsidRPr="00AD6C7D">
        <w:rPr>
          <w:lang w:val="de-DE"/>
        </w:rPr>
        <w:tab/>
      </w:r>
      <w:r w:rsidR="007A6D17" w:rsidRPr="00AD6C7D">
        <w:rPr>
          <w:lang w:val="de-DE"/>
        </w:rPr>
        <w:t>Inhalt der Schiffsakte</w:t>
      </w:r>
      <w:r w:rsidRPr="00AD6C7D">
        <w:rPr>
          <w:lang w:val="de-DE"/>
        </w:rPr>
        <w:tab/>
      </w:r>
      <w:r w:rsidRPr="00AD6C7D">
        <w:rPr>
          <w:lang w:val="de-DE"/>
        </w:rPr>
        <w:tab/>
        <w:t>32-33</w:t>
      </w:r>
      <w:r w:rsidRPr="00AD6C7D">
        <w:rPr>
          <w:lang w:val="de-DE"/>
        </w:rPr>
        <w:tab/>
        <w:t>9</w:t>
      </w:r>
    </w:p>
    <w:p w14:paraId="319BC7A6" w14:textId="66AA38B4" w:rsidR="00925F82" w:rsidRPr="00AD6C7D" w:rsidRDefault="00925F82" w:rsidP="007A6D1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2.</w:t>
      </w:r>
      <w:r w:rsidRPr="00AD6C7D">
        <w:rPr>
          <w:lang w:val="de-DE"/>
        </w:rPr>
        <w:tab/>
      </w:r>
      <w:r w:rsidR="0081696F" w:rsidRPr="00AD6C7D">
        <w:rPr>
          <w:lang w:val="de-DE"/>
        </w:rPr>
        <w:t>Bericht</w:t>
      </w:r>
      <w:r w:rsidR="007A6D17" w:rsidRPr="00AD6C7D">
        <w:rPr>
          <w:lang w:val="de-DE"/>
        </w:rPr>
        <w:t xml:space="preserve"> </w:t>
      </w:r>
      <w:r w:rsidR="0081696F" w:rsidRPr="00AD6C7D">
        <w:rPr>
          <w:lang w:val="de-DE"/>
        </w:rPr>
        <w:t>üb</w:t>
      </w:r>
      <w:r w:rsidR="007A6D17" w:rsidRPr="00AD6C7D">
        <w:rPr>
          <w:lang w:val="de-DE"/>
        </w:rPr>
        <w:t>er</w:t>
      </w:r>
      <w:r w:rsidR="0081696F" w:rsidRPr="00AD6C7D">
        <w:rPr>
          <w:lang w:val="de-DE"/>
        </w:rPr>
        <w:t xml:space="preserve"> die</w:t>
      </w:r>
      <w:r w:rsidR="007A6D17" w:rsidRPr="00AD6C7D">
        <w:rPr>
          <w:lang w:val="de-DE"/>
        </w:rPr>
        <w:t xml:space="preserve"> siebzehnte Sitzung der informellen Arbeitsgruppe </w:t>
      </w:r>
      <w:r w:rsidR="00AA14D8" w:rsidRPr="00AD6C7D">
        <w:rPr>
          <w:lang w:val="de-DE"/>
        </w:rPr>
        <w:t xml:space="preserve">der </w:t>
      </w:r>
      <w:r w:rsidR="004F2AF2" w:rsidRPr="00AD6C7D">
        <w:rPr>
          <w:lang w:val="de-DE"/>
        </w:rPr>
        <w:br/>
      </w:r>
      <w:r w:rsidR="007A6D17" w:rsidRPr="00AD6C7D">
        <w:rPr>
          <w:lang w:val="de-DE"/>
        </w:rPr>
        <w:t>Empfohlene</w:t>
      </w:r>
      <w:r w:rsidR="00AA14D8" w:rsidRPr="00AD6C7D">
        <w:rPr>
          <w:lang w:val="de-DE"/>
        </w:rPr>
        <w:t>n</w:t>
      </w:r>
      <w:r w:rsidR="007A6D17" w:rsidRPr="00AD6C7D">
        <w:rPr>
          <w:lang w:val="de-DE"/>
        </w:rPr>
        <w:t xml:space="preserve"> ADN-Klassifikationsgesellschaften</w:t>
      </w:r>
      <w:r w:rsidRPr="00AD6C7D">
        <w:rPr>
          <w:lang w:val="de-DE"/>
        </w:rPr>
        <w:tab/>
      </w:r>
      <w:r w:rsidRPr="00AD6C7D">
        <w:rPr>
          <w:lang w:val="de-DE"/>
        </w:rPr>
        <w:tab/>
        <w:t>34</w:t>
      </w:r>
      <w:r w:rsidRPr="00AD6C7D">
        <w:rPr>
          <w:lang w:val="de-DE"/>
        </w:rPr>
        <w:tab/>
        <w:t>9</w:t>
      </w:r>
    </w:p>
    <w:p w14:paraId="4046F8EE" w14:textId="6DC5A193" w:rsidR="00925F82" w:rsidRPr="00AD6C7D" w:rsidRDefault="00925F82" w:rsidP="00925F82">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3.</w:t>
      </w:r>
      <w:r w:rsidRPr="00AD6C7D">
        <w:rPr>
          <w:lang w:val="de-DE"/>
        </w:rPr>
        <w:tab/>
      </w:r>
      <w:r w:rsidR="00881607" w:rsidRPr="00AD6C7D">
        <w:rPr>
          <w:lang w:val="de-DE"/>
        </w:rPr>
        <w:t>Aktueller Stand der Zulassung von Ladungsrechnern</w:t>
      </w:r>
      <w:r w:rsidRPr="00AD6C7D">
        <w:rPr>
          <w:lang w:val="de-DE"/>
        </w:rPr>
        <w:tab/>
      </w:r>
      <w:r w:rsidRPr="00AD6C7D">
        <w:rPr>
          <w:lang w:val="de-DE"/>
        </w:rPr>
        <w:tab/>
        <w:t>35</w:t>
      </w:r>
      <w:r w:rsidRPr="00AD6C7D">
        <w:rPr>
          <w:lang w:val="de-DE"/>
        </w:rPr>
        <w:tab/>
        <w:t>9</w:t>
      </w:r>
    </w:p>
    <w:p w14:paraId="7DC8A331" w14:textId="100C8AE7" w:rsidR="00925F82" w:rsidRPr="00AD6C7D" w:rsidRDefault="00925F82" w:rsidP="007A6D1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4.</w:t>
      </w:r>
      <w:r w:rsidRPr="00AD6C7D">
        <w:rPr>
          <w:lang w:val="de-DE"/>
        </w:rPr>
        <w:tab/>
      </w:r>
      <w:r w:rsidR="007A6D17" w:rsidRPr="00AD6C7D">
        <w:rPr>
          <w:lang w:val="de-DE"/>
        </w:rPr>
        <w:t>Absatz 7.2.2.19.3 – Schubverbände und gekuppelte Schiffe</w:t>
      </w:r>
      <w:r w:rsidRPr="00AD6C7D">
        <w:rPr>
          <w:lang w:val="de-DE"/>
        </w:rPr>
        <w:tab/>
      </w:r>
      <w:r w:rsidRPr="00AD6C7D">
        <w:rPr>
          <w:lang w:val="de-DE"/>
        </w:rPr>
        <w:tab/>
        <w:t>36</w:t>
      </w:r>
      <w:r w:rsidRPr="00AD6C7D">
        <w:rPr>
          <w:lang w:val="de-DE"/>
        </w:rPr>
        <w:tab/>
      </w:r>
      <w:r w:rsidR="00660988">
        <w:rPr>
          <w:lang w:val="de-DE"/>
        </w:rPr>
        <w:t>10</w:t>
      </w:r>
    </w:p>
    <w:p w14:paraId="15297BC0" w14:textId="1D976B73" w:rsidR="00925F82" w:rsidRPr="00AD6C7D" w:rsidRDefault="00925F82" w:rsidP="007A6D1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5.</w:t>
      </w:r>
      <w:r w:rsidRPr="00AD6C7D">
        <w:rPr>
          <w:lang w:val="de-DE"/>
        </w:rPr>
        <w:tab/>
      </w:r>
      <w:r w:rsidR="007A6D17" w:rsidRPr="00AD6C7D">
        <w:rPr>
          <w:lang w:val="de-DE"/>
        </w:rPr>
        <w:t>Übergangsvorschriften über die Explosionsgruppe / Untergruppe</w:t>
      </w:r>
      <w:r w:rsidRPr="00AD6C7D">
        <w:rPr>
          <w:lang w:val="de-DE"/>
        </w:rPr>
        <w:tab/>
      </w:r>
      <w:r w:rsidRPr="00AD6C7D">
        <w:rPr>
          <w:lang w:val="de-DE"/>
        </w:rPr>
        <w:tab/>
        <w:t>37</w:t>
      </w:r>
      <w:r w:rsidRPr="00AD6C7D">
        <w:rPr>
          <w:lang w:val="de-DE"/>
        </w:rPr>
        <w:tab/>
        <w:t>10</w:t>
      </w:r>
    </w:p>
    <w:p w14:paraId="737D2C6B" w14:textId="7B572D8B" w:rsidR="00925F82" w:rsidRPr="00AD6C7D" w:rsidRDefault="00925F82" w:rsidP="007A6D1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6.</w:t>
      </w:r>
      <w:r w:rsidRPr="00AD6C7D">
        <w:rPr>
          <w:lang w:val="de-DE"/>
        </w:rPr>
        <w:tab/>
      </w:r>
      <w:r w:rsidR="007A6D17" w:rsidRPr="00AD6C7D">
        <w:rPr>
          <w:lang w:val="de-DE"/>
        </w:rPr>
        <w:t xml:space="preserve">Verweis auf die Einhaltung der ISO/IEC 17020:2012 </w:t>
      </w:r>
      <w:r w:rsidR="004F2AF2" w:rsidRPr="00AD6C7D">
        <w:rPr>
          <w:lang w:val="de-DE"/>
        </w:rPr>
        <w:br/>
      </w:r>
      <w:r w:rsidR="007A6D17" w:rsidRPr="00AD6C7D">
        <w:rPr>
          <w:lang w:val="de-DE"/>
        </w:rPr>
        <w:t>(ECE/TRANS/WP.15/AC.2/68)</w:t>
      </w:r>
      <w:r w:rsidRPr="00AD6C7D">
        <w:rPr>
          <w:lang w:val="de-DE"/>
        </w:rPr>
        <w:tab/>
      </w:r>
      <w:r w:rsidRPr="00AD6C7D">
        <w:rPr>
          <w:lang w:val="de-DE"/>
        </w:rPr>
        <w:tab/>
        <w:t>38</w:t>
      </w:r>
      <w:r w:rsidRPr="00AD6C7D">
        <w:rPr>
          <w:lang w:val="de-DE"/>
        </w:rPr>
        <w:tab/>
        <w:t>10</w:t>
      </w:r>
    </w:p>
    <w:p w14:paraId="241E0380" w14:textId="3CC30543" w:rsidR="00925F82" w:rsidRPr="00AD6C7D" w:rsidRDefault="00925F82" w:rsidP="00925F82">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t>VI.</w:t>
      </w:r>
      <w:r w:rsidRPr="00AD6C7D">
        <w:rPr>
          <w:lang w:val="de-DE"/>
        </w:rPr>
        <w:tab/>
      </w:r>
      <w:r w:rsidR="0047346C" w:rsidRPr="00AD6C7D">
        <w:rPr>
          <w:lang w:val="de-DE"/>
        </w:rPr>
        <w:t>Vorschläge für Änderungen der dem ADN beigefügten Verordnung (TOP 4)</w:t>
      </w:r>
      <w:r w:rsidRPr="00AD6C7D">
        <w:rPr>
          <w:lang w:val="de-DE"/>
        </w:rPr>
        <w:tab/>
        <w:t xml:space="preserve"> </w:t>
      </w:r>
      <w:r w:rsidRPr="00AD6C7D">
        <w:rPr>
          <w:lang w:val="de-DE"/>
        </w:rPr>
        <w:tab/>
        <w:t>39-61</w:t>
      </w:r>
      <w:r w:rsidRPr="00AD6C7D">
        <w:rPr>
          <w:lang w:val="de-DE"/>
        </w:rPr>
        <w:tab/>
        <w:t>10</w:t>
      </w:r>
    </w:p>
    <w:p w14:paraId="2E791E71" w14:textId="4FD4669C" w:rsidR="00925F82" w:rsidRPr="00AD6C7D" w:rsidRDefault="00925F82" w:rsidP="00925F82">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t>A.</w:t>
      </w:r>
      <w:r w:rsidRPr="00AD6C7D">
        <w:rPr>
          <w:lang w:val="de-DE"/>
        </w:rPr>
        <w:tab/>
      </w:r>
      <w:r w:rsidR="0047346C" w:rsidRPr="00AD6C7D">
        <w:rPr>
          <w:lang w:val="de-DE"/>
        </w:rPr>
        <w:t>Arbeiten der Gemeinsamen RID/ADR/ADN-Tagung</w:t>
      </w:r>
      <w:r w:rsidRPr="00AD6C7D">
        <w:rPr>
          <w:lang w:val="de-DE"/>
        </w:rPr>
        <w:tab/>
      </w:r>
      <w:r w:rsidRPr="00AD6C7D">
        <w:rPr>
          <w:lang w:val="de-DE"/>
        </w:rPr>
        <w:tab/>
        <w:t>39-41</w:t>
      </w:r>
      <w:r w:rsidRPr="00AD6C7D">
        <w:rPr>
          <w:lang w:val="de-DE"/>
        </w:rPr>
        <w:tab/>
        <w:t>10</w:t>
      </w:r>
    </w:p>
    <w:p w14:paraId="77919FD3" w14:textId="0470A205" w:rsidR="00925F82" w:rsidRPr="00AD6C7D" w:rsidRDefault="00925F82" w:rsidP="00571298">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t>B.</w:t>
      </w:r>
      <w:r w:rsidRPr="00AD6C7D">
        <w:rPr>
          <w:lang w:val="de-DE"/>
        </w:rPr>
        <w:tab/>
      </w:r>
      <w:r w:rsidR="00571298" w:rsidRPr="00AD6C7D">
        <w:rPr>
          <w:lang w:val="de-DE"/>
        </w:rPr>
        <w:t>Weitere Vorschläge</w:t>
      </w:r>
      <w:r w:rsidRPr="00AD6C7D">
        <w:rPr>
          <w:lang w:val="de-DE"/>
        </w:rPr>
        <w:tab/>
      </w:r>
      <w:r w:rsidRPr="00AD6C7D">
        <w:rPr>
          <w:lang w:val="de-DE"/>
        </w:rPr>
        <w:tab/>
        <w:t>42-61</w:t>
      </w:r>
      <w:r w:rsidRPr="00AD6C7D">
        <w:rPr>
          <w:lang w:val="de-DE"/>
        </w:rPr>
        <w:tab/>
        <w:t>11</w:t>
      </w:r>
    </w:p>
    <w:p w14:paraId="28AD6C7F" w14:textId="5D784A59" w:rsidR="00925F82" w:rsidRPr="00660988" w:rsidRDefault="00925F82" w:rsidP="00571298">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1.</w:t>
      </w:r>
      <w:r w:rsidRPr="00AD6C7D">
        <w:rPr>
          <w:lang w:val="de-DE"/>
        </w:rPr>
        <w:tab/>
      </w:r>
      <w:r w:rsidR="00571298" w:rsidRPr="00AD6C7D">
        <w:rPr>
          <w:lang w:val="de-DE"/>
        </w:rPr>
        <w:t>Änderungsvorschlag zu UN-Nr. 2057 (</w:t>
      </w:r>
      <w:proofErr w:type="spellStart"/>
      <w:r w:rsidR="00571298" w:rsidRPr="00AD6C7D">
        <w:rPr>
          <w:lang w:val="de-DE"/>
        </w:rPr>
        <w:t>Tripropylen</w:t>
      </w:r>
      <w:proofErr w:type="spellEnd"/>
      <w:r w:rsidR="00571298" w:rsidRPr="00AD6C7D">
        <w:rPr>
          <w:lang w:val="de-DE"/>
        </w:rPr>
        <w:t>) in Tabelle C</w:t>
      </w:r>
      <w:r w:rsidRPr="00660988">
        <w:rPr>
          <w:lang w:val="de-DE"/>
        </w:rPr>
        <w:tab/>
      </w:r>
      <w:r w:rsidRPr="00660988">
        <w:rPr>
          <w:lang w:val="de-DE"/>
        </w:rPr>
        <w:tab/>
        <w:t>42</w:t>
      </w:r>
      <w:r w:rsidRPr="00660988">
        <w:rPr>
          <w:lang w:val="de-DE"/>
        </w:rPr>
        <w:tab/>
        <w:t>11</w:t>
      </w:r>
    </w:p>
    <w:p w14:paraId="20280DF1" w14:textId="5A7B19EB" w:rsidR="00925F82" w:rsidRPr="00AD6C7D" w:rsidRDefault="00925F82" w:rsidP="00571298">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660988">
        <w:rPr>
          <w:lang w:val="de-DE"/>
        </w:rPr>
        <w:tab/>
      </w:r>
      <w:r w:rsidRPr="00660988">
        <w:rPr>
          <w:lang w:val="de-DE"/>
        </w:rPr>
        <w:tab/>
      </w:r>
      <w:r w:rsidRPr="00660988">
        <w:rPr>
          <w:lang w:val="de-DE"/>
        </w:rPr>
        <w:tab/>
      </w:r>
      <w:r w:rsidRPr="00AD6C7D">
        <w:rPr>
          <w:lang w:val="de-DE"/>
        </w:rPr>
        <w:t>2.</w:t>
      </w:r>
      <w:r w:rsidRPr="00AD6C7D">
        <w:rPr>
          <w:lang w:val="de-DE"/>
        </w:rPr>
        <w:tab/>
      </w:r>
      <w:r w:rsidR="00571298" w:rsidRPr="00AD6C7D">
        <w:rPr>
          <w:lang w:val="de-DE"/>
        </w:rPr>
        <w:t xml:space="preserve">Begriffsbestimmung für Gasrückfuhrleitung (an Land) in </w:t>
      </w:r>
      <w:r w:rsidR="004F2AF2" w:rsidRPr="00AD6C7D">
        <w:rPr>
          <w:lang w:val="de-DE"/>
        </w:rPr>
        <w:br/>
      </w:r>
      <w:r w:rsidR="00571298" w:rsidRPr="00AD6C7D">
        <w:rPr>
          <w:lang w:val="de-DE"/>
        </w:rPr>
        <w:t>Abschnitt 1.2.1 ADN</w:t>
      </w:r>
      <w:r w:rsidRPr="00AD6C7D">
        <w:rPr>
          <w:lang w:val="de-DE"/>
        </w:rPr>
        <w:tab/>
      </w:r>
      <w:r w:rsidRPr="00AD6C7D">
        <w:rPr>
          <w:lang w:val="de-DE"/>
        </w:rPr>
        <w:tab/>
        <w:t>43</w:t>
      </w:r>
      <w:r w:rsidRPr="00AD6C7D">
        <w:rPr>
          <w:lang w:val="de-DE"/>
        </w:rPr>
        <w:tab/>
        <w:t>11</w:t>
      </w:r>
    </w:p>
    <w:p w14:paraId="3BABAD2B" w14:textId="1757F247" w:rsidR="00925F82" w:rsidRPr="00AD6C7D" w:rsidRDefault="00925F82" w:rsidP="00571298">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3.</w:t>
      </w:r>
      <w:r w:rsidRPr="00AD6C7D">
        <w:rPr>
          <w:lang w:val="de-DE"/>
        </w:rPr>
        <w:tab/>
      </w:r>
      <w:r w:rsidR="00571298" w:rsidRPr="00AD6C7D">
        <w:rPr>
          <w:lang w:val="de-DE"/>
        </w:rPr>
        <w:t>Antrag auf Diskussion der Einträge in Tabelle C mit Bemerkung 44</w:t>
      </w:r>
      <w:r w:rsidRPr="00AD6C7D">
        <w:rPr>
          <w:lang w:val="de-DE"/>
        </w:rPr>
        <w:tab/>
      </w:r>
      <w:r w:rsidRPr="00AD6C7D">
        <w:rPr>
          <w:lang w:val="de-DE"/>
        </w:rPr>
        <w:tab/>
        <w:t>44</w:t>
      </w:r>
      <w:r w:rsidRPr="00AD6C7D">
        <w:rPr>
          <w:lang w:val="de-DE"/>
        </w:rPr>
        <w:tab/>
        <w:t>11</w:t>
      </w:r>
    </w:p>
    <w:p w14:paraId="441F2390" w14:textId="3F9E1FEB" w:rsidR="00925F82" w:rsidRPr="00AD6C7D" w:rsidRDefault="00925F82" w:rsidP="006920F6">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4.</w:t>
      </w:r>
      <w:r w:rsidRPr="00AD6C7D">
        <w:rPr>
          <w:lang w:val="de-DE"/>
        </w:rPr>
        <w:tab/>
      </w:r>
      <w:r w:rsidR="00571298" w:rsidRPr="00AD6C7D">
        <w:rPr>
          <w:lang w:val="de-DE"/>
        </w:rPr>
        <w:t xml:space="preserve">Antrag auf Diskussion der Einträge in Tabelle C </w:t>
      </w:r>
      <w:r w:rsidR="00EC5036" w:rsidRPr="00AD6C7D">
        <w:rPr>
          <w:lang w:val="de-DE"/>
        </w:rPr>
        <w:t xml:space="preserve">mit mehr als 10 % </w:t>
      </w:r>
      <w:r w:rsidR="004F2AF2" w:rsidRPr="00AD6C7D">
        <w:rPr>
          <w:lang w:val="de-DE"/>
        </w:rPr>
        <w:br/>
      </w:r>
      <w:r w:rsidR="00EC5036" w:rsidRPr="00AD6C7D">
        <w:rPr>
          <w:lang w:val="de-DE"/>
        </w:rPr>
        <w:t xml:space="preserve">Benzol und der </w:t>
      </w:r>
      <w:r w:rsidR="006920F6" w:rsidRPr="00AD6C7D">
        <w:rPr>
          <w:lang w:val="de-DE"/>
        </w:rPr>
        <w:t>mit</w:t>
      </w:r>
      <w:r w:rsidR="00EC5036" w:rsidRPr="00AD6C7D">
        <w:rPr>
          <w:lang w:val="de-DE"/>
        </w:rPr>
        <w:t xml:space="preserve"> eine</w:t>
      </w:r>
      <w:r w:rsidR="006920F6" w:rsidRPr="00AD6C7D">
        <w:rPr>
          <w:lang w:val="de-DE"/>
        </w:rPr>
        <w:t>m</w:t>
      </w:r>
      <w:r w:rsidR="00EC5036" w:rsidRPr="00AD6C7D">
        <w:rPr>
          <w:lang w:val="de-DE"/>
        </w:rPr>
        <w:t xml:space="preserve"> Stern gekennzeichneten Einträge</w:t>
      </w:r>
      <w:r w:rsidRPr="00AD6C7D">
        <w:rPr>
          <w:lang w:val="de-DE"/>
        </w:rPr>
        <w:tab/>
      </w:r>
      <w:r w:rsidRPr="00AD6C7D">
        <w:rPr>
          <w:lang w:val="de-DE"/>
        </w:rPr>
        <w:tab/>
        <w:t>45</w:t>
      </w:r>
      <w:r w:rsidRPr="00AD6C7D">
        <w:rPr>
          <w:lang w:val="de-DE"/>
        </w:rPr>
        <w:tab/>
        <w:t>11</w:t>
      </w:r>
    </w:p>
    <w:p w14:paraId="79A41616" w14:textId="7D5FEB01" w:rsidR="00925F82" w:rsidRPr="00AD6C7D" w:rsidRDefault="00925F82" w:rsidP="006920F6">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lastRenderedPageBreak/>
        <w:tab/>
      </w:r>
      <w:r w:rsidRPr="00AD6C7D">
        <w:rPr>
          <w:lang w:val="de-DE"/>
        </w:rPr>
        <w:tab/>
      </w:r>
      <w:r w:rsidRPr="00AD6C7D">
        <w:rPr>
          <w:lang w:val="de-DE"/>
        </w:rPr>
        <w:tab/>
        <w:t>5.</w:t>
      </w:r>
      <w:r w:rsidRPr="00AD6C7D">
        <w:rPr>
          <w:lang w:val="de-DE"/>
        </w:rPr>
        <w:tab/>
      </w:r>
      <w:r w:rsidR="006920F6" w:rsidRPr="00AD6C7D">
        <w:rPr>
          <w:lang w:val="de-DE"/>
        </w:rPr>
        <w:t>Korrekturen zum ADN 2019</w:t>
      </w:r>
      <w:r w:rsidRPr="00AD6C7D">
        <w:rPr>
          <w:lang w:val="de-DE"/>
        </w:rPr>
        <w:tab/>
      </w:r>
      <w:r w:rsidRPr="00AD6C7D">
        <w:rPr>
          <w:lang w:val="de-DE"/>
        </w:rPr>
        <w:tab/>
        <w:t>46-47</w:t>
      </w:r>
      <w:r w:rsidRPr="00AD6C7D">
        <w:rPr>
          <w:lang w:val="de-DE"/>
        </w:rPr>
        <w:tab/>
        <w:t>11</w:t>
      </w:r>
    </w:p>
    <w:p w14:paraId="26F054D6" w14:textId="6C65AC74" w:rsidR="00925F82" w:rsidRPr="00AD6C7D" w:rsidRDefault="00925F82" w:rsidP="00EA0128">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6.</w:t>
      </w:r>
      <w:r w:rsidRPr="00AD6C7D">
        <w:rPr>
          <w:lang w:val="de-DE"/>
        </w:rPr>
        <w:tab/>
      </w:r>
      <w:r w:rsidR="006920F6" w:rsidRPr="00AD6C7D">
        <w:rPr>
          <w:lang w:val="de-DE"/>
        </w:rPr>
        <w:t xml:space="preserve">Unterabschnitt 1.1.3.6 und Abschnitt 1.10.4 ADN – Freistellungen im </w:t>
      </w:r>
      <w:r w:rsidR="004F2AF2" w:rsidRPr="00AD6C7D">
        <w:rPr>
          <w:lang w:val="de-DE"/>
        </w:rPr>
        <w:br/>
      </w:r>
      <w:r w:rsidR="006920F6" w:rsidRPr="00AD6C7D">
        <w:rPr>
          <w:lang w:val="de-DE"/>
        </w:rPr>
        <w:t>Zusammenhang mit der Beförderung von gefährlichen Gütern der Klasse 7</w:t>
      </w:r>
      <w:r w:rsidRPr="00AD6C7D">
        <w:rPr>
          <w:lang w:val="de-DE"/>
        </w:rPr>
        <w:tab/>
        <w:t>48</w:t>
      </w:r>
      <w:r w:rsidRPr="00AD6C7D">
        <w:rPr>
          <w:lang w:val="de-DE"/>
        </w:rPr>
        <w:tab/>
        <w:t>12</w:t>
      </w:r>
    </w:p>
    <w:p w14:paraId="6CF35F8B" w14:textId="76CA8FC9" w:rsidR="00925F82" w:rsidRPr="00AD6C7D" w:rsidRDefault="00925F82" w:rsidP="00EA0128">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7.</w:t>
      </w:r>
      <w:r w:rsidRPr="00AD6C7D">
        <w:rPr>
          <w:lang w:val="de-DE"/>
        </w:rPr>
        <w:tab/>
      </w:r>
      <w:r w:rsidR="00EA0128" w:rsidRPr="00AD6C7D">
        <w:rPr>
          <w:lang w:val="de-DE"/>
        </w:rPr>
        <w:t xml:space="preserve">Feuerlöscheinrichtung an Bord eines Verbandes (schiebendes Fahrzeug </w:t>
      </w:r>
      <w:r w:rsidR="004F2AF2" w:rsidRPr="00AD6C7D">
        <w:rPr>
          <w:lang w:val="de-DE"/>
        </w:rPr>
        <w:br/>
      </w:r>
      <w:r w:rsidR="00EA0128" w:rsidRPr="00AD6C7D">
        <w:rPr>
          <w:lang w:val="de-DE"/>
        </w:rPr>
        <w:t xml:space="preserve">oder nicht motorisierter Leichter) oder an Bord eines einzelnen (nicht </w:t>
      </w:r>
      <w:r w:rsidR="004F2AF2" w:rsidRPr="00AD6C7D">
        <w:rPr>
          <w:lang w:val="de-DE"/>
        </w:rPr>
        <w:br/>
      </w:r>
      <w:r w:rsidR="00EA0128" w:rsidRPr="00AD6C7D">
        <w:rPr>
          <w:lang w:val="de-DE"/>
        </w:rPr>
        <w:t xml:space="preserve">motorisierten) </w:t>
      </w:r>
      <w:proofErr w:type="spellStart"/>
      <w:r w:rsidR="00EA0128" w:rsidRPr="00AD6C7D">
        <w:rPr>
          <w:lang w:val="de-DE"/>
        </w:rPr>
        <w:t>Leichters</w:t>
      </w:r>
      <w:proofErr w:type="spellEnd"/>
      <w:r w:rsidRPr="00AD6C7D">
        <w:rPr>
          <w:lang w:val="de-DE"/>
        </w:rPr>
        <w:tab/>
      </w:r>
      <w:r w:rsidRPr="00AD6C7D">
        <w:rPr>
          <w:lang w:val="de-DE"/>
        </w:rPr>
        <w:tab/>
        <w:t>49</w:t>
      </w:r>
      <w:r w:rsidRPr="00AD6C7D">
        <w:rPr>
          <w:lang w:val="de-DE"/>
        </w:rPr>
        <w:tab/>
        <w:t>12</w:t>
      </w:r>
    </w:p>
    <w:p w14:paraId="4FA5547A" w14:textId="53FB08DB" w:rsidR="00925F82" w:rsidRPr="00AD6C7D" w:rsidRDefault="00925F82" w:rsidP="000142C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8.</w:t>
      </w:r>
      <w:r w:rsidRPr="00AD6C7D">
        <w:rPr>
          <w:lang w:val="de-DE"/>
        </w:rPr>
        <w:tab/>
      </w:r>
      <w:r w:rsidR="00EA0128" w:rsidRPr="00AD6C7D">
        <w:rPr>
          <w:lang w:val="de-DE"/>
        </w:rPr>
        <w:t xml:space="preserve">Unterabsatz 1.1.3.6 ADN – Freistellungen in Zusammenhang mit an </w:t>
      </w:r>
      <w:r w:rsidR="004F2AF2" w:rsidRPr="00AD6C7D">
        <w:rPr>
          <w:lang w:val="de-DE"/>
        </w:rPr>
        <w:br/>
      </w:r>
      <w:r w:rsidR="00EA0128" w:rsidRPr="00AD6C7D">
        <w:rPr>
          <w:lang w:val="de-DE"/>
        </w:rPr>
        <w:t>Bord von Schiffen beförderten Mengen</w:t>
      </w:r>
      <w:r w:rsidRPr="00AD6C7D">
        <w:rPr>
          <w:lang w:val="de-DE"/>
        </w:rPr>
        <w:tab/>
      </w:r>
      <w:r w:rsidRPr="00AD6C7D">
        <w:rPr>
          <w:lang w:val="de-DE"/>
        </w:rPr>
        <w:tab/>
        <w:t>50</w:t>
      </w:r>
      <w:r w:rsidRPr="00AD6C7D">
        <w:rPr>
          <w:lang w:val="de-DE"/>
        </w:rPr>
        <w:tab/>
        <w:t>12</w:t>
      </w:r>
    </w:p>
    <w:p w14:paraId="14A6A543" w14:textId="608F96B1" w:rsidR="00925F82" w:rsidRPr="00AD6C7D" w:rsidRDefault="00925F82" w:rsidP="000142C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9.</w:t>
      </w:r>
      <w:r w:rsidRPr="00AD6C7D">
        <w:rPr>
          <w:lang w:val="de-DE"/>
        </w:rPr>
        <w:tab/>
      </w:r>
      <w:r w:rsidR="000142C3" w:rsidRPr="00AD6C7D">
        <w:rPr>
          <w:lang w:val="de-DE"/>
        </w:rPr>
        <w:t xml:space="preserve">Berichtigung von Unstimmigkeiten in den Mustern der </w:t>
      </w:r>
      <w:r w:rsidR="004F2AF2" w:rsidRPr="00AD6C7D">
        <w:rPr>
          <w:lang w:val="de-DE"/>
        </w:rPr>
        <w:br/>
      </w:r>
      <w:r w:rsidR="000142C3" w:rsidRPr="00AD6C7D">
        <w:rPr>
          <w:lang w:val="de-DE"/>
        </w:rPr>
        <w:t>Zulassungszeugnisse</w:t>
      </w:r>
      <w:r w:rsidRPr="00AD6C7D">
        <w:rPr>
          <w:lang w:val="de-DE"/>
        </w:rPr>
        <w:tab/>
      </w:r>
      <w:r w:rsidRPr="00AD6C7D">
        <w:rPr>
          <w:lang w:val="de-DE"/>
        </w:rPr>
        <w:tab/>
        <w:t>51-52</w:t>
      </w:r>
      <w:r w:rsidRPr="00AD6C7D">
        <w:rPr>
          <w:lang w:val="de-DE"/>
        </w:rPr>
        <w:tab/>
        <w:t>12</w:t>
      </w:r>
    </w:p>
    <w:p w14:paraId="581EC61E" w14:textId="3DCF4CF4" w:rsidR="00925F82" w:rsidRPr="00AD6C7D" w:rsidRDefault="00925F82" w:rsidP="000142C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10.</w:t>
      </w:r>
      <w:r w:rsidRPr="00AD6C7D">
        <w:rPr>
          <w:lang w:val="de-DE"/>
        </w:rPr>
        <w:tab/>
      </w:r>
      <w:r w:rsidR="000142C3" w:rsidRPr="00AD6C7D">
        <w:rPr>
          <w:lang w:val="de-DE"/>
        </w:rPr>
        <w:t>Aktualisierung der Schiffskontrolllisten gemäß Absatz 1.8.1.2.1</w:t>
      </w:r>
      <w:r w:rsidRPr="00AD6C7D">
        <w:rPr>
          <w:lang w:val="de-DE"/>
        </w:rPr>
        <w:tab/>
      </w:r>
      <w:r w:rsidRPr="00AD6C7D">
        <w:rPr>
          <w:lang w:val="de-DE"/>
        </w:rPr>
        <w:tab/>
        <w:t>53-54</w:t>
      </w:r>
      <w:r w:rsidRPr="00AD6C7D">
        <w:rPr>
          <w:lang w:val="de-DE"/>
        </w:rPr>
        <w:tab/>
        <w:t>1</w:t>
      </w:r>
      <w:r w:rsidR="00660988">
        <w:rPr>
          <w:lang w:val="de-DE"/>
        </w:rPr>
        <w:t>3</w:t>
      </w:r>
    </w:p>
    <w:p w14:paraId="2FA35161" w14:textId="7F94FC08" w:rsidR="00925F82" w:rsidRPr="00AD6C7D" w:rsidRDefault="00925F82" w:rsidP="000142C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11.</w:t>
      </w:r>
      <w:r w:rsidRPr="00AD6C7D">
        <w:rPr>
          <w:lang w:val="de-DE"/>
        </w:rPr>
        <w:tab/>
      </w:r>
      <w:r w:rsidR="000142C3" w:rsidRPr="00AD6C7D">
        <w:rPr>
          <w:lang w:val="de-DE"/>
        </w:rPr>
        <w:t xml:space="preserve">Änderung des Unterabschnitts 8.1.2.3: Mitführen von Dokumenten </w:t>
      </w:r>
      <w:r w:rsidR="004F2AF2" w:rsidRPr="00AD6C7D">
        <w:rPr>
          <w:lang w:val="de-DE"/>
        </w:rPr>
        <w:br/>
      </w:r>
      <w:r w:rsidR="000142C3" w:rsidRPr="00AD6C7D">
        <w:rPr>
          <w:lang w:val="de-DE"/>
        </w:rPr>
        <w:t>(Tankschiff</w:t>
      </w:r>
      <w:r w:rsidR="00E61F37" w:rsidRPr="00AD6C7D">
        <w:rPr>
          <w:lang w:val="de-DE"/>
        </w:rPr>
        <w:t>e</w:t>
      </w:r>
      <w:r w:rsidR="000142C3" w:rsidRPr="00AD6C7D">
        <w:rPr>
          <w:lang w:val="de-DE"/>
        </w:rPr>
        <w:t>) – Übergangsvorschriften</w:t>
      </w:r>
      <w:r w:rsidRPr="00AD6C7D">
        <w:rPr>
          <w:lang w:val="de-DE"/>
        </w:rPr>
        <w:tab/>
      </w:r>
      <w:r w:rsidRPr="00AD6C7D">
        <w:rPr>
          <w:lang w:val="de-DE"/>
        </w:rPr>
        <w:tab/>
        <w:t>55</w:t>
      </w:r>
      <w:r w:rsidRPr="00AD6C7D">
        <w:rPr>
          <w:lang w:val="de-DE"/>
        </w:rPr>
        <w:tab/>
        <w:t>13</w:t>
      </w:r>
    </w:p>
    <w:p w14:paraId="2775BFF8" w14:textId="05E4239B" w:rsidR="00925F82" w:rsidRPr="00AD6C7D" w:rsidRDefault="00925F82" w:rsidP="000142C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12.</w:t>
      </w:r>
      <w:r w:rsidRPr="00AD6C7D">
        <w:rPr>
          <w:lang w:val="de-DE"/>
        </w:rPr>
        <w:tab/>
      </w:r>
      <w:r w:rsidR="000142C3" w:rsidRPr="00AD6C7D">
        <w:rPr>
          <w:lang w:val="de-DE"/>
        </w:rPr>
        <w:t>Schlauchleitungen für LNG</w:t>
      </w:r>
      <w:r w:rsidRPr="00AD6C7D">
        <w:rPr>
          <w:lang w:val="de-DE"/>
        </w:rPr>
        <w:tab/>
      </w:r>
      <w:r w:rsidRPr="00AD6C7D">
        <w:rPr>
          <w:lang w:val="de-DE"/>
        </w:rPr>
        <w:tab/>
        <w:t>56</w:t>
      </w:r>
      <w:r w:rsidRPr="00AD6C7D">
        <w:rPr>
          <w:lang w:val="de-DE"/>
        </w:rPr>
        <w:tab/>
        <w:t>13</w:t>
      </w:r>
    </w:p>
    <w:p w14:paraId="6B525CBD" w14:textId="1195C927" w:rsidR="00925F82" w:rsidRPr="00AD6C7D" w:rsidRDefault="00925F82" w:rsidP="000142C3">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13.</w:t>
      </w:r>
      <w:r w:rsidRPr="00AD6C7D">
        <w:rPr>
          <w:lang w:val="de-DE"/>
        </w:rPr>
        <w:tab/>
      </w:r>
      <w:r w:rsidR="000142C3" w:rsidRPr="00AD6C7D">
        <w:rPr>
          <w:lang w:val="de-DE"/>
        </w:rPr>
        <w:t xml:space="preserve">Änderungen des Unterabschnitts 8.1.2.3: Mitführen von Dokumenten </w:t>
      </w:r>
      <w:r w:rsidR="004F2AF2" w:rsidRPr="00AD6C7D">
        <w:rPr>
          <w:lang w:val="de-DE"/>
        </w:rPr>
        <w:br/>
      </w:r>
      <w:r w:rsidR="000142C3" w:rsidRPr="00AD6C7D">
        <w:rPr>
          <w:lang w:val="de-DE"/>
        </w:rPr>
        <w:t>(Tankschiff</w:t>
      </w:r>
      <w:r w:rsidR="00E61F37" w:rsidRPr="00AD6C7D">
        <w:rPr>
          <w:lang w:val="de-DE"/>
        </w:rPr>
        <w:t>e</w:t>
      </w:r>
      <w:r w:rsidR="000142C3" w:rsidRPr="00AD6C7D">
        <w:rPr>
          <w:lang w:val="de-DE"/>
        </w:rPr>
        <w:t>)</w:t>
      </w:r>
      <w:r w:rsidRPr="00AD6C7D">
        <w:rPr>
          <w:lang w:val="de-DE"/>
        </w:rPr>
        <w:tab/>
      </w:r>
      <w:r w:rsidRPr="00AD6C7D">
        <w:rPr>
          <w:lang w:val="de-DE"/>
        </w:rPr>
        <w:tab/>
        <w:t>57</w:t>
      </w:r>
      <w:r w:rsidRPr="00AD6C7D">
        <w:rPr>
          <w:lang w:val="de-DE"/>
        </w:rPr>
        <w:tab/>
        <w:t>13</w:t>
      </w:r>
    </w:p>
    <w:p w14:paraId="51BCC215" w14:textId="3A529597" w:rsidR="00925F82" w:rsidRPr="00AD6C7D" w:rsidRDefault="00925F82" w:rsidP="00E61F3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14.</w:t>
      </w:r>
      <w:r w:rsidRPr="00AD6C7D">
        <w:rPr>
          <w:lang w:val="de-DE"/>
        </w:rPr>
        <w:tab/>
      </w:r>
      <w:r w:rsidR="000142C3" w:rsidRPr="00AD6C7D">
        <w:rPr>
          <w:lang w:val="de-DE"/>
        </w:rPr>
        <w:t xml:space="preserve">Änderung des Unterabschnitts 8.1.2.2: Mitführen von Dokumenten </w:t>
      </w:r>
      <w:r w:rsidR="004F2AF2" w:rsidRPr="00AD6C7D">
        <w:rPr>
          <w:lang w:val="de-DE"/>
        </w:rPr>
        <w:br/>
      </w:r>
      <w:r w:rsidR="000142C3" w:rsidRPr="00AD6C7D">
        <w:rPr>
          <w:lang w:val="de-DE"/>
        </w:rPr>
        <w:t>(Trocken</w:t>
      </w:r>
      <w:r w:rsidR="00E61F37" w:rsidRPr="00AD6C7D">
        <w:rPr>
          <w:lang w:val="de-DE"/>
        </w:rPr>
        <w:t>güter</w:t>
      </w:r>
      <w:r w:rsidR="000142C3" w:rsidRPr="00AD6C7D">
        <w:rPr>
          <w:lang w:val="de-DE"/>
        </w:rPr>
        <w:t>schiff</w:t>
      </w:r>
      <w:r w:rsidR="00E61F37" w:rsidRPr="00AD6C7D">
        <w:rPr>
          <w:lang w:val="de-DE"/>
        </w:rPr>
        <w:t>e</w:t>
      </w:r>
      <w:r w:rsidR="000142C3" w:rsidRPr="00AD6C7D">
        <w:rPr>
          <w:lang w:val="de-DE"/>
        </w:rPr>
        <w:t>)</w:t>
      </w:r>
      <w:r w:rsidRPr="00AD6C7D">
        <w:rPr>
          <w:lang w:val="de-DE"/>
        </w:rPr>
        <w:tab/>
      </w:r>
      <w:r w:rsidRPr="00AD6C7D">
        <w:rPr>
          <w:lang w:val="de-DE"/>
        </w:rPr>
        <w:tab/>
        <w:t>58</w:t>
      </w:r>
      <w:r w:rsidRPr="00AD6C7D">
        <w:rPr>
          <w:lang w:val="de-DE"/>
        </w:rPr>
        <w:tab/>
        <w:t>13</w:t>
      </w:r>
    </w:p>
    <w:p w14:paraId="516E908C" w14:textId="1623CB96" w:rsidR="00925F82" w:rsidRPr="00AD6C7D" w:rsidRDefault="00925F82" w:rsidP="00E61F3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15.</w:t>
      </w:r>
      <w:r w:rsidRPr="00AD6C7D">
        <w:rPr>
          <w:lang w:val="de-DE"/>
        </w:rPr>
        <w:tab/>
      </w:r>
      <w:r w:rsidR="00E61F37" w:rsidRPr="00AD6C7D">
        <w:rPr>
          <w:lang w:val="de-DE"/>
        </w:rPr>
        <w:t>Änderung des Unterabschnitts 7.1.4.1</w:t>
      </w:r>
      <w:r w:rsidR="00D170A3" w:rsidRPr="00AD6C7D">
        <w:rPr>
          <w:lang w:val="de-DE"/>
        </w:rPr>
        <w:t>:</w:t>
      </w:r>
      <w:r w:rsidR="00E61F37" w:rsidRPr="00AD6C7D">
        <w:rPr>
          <w:lang w:val="de-DE"/>
        </w:rPr>
        <w:t xml:space="preserve"> Begrenzung der beförderten </w:t>
      </w:r>
      <w:r w:rsidR="004F2AF2" w:rsidRPr="00AD6C7D">
        <w:rPr>
          <w:lang w:val="de-DE"/>
        </w:rPr>
        <w:br/>
      </w:r>
      <w:r w:rsidR="00E61F37" w:rsidRPr="00AD6C7D">
        <w:rPr>
          <w:lang w:val="de-DE"/>
        </w:rPr>
        <w:t>Mengen</w:t>
      </w:r>
      <w:r w:rsidRPr="00AD6C7D">
        <w:rPr>
          <w:lang w:val="de-DE"/>
        </w:rPr>
        <w:tab/>
      </w:r>
      <w:r w:rsidRPr="00AD6C7D">
        <w:rPr>
          <w:lang w:val="de-DE"/>
        </w:rPr>
        <w:tab/>
        <w:t>59</w:t>
      </w:r>
      <w:r w:rsidRPr="00AD6C7D">
        <w:rPr>
          <w:lang w:val="de-DE"/>
        </w:rPr>
        <w:tab/>
        <w:t>1</w:t>
      </w:r>
      <w:r w:rsidR="00660988">
        <w:rPr>
          <w:lang w:val="de-DE"/>
        </w:rPr>
        <w:t>4</w:t>
      </w:r>
    </w:p>
    <w:p w14:paraId="19AC1A70" w14:textId="79F27931" w:rsidR="00925F82" w:rsidRPr="00AD6C7D" w:rsidRDefault="00925F82" w:rsidP="00E61F3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16.</w:t>
      </w:r>
      <w:r w:rsidRPr="00AD6C7D">
        <w:rPr>
          <w:lang w:val="de-DE"/>
        </w:rPr>
        <w:tab/>
      </w:r>
      <w:r w:rsidR="00E61F37" w:rsidRPr="00AD6C7D">
        <w:rPr>
          <w:lang w:val="de-DE"/>
        </w:rPr>
        <w:t>Berichtigungen des Absatzes 9.3.x.12.4 b) (i)</w:t>
      </w:r>
      <w:r w:rsidRPr="00AD6C7D">
        <w:rPr>
          <w:lang w:val="de-DE"/>
        </w:rPr>
        <w:tab/>
      </w:r>
      <w:r w:rsidRPr="00AD6C7D">
        <w:rPr>
          <w:lang w:val="de-DE"/>
        </w:rPr>
        <w:tab/>
        <w:t>60</w:t>
      </w:r>
      <w:r w:rsidRPr="00AD6C7D">
        <w:rPr>
          <w:lang w:val="de-DE"/>
        </w:rPr>
        <w:tab/>
        <w:t>14</w:t>
      </w:r>
    </w:p>
    <w:p w14:paraId="7A7EEA6A" w14:textId="27B43C36" w:rsidR="00925F82" w:rsidRPr="00AD6C7D" w:rsidRDefault="00925F82" w:rsidP="00E61F3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Pr="00AD6C7D">
        <w:rPr>
          <w:lang w:val="de-DE"/>
        </w:rPr>
        <w:tab/>
      </w:r>
      <w:r w:rsidRPr="00AD6C7D">
        <w:rPr>
          <w:lang w:val="de-DE"/>
        </w:rPr>
        <w:tab/>
        <w:t>17.</w:t>
      </w:r>
      <w:r w:rsidRPr="00AD6C7D">
        <w:rPr>
          <w:lang w:val="de-DE"/>
        </w:rPr>
        <w:tab/>
      </w:r>
      <w:r w:rsidR="00E61F37" w:rsidRPr="00AD6C7D">
        <w:rPr>
          <w:lang w:val="de-DE"/>
        </w:rPr>
        <w:t xml:space="preserve">Berichtigungen der Übergangsbestimmungen zu 9.3.1.17.4 / 9.3.3.17.4 </w:t>
      </w:r>
      <w:r w:rsidR="004F2AF2" w:rsidRPr="00AD6C7D">
        <w:rPr>
          <w:lang w:val="de-DE"/>
        </w:rPr>
        <w:br/>
      </w:r>
      <w:r w:rsidR="00E61F37" w:rsidRPr="00AD6C7D">
        <w:rPr>
          <w:lang w:val="de-DE"/>
        </w:rPr>
        <w:t>in Absatz 1.6.7.2.2.2</w:t>
      </w:r>
      <w:r w:rsidRPr="00AD6C7D">
        <w:rPr>
          <w:lang w:val="de-DE"/>
        </w:rPr>
        <w:tab/>
      </w:r>
      <w:r w:rsidRPr="00AD6C7D">
        <w:rPr>
          <w:lang w:val="de-DE"/>
        </w:rPr>
        <w:tab/>
        <w:t>61</w:t>
      </w:r>
      <w:r w:rsidRPr="00AD6C7D">
        <w:rPr>
          <w:lang w:val="de-DE"/>
        </w:rPr>
        <w:tab/>
        <w:t>14</w:t>
      </w:r>
    </w:p>
    <w:p w14:paraId="71F3D965" w14:textId="5CC4B4FF" w:rsidR="00925F82" w:rsidRPr="00AD6C7D" w:rsidRDefault="00925F82" w:rsidP="00E61F3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r>
      <w:r w:rsidR="00E61F37" w:rsidRPr="00AD6C7D">
        <w:rPr>
          <w:lang w:val="de-DE"/>
        </w:rPr>
        <w:t>VII.</w:t>
      </w:r>
      <w:r w:rsidRPr="00AD6C7D">
        <w:rPr>
          <w:lang w:val="de-DE"/>
        </w:rPr>
        <w:tab/>
      </w:r>
      <w:r w:rsidR="00656748" w:rsidRPr="00AD6C7D">
        <w:rPr>
          <w:lang w:val="de-DE"/>
        </w:rPr>
        <w:t>Berichte informeller Arbeitsgruppen (TOP 5)</w:t>
      </w:r>
      <w:r w:rsidRPr="00AD6C7D">
        <w:rPr>
          <w:lang w:val="de-DE"/>
        </w:rPr>
        <w:tab/>
      </w:r>
      <w:r w:rsidRPr="00AD6C7D">
        <w:rPr>
          <w:lang w:val="de-DE"/>
        </w:rPr>
        <w:tab/>
        <w:t>62-70</w:t>
      </w:r>
      <w:r w:rsidRPr="00AD6C7D">
        <w:rPr>
          <w:lang w:val="de-DE"/>
        </w:rPr>
        <w:tab/>
        <w:t>14</w:t>
      </w:r>
    </w:p>
    <w:p w14:paraId="32E7DF52" w14:textId="2101678B" w:rsidR="00925F82" w:rsidRPr="00AD6C7D" w:rsidRDefault="00925F82" w:rsidP="00E61F37">
      <w:pPr>
        <w:tabs>
          <w:tab w:val="right" w:pos="850"/>
          <w:tab w:val="left" w:pos="1134"/>
          <w:tab w:val="left" w:pos="1560"/>
          <w:tab w:val="left" w:leader="dot" w:pos="7654"/>
          <w:tab w:val="right" w:pos="8929"/>
          <w:tab w:val="right" w:pos="9638"/>
        </w:tabs>
        <w:spacing w:after="120" w:line="220" w:lineRule="atLeast"/>
        <w:ind w:left="1560" w:hanging="1980"/>
        <w:rPr>
          <w:lang w:val="de-DE"/>
        </w:rPr>
      </w:pPr>
      <w:r w:rsidRPr="00AD6C7D">
        <w:rPr>
          <w:lang w:val="de-DE"/>
        </w:rPr>
        <w:tab/>
      </w:r>
      <w:r w:rsidRPr="00AD6C7D">
        <w:rPr>
          <w:lang w:val="de-DE"/>
        </w:rPr>
        <w:tab/>
        <w:t>A.</w:t>
      </w:r>
      <w:r w:rsidRPr="00AD6C7D">
        <w:rPr>
          <w:lang w:val="de-DE"/>
        </w:rPr>
        <w:tab/>
      </w:r>
      <w:r w:rsidR="00E61F37" w:rsidRPr="00AD6C7D">
        <w:rPr>
          <w:lang w:val="de-DE"/>
        </w:rPr>
        <w:t>Bericht über die vierte Sitzung der informellen Arbeitsgruppe „Membrantanks“</w:t>
      </w:r>
      <w:r w:rsidRPr="00AD6C7D">
        <w:rPr>
          <w:lang w:val="de-DE"/>
        </w:rPr>
        <w:tab/>
        <w:t>62-65</w:t>
      </w:r>
      <w:r w:rsidRPr="00AD6C7D">
        <w:rPr>
          <w:lang w:val="de-DE"/>
        </w:rPr>
        <w:tab/>
        <w:t>14</w:t>
      </w:r>
    </w:p>
    <w:p w14:paraId="046F085C" w14:textId="4876A435" w:rsidR="00925F82" w:rsidRPr="00AD6C7D" w:rsidRDefault="00925F82" w:rsidP="00E61F37">
      <w:pPr>
        <w:tabs>
          <w:tab w:val="right" w:pos="850"/>
          <w:tab w:val="left" w:pos="1134"/>
          <w:tab w:val="left" w:pos="1560"/>
          <w:tab w:val="left" w:leader="dot" w:pos="7654"/>
          <w:tab w:val="right" w:pos="8929"/>
          <w:tab w:val="right" w:pos="9638"/>
        </w:tabs>
        <w:spacing w:after="120" w:line="220" w:lineRule="atLeast"/>
        <w:ind w:left="1560" w:hanging="1560"/>
        <w:rPr>
          <w:lang w:val="de-DE"/>
        </w:rPr>
      </w:pPr>
      <w:r w:rsidRPr="00AD6C7D">
        <w:rPr>
          <w:lang w:val="de-DE"/>
        </w:rPr>
        <w:tab/>
      </w:r>
      <w:r w:rsidRPr="00AD6C7D">
        <w:rPr>
          <w:lang w:val="de-DE"/>
        </w:rPr>
        <w:tab/>
      </w:r>
      <w:r w:rsidR="00E61F37" w:rsidRPr="00AD6C7D">
        <w:rPr>
          <w:lang w:val="de-DE"/>
        </w:rPr>
        <w:t>B.</w:t>
      </w:r>
      <w:r w:rsidRPr="00AD6C7D">
        <w:rPr>
          <w:lang w:val="de-DE"/>
        </w:rPr>
        <w:tab/>
      </w:r>
      <w:r w:rsidR="00E61F37" w:rsidRPr="00AD6C7D">
        <w:rPr>
          <w:lang w:val="de-DE"/>
        </w:rPr>
        <w:t xml:space="preserve">Bericht über die dritte Sitzung der informellen Arbeitsgruppe „Load-on-Top </w:t>
      </w:r>
      <w:r w:rsidR="004F2AF2" w:rsidRPr="00AD6C7D">
        <w:rPr>
          <w:lang w:val="de-DE"/>
        </w:rPr>
        <w:br/>
      </w:r>
      <w:r w:rsidR="00E61F37" w:rsidRPr="00AD6C7D">
        <w:rPr>
          <w:lang w:val="de-DE"/>
        </w:rPr>
        <w:t>in Binnenschiffen“</w:t>
      </w:r>
      <w:r w:rsidRPr="00AD6C7D">
        <w:rPr>
          <w:lang w:val="de-DE"/>
        </w:rPr>
        <w:tab/>
      </w:r>
      <w:r w:rsidRPr="00AD6C7D">
        <w:rPr>
          <w:lang w:val="de-DE"/>
        </w:rPr>
        <w:tab/>
        <w:t>66-67</w:t>
      </w:r>
      <w:r w:rsidRPr="00AD6C7D">
        <w:rPr>
          <w:lang w:val="de-DE"/>
        </w:rPr>
        <w:tab/>
        <w:t>15</w:t>
      </w:r>
    </w:p>
    <w:p w14:paraId="32A07469" w14:textId="337F24F9" w:rsidR="00925F82" w:rsidRPr="00AD6C7D" w:rsidRDefault="00925F82" w:rsidP="00E61F37">
      <w:pPr>
        <w:tabs>
          <w:tab w:val="right" w:pos="850"/>
          <w:tab w:val="left" w:pos="1134"/>
          <w:tab w:val="left" w:pos="1560"/>
          <w:tab w:val="left" w:leader="dot" w:pos="7654"/>
          <w:tab w:val="right" w:pos="8929"/>
          <w:tab w:val="right" w:pos="9638"/>
        </w:tabs>
        <w:spacing w:after="120" w:line="220" w:lineRule="atLeast"/>
        <w:ind w:left="1560" w:hanging="1560"/>
        <w:rPr>
          <w:lang w:val="de-DE"/>
        </w:rPr>
      </w:pPr>
      <w:r w:rsidRPr="00AD6C7D">
        <w:rPr>
          <w:lang w:val="de-DE"/>
        </w:rPr>
        <w:tab/>
      </w:r>
      <w:r w:rsidRPr="00AD6C7D">
        <w:rPr>
          <w:lang w:val="de-DE"/>
        </w:rPr>
        <w:tab/>
      </w:r>
      <w:r w:rsidR="00E61F37" w:rsidRPr="00AD6C7D">
        <w:rPr>
          <w:lang w:val="de-DE"/>
        </w:rPr>
        <w:t>C.</w:t>
      </w:r>
      <w:r w:rsidRPr="00AD6C7D">
        <w:rPr>
          <w:lang w:val="de-DE"/>
        </w:rPr>
        <w:tab/>
      </w:r>
      <w:r w:rsidR="00E61F37" w:rsidRPr="00AD6C7D">
        <w:rPr>
          <w:lang w:val="de-DE"/>
        </w:rPr>
        <w:t>Bericht über die elfte Sitzung der informellen Arbeitsgruppe „Stoffe“</w:t>
      </w:r>
      <w:r w:rsidRPr="00AD6C7D">
        <w:rPr>
          <w:lang w:val="de-DE"/>
        </w:rPr>
        <w:tab/>
      </w:r>
      <w:r w:rsidRPr="00AD6C7D">
        <w:rPr>
          <w:lang w:val="de-DE"/>
        </w:rPr>
        <w:tab/>
        <w:t>68-70</w:t>
      </w:r>
      <w:r w:rsidRPr="00AD6C7D">
        <w:rPr>
          <w:lang w:val="de-DE"/>
        </w:rPr>
        <w:tab/>
        <w:t>15</w:t>
      </w:r>
    </w:p>
    <w:p w14:paraId="509EA275" w14:textId="77A4F7D5" w:rsidR="00925F82" w:rsidRPr="00AD6C7D" w:rsidRDefault="00925F82" w:rsidP="00925F82">
      <w:pPr>
        <w:tabs>
          <w:tab w:val="right" w:pos="850"/>
          <w:tab w:val="left" w:pos="1134"/>
          <w:tab w:val="left" w:pos="1560"/>
          <w:tab w:val="left" w:leader="dot" w:pos="7654"/>
          <w:tab w:val="right" w:pos="8929"/>
          <w:tab w:val="right" w:pos="9638"/>
        </w:tabs>
        <w:spacing w:after="120" w:line="220" w:lineRule="atLeast"/>
        <w:ind w:left="1560" w:hanging="1560"/>
        <w:rPr>
          <w:lang w:val="de-DE"/>
        </w:rPr>
      </w:pPr>
      <w:r w:rsidRPr="00AD6C7D">
        <w:rPr>
          <w:lang w:val="de-DE"/>
        </w:rPr>
        <w:tab/>
        <w:t>VIII.</w:t>
      </w:r>
      <w:r w:rsidRPr="00AD6C7D">
        <w:rPr>
          <w:lang w:val="de-DE"/>
        </w:rPr>
        <w:tab/>
      </w:r>
      <w:r w:rsidR="009D5D3D" w:rsidRPr="00AD6C7D">
        <w:rPr>
          <w:lang w:val="de-DE"/>
        </w:rPr>
        <w:t>Arbeitsprogramm und Sitzungsplan (TOP 6)</w:t>
      </w:r>
      <w:r w:rsidRPr="00AD6C7D">
        <w:rPr>
          <w:lang w:val="de-DE"/>
        </w:rPr>
        <w:tab/>
      </w:r>
      <w:r w:rsidRPr="00AD6C7D">
        <w:rPr>
          <w:lang w:val="de-DE"/>
        </w:rPr>
        <w:tab/>
        <w:t>71</w:t>
      </w:r>
      <w:r w:rsidRPr="00AD6C7D">
        <w:rPr>
          <w:lang w:val="de-DE"/>
        </w:rPr>
        <w:tab/>
        <w:t>1</w:t>
      </w:r>
      <w:r w:rsidR="00660988">
        <w:rPr>
          <w:lang w:val="de-DE"/>
        </w:rPr>
        <w:t>6</w:t>
      </w:r>
    </w:p>
    <w:p w14:paraId="70CB32D3" w14:textId="6DF50DFA" w:rsidR="00925F82" w:rsidRPr="00AD6C7D" w:rsidRDefault="00925F82" w:rsidP="00925F82">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t>IX.</w:t>
      </w:r>
      <w:r w:rsidRPr="00AD6C7D">
        <w:rPr>
          <w:lang w:val="de-DE"/>
        </w:rPr>
        <w:tab/>
      </w:r>
      <w:r w:rsidR="009935D9" w:rsidRPr="00AD6C7D">
        <w:rPr>
          <w:lang w:val="de-DE"/>
        </w:rPr>
        <w:t>Verschiedenes (TOP 7)</w:t>
      </w:r>
      <w:r w:rsidRPr="00AD6C7D">
        <w:rPr>
          <w:lang w:val="de-DE"/>
        </w:rPr>
        <w:tab/>
      </w:r>
      <w:r w:rsidRPr="00AD6C7D">
        <w:rPr>
          <w:lang w:val="de-DE"/>
        </w:rPr>
        <w:tab/>
        <w:t>72</w:t>
      </w:r>
      <w:r w:rsidRPr="00AD6C7D">
        <w:rPr>
          <w:lang w:val="de-DE"/>
        </w:rPr>
        <w:tab/>
        <w:t>16</w:t>
      </w:r>
    </w:p>
    <w:p w14:paraId="3E69BE11" w14:textId="1CDFE2F7" w:rsidR="00925F82" w:rsidRPr="00AD6C7D" w:rsidRDefault="00925F82" w:rsidP="00925F82">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t>X.</w:t>
      </w:r>
      <w:r w:rsidRPr="00AD6C7D">
        <w:rPr>
          <w:lang w:val="de-DE"/>
        </w:rPr>
        <w:tab/>
      </w:r>
      <w:r w:rsidR="00B325FA" w:rsidRPr="00AD6C7D">
        <w:rPr>
          <w:lang w:val="de-DE"/>
        </w:rPr>
        <w:t>Genehmigung des Sitzungsprotokolls (TOP 8)</w:t>
      </w:r>
      <w:r w:rsidRPr="00AD6C7D">
        <w:rPr>
          <w:lang w:val="de-DE"/>
        </w:rPr>
        <w:tab/>
      </w:r>
      <w:r w:rsidRPr="00AD6C7D">
        <w:rPr>
          <w:lang w:val="de-DE"/>
        </w:rPr>
        <w:tab/>
        <w:t>73</w:t>
      </w:r>
      <w:r w:rsidRPr="00AD6C7D">
        <w:rPr>
          <w:lang w:val="de-DE"/>
        </w:rPr>
        <w:tab/>
        <w:t>16</w:t>
      </w:r>
    </w:p>
    <w:p w14:paraId="444D0A96" w14:textId="77777777" w:rsidR="006903EF" w:rsidRPr="00AD6C7D" w:rsidRDefault="006903EF" w:rsidP="00925F82">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p>
    <w:p w14:paraId="116D16BE" w14:textId="60F88F98" w:rsidR="006903EF" w:rsidRPr="00AD6C7D" w:rsidRDefault="006903EF" w:rsidP="006903EF">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D6C7D">
        <w:rPr>
          <w:lang w:val="de-DE"/>
        </w:rPr>
        <w:tab/>
        <w:t>Anlagen</w:t>
      </w:r>
    </w:p>
    <w:p w14:paraId="210E2DE0" w14:textId="2E6211B0" w:rsidR="006903EF" w:rsidRPr="00AD6C7D" w:rsidRDefault="006903EF" w:rsidP="006903EF">
      <w:pPr>
        <w:keepNext/>
        <w:keepLines/>
        <w:tabs>
          <w:tab w:val="right" w:pos="850"/>
          <w:tab w:val="left" w:pos="1134"/>
          <w:tab w:val="left" w:pos="1559"/>
          <w:tab w:val="left" w:pos="1984"/>
          <w:tab w:val="left" w:leader="dot" w:pos="8900"/>
          <w:tab w:val="right" w:pos="9638"/>
        </w:tabs>
        <w:spacing w:after="120"/>
        <w:ind w:left="1134" w:hanging="1134"/>
        <w:rPr>
          <w:lang w:val="de-DE"/>
        </w:rPr>
      </w:pPr>
      <w:r w:rsidRPr="00AD6C7D">
        <w:rPr>
          <w:lang w:val="de-DE"/>
        </w:rPr>
        <w:tab/>
      </w:r>
      <w:bookmarkStart w:id="5" w:name="_Hlk3803174"/>
      <w:r w:rsidRPr="00AD6C7D">
        <w:rPr>
          <w:lang w:val="de-DE"/>
        </w:rPr>
        <w:t>I.</w:t>
      </w:r>
      <w:r w:rsidRPr="00AD6C7D">
        <w:rPr>
          <w:lang w:val="de-DE"/>
        </w:rPr>
        <w:tab/>
        <w:t>Änderungsvorschläge zu der dem ADN beigefügten Verordnung, die am 1. Januar 2021</w:t>
      </w:r>
      <w:r w:rsidRPr="00AD6C7D">
        <w:rPr>
          <w:lang w:val="de-DE"/>
        </w:rPr>
        <w:br/>
        <w:t>in Kraft treten sollen</w:t>
      </w:r>
      <w:r w:rsidRPr="00AD6C7D">
        <w:rPr>
          <w:lang w:val="de-DE"/>
        </w:rPr>
        <w:tab/>
      </w:r>
      <w:r w:rsidRPr="00AD6C7D">
        <w:rPr>
          <w:lang w:val="de-DE"/>
        </w:rPr>
        <w:tab/>
        <w:t>17</w:t>
      </w:r>
    </w:p>
    <w:p w14:paraId="38029C5A" w14:textId="5E3AB1DD" w:rsidR="006903EF" w:rsidRPr="00AD6C7D" w:rsidRDefault="006903EF" w:rsidP="006903EF">
      <w:pPr>
        <w:keepNext/>
        <w:keepLines/>
        <w:tabs>
          <w:tab w:val="right" w:pos="850"/>
          <w:tab w:val="left" w:pos="1134"/>
          <w:tab w:val="left" w:pos="1559"/>
          <w:tab w:val="left" w:pos="1984"/>
          <w:tab w:val="left" w:leader="dot" w:pos="8900"/>
          <w:tab w:val="right" w:pos="9638"/>
        </w:tabs>
        <w:spacing w:after="120"/>
        <w:ind w:left="1134" w:hanging="1134"/>
        <w:rPr>
          <w:lang w:val="de-DE"/>
        </w:rPr>
      </w:pPr>
      <w:r w:rsidRPr="00AD6C7D">
        <w:rPr>
          <w:lang w:val="de-DE"/>
        </w:rPr>
        <w:tab/>
        <w:t>II.</w:t>
      </w:r>
      <w:r w:rsidRPr="00AD6C7D">
        <w:rPr>
          <w:lang w:val="de-DE"/>
        </w:rPr>
        <w:tab/>
      </w:r>
      <w:r w:rsidRPr="00AD6C7D">
        <w:rPr>
          <w:bCs/>
          <w:lang w:val="de-DE"/>
        </w:rPr>
        <w:t>Berichtigungen am Dokument ECE/TRANS/276 (ADN-Ausgabe 2019)</w:t>
      </w:r>
      <w:r w:rsidRPr="00AD6C7D">
        <w:rPr>
          <w:bCs/>
          <w:lang w:val="de-DE"/>
        </w:rPr>
        <w:br/>
        <w:t>(bedürfen nicht der Zustimmung der Vertragsparteien)</w:t>
      </w:r>
      <w:r w:rsidRPr="00AD6C7D">
        <w:rPr>
          <w:lang w:val="de-DE"/>
        </w:rPr>
        <w:tab/>
      </w:r>
      <w:r w:rsidRPr="00AD6C7D">
        <w:rPr>
          <w:lang w:val="de-DE"/>
        </w:rPr>
        <w:tab/>
        <w:t>25</w:t>
      </w:r>
    </w:p>
    <w:p w14:paraId="57350874" w14:textId="30F72487" w:rsidR="006903EF" w:rsidRPr="00AD6C7D" w:rsidRDefault="006903EF" w:rsidP="006903EF">
      <w:pPr>
        <w:keepNext/>
        <w:keepLines/>
        <w:tabs>
          <w:tab w:val="right" w:pos="850"/>
          <w:tab w:val="left" w:pos="1134"/>
          <w:tab w:val="left" w:pos="1559"/>
          <w:tab w:val="left" w:pos="1984"/>
          <w:tab w:val="left" w:leader="dot" w:pos="8900"/>
          <w:tab w:val="right" w:pos="9638"/>
        </w:tabs>
        <w:spacing w:after="120"/>
        <w:ind w:left="1134" w:hanging="1134"/>
        <w:rPr>
          <w:lang w:val="de-DE"/>
        </w:rPr>
      </w:pPr>
      <w:r w:rsidRPr="00AD6C7D">
        <w:rPr>
          <w:lang w:val="de-DE"/>
        </w:rPr>
        <w:tab/>
        <w:t>III.</w:t>
      </w:r>
      <w:r w:rsidRPr="00AD6C7D">
        <w:rPr>
          <w:lang w:val="de-DE"/>
        </w:rPr>
        <w:tab/>
        <w:t>Berichtigungsvorschläge zu der dem ADN beigefügten Verordnung</w:t>
      </w:r>
      <w:r w:rsidRPr="00AD6C7D">
        <w:rPr>
          <w:lang w:val="de-DE"/>
        </w:rPr>
        <w:br/>
        <w:t>(bedürfen der Zustimmung der Vertragsparteien)</w:t>
      </w:r>
      <w:bookmarkEnd w:id="5"/>
      <w:r w:rsidRPr="00AD6C7D">
        <w:rPr>
          <w:lang w:val="de-DE"/>
        </w:rPr>
        <w:tab/>
      </w:r>
      <w:r w:rsidRPr="00AD6C7D">
        <w:rPr>
          <w:lang w:val="de-DE"/>
        </w:rPr>
        <w:tab/>
        <w:t>26</w:t>
      </w:r>
    </w:p>
    <w:p w14:paraId="2B883516" w14:textId="77777777" w:rsidR="006903EF" w:rsidRPr="00AD6C7D" w:rsidRDefault="006903EF" w:rsidP="00925F82">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p>
    <w:p w14:paraId="1E4DC460" w14:textId="45871074" w:rsidR="00925F82" w:rsidRPr="00AD6C7D" w:rsidRDefault="00925F82" w:rsidP="00925F82">
      <w:pPr>
        <w:pStyle w:val="HChG"/>
        <w:rPr>
          <w:lang w:val="de-DE"/>
        </w:rPr>
      </w:pPr>
      <w:r w:rsidRPr="00AD6C7D">
        <w:rPr>
          <w:lang w:val="de-DE"/>
        </w:rPr>
        <w:br w:type="page"/>
      </w:r>
      <w:r w:rsidRPr="00AD6C7D">
        <w:rPr>
          <w:lang w:val="de-DE"/>
        </w:rPr>
        <w:lastRenderedPageBreak/>
        <w:tab/>
        <w:t>I.</w:t>
      </w:r>
      <w:r w:rsidRPr="00AD6C7D">
        <w:rPr>
          <w:lang w:val="de-DE"/>
        </w:rPr>
        <w:tab/>
      </w:r>
      <w:r w:rsidR="00602F75" w:rsidRPr="00AD6C7D">
        <w:rPr>
          <w:lang w:val="de-DE"/>
        </w:rPr>
        <w:t>Teilnehmer</w:t>
      </w:r>
    </w:p>
    <w:p w14:paraId="19848AF6" w14:textId="5D89551D" w:rsidR="00602F75" w:rsidRPr="00AD6C7D" w:rsidRDefault="00602F75" w:rsidP="00602F75">
      <w:pPr>
        <w:spacing w:after="120"/>
        <w:ind w:left="1134" w:right="1134"/>
        <w:jc w:val="both"/>
        <w:rPr>
          <w:lang w:val="de-DE"/>
        </w:rPr>
      </w:pPr>
      <w:bookmarkStart w:id="6" w:name="_Hlk18340908"/>
      <w:r w:rsidRPr="00AD6C7D">
        <w:rPr>
          <w:lang w:val="de-DE"/>
        </w:rPr>
        <w:t>1.</w:t>
      </w:r>
      <w:r w:rsidRPr="00AD6C7D">
        <w:rPr>
          <w:lang w:val="de-DE"/>
        </w:rPr>
        <w:tab/>
        <w:t xml:space="preserve">Die Gemeinsame Expertentagung für die dem Europäischen Übereinkommen über die internationale Beförderung von gefährlichen Gütern auf Binnenwasserstraßen (ADN) beigefügte Verordnung (ADN-Sicherheitsausschuss) hielt vom </w:t>
      </w:r>
      <w:r w:rsidR="009654F5" w:rsidRPr="00AD6C7D">
        <w:rPr>
          <w:lang w:val="de-DE"/>
        </w:rPr>
        <w:t>26</w:t>
      </w:r>
      <w:r w:rsidRPr="00AD6C7D">
        <w:rPr>
          <w:lang w:val="de-DE"/>
        </w:rPr>
        <w:t xml:space="preserve">. bis </w:t>
      </w:r>
      <w:r w:rsidR="009654F5" w:rsidRPr="00AD6C7D">
        <w:rPr>
          <w:lang w:val="de-DE"/>
        </w:rPr>
        <w:t>30</w:t>
      </w:r>
      <w:r w:rsidRPr="00AD6C7D">
        <w:rPr>
          <w:lang w:val="de-DE"/>
        </w:rPr>
        <w:t xml:space="preserve">. </w:t>
      </w:r>
      <w:r w:rsidR="009654F5" w:rsidRPr="00AD6C7D">
        <w:rPr>
          <w:lang w:val="de-DE"/>
        </w:rPr>
        <w:t>August</w:t>
      </w:r>
      <w:r w:rsidRPr="00AD6C7D">
        <w:rPr>
          <w:lang w:val="de-DE"/>
        </w:rPr>
        <w:t xml:space="preserve"> 2019 in Genf</w:t>
      </w:r>
      <w:r w:rsidR="003C3FED" w:rsidRPr="00AD6C7D">
        <w:rPr>
          <w:lang w:val="de-DE"/>
        </w:rPr>
        <w:t xml:space="preserve"> </w:t>
      </w:r>
      <w:r w:rsidRPr="00AD6C7D">
        <w:rPr>
          <w:lang w:val="de-DE"/>
        </w:rPr>
        <w:t xml:space="preserve">ihre </w:t>
      </w:r>
      <w:r w:rsidR="009654F5" w:rsidRPr="00AD6C7D">
        <w:rPr>
          <w:lang w:val="de-DE"/>
        </w:rPr>
        <w:t>fünf</w:t>
      </w:r>
      <w:r w:rsidRPr="00AD6C7D">
        <w:rPr>
          <w:lang w:val="de-DE"/>
        </w:rPr>
        <w:t>unddreißigste Sitzung ab.</w:t>
      </w:r>
      <w:r w:rsidR="00D54B38" w:rsidRPr="00AD6C7D">
        <w:rPr>
          <w:lang w:val="de-DE"/>
        </w:rPr>
        <w:t xml:space="preserve"> Den Vorsitz führte Herr H. Langenberg (Niederlande) und den stellvertretenden Vorsitz Herr B. Birklhuber (Österreich).</w:t>
      </w:r>
    </w:p>
    <w:p w14:paraId="0CD3D17E" w14:textId="7B77E5EC" w:rsidR="00602F75" w:rsidRPr="00AD6C7D" w:rsidRDefault="00602F75" w:rsidP="00602F75">
      <w:pPr>
        <w:spacing w:after="120"/>
        <w:ind w:left="1134" w:right="1134"/>
        <w:jc w:val="both"/>
        <w:rPr>
          <w:lang w:val="de-DE"/>
        </w:rPr>
      </w:pPr>
      <w:r w:rsidRPr="00AD6C7D">
        <w:rPr>
          <w:lang w:val="de-DE"/>
        </w:rPr>
        <w:t>2.</w:t>
      </w:r>
      <w:r w:rsidRPr="00AD6C7D">
        <w:rPr>
          <w:lang w:val="de-DE"/>
        </w:rPr>
        <w:tab/>
        <w:t xml:space="preserve">An den Arbeiten dieser Sitzung beteiligten sich Vertreter der folgenden Länder: Belgien, Bulgarien, Deutschland, Frankreich, Luxemburg, Niederlande, Österreich, Rumänien, Russische Föderation, Schweiz, Slowakei und Tschechische Republik. </w:t>
      </w:r>
    </w:p>
    <w:p w14:paraId="3518853F" w14:textId="77777777" w:rsidR="00602F75" w:rsidRPr="00AD6C7D" w:rsidRDefault="00602F75" w:rsidP="00602F75">
      <w:pPr>
        <w:spacing w:after="120"/>
        <w:ind w:left="1134" w:right="1134"/>
        <w:jc w:val="both"/>
        <w:rPr>
          <w:lang w:val="de-DE"/>
        </w:rPr>
      </w:pPr>
      <w:r w:rsidRPr="00AD6C7D">
        <w:rPr>
          <w:lang w:val="de-DE"/>
        </w:rPr>
        <w:t>3.</w:t>
      </w:r>
      <w:r w:rsidRPr="00AD6C7D">
        <w:rPr>
          <w:lang w:val="de-DE"/>
        </w:rPr>
        <w:tab/>
        <w:t xml:space="preserve">Folgende zwischenstaatliche Organisationen waren vertreten: Zentralkommission für die Rheinschifffahrt (ZKR), Donaukommission und Europäische Union. </w:t>
      </w:r>
    </w:p>
    <w:p w14:paraId="08BC9DC1" w14:textId="77777777" w:rsidR="00602F75" w:rsidRPr="00AD6C7D" w:rsidRDefault="00602F75" w:rsidP="00602F75">
      <w:pPr>
        <w:spacing w:after="120"/>
        <w:ind w:left="1134" w:right="1134"/>
        <w:jc w:val="both"/>
        <w:rPr>
          <w:lang w:val="de-DE"/>
        </w:rPr>
      </w:pPr>
      <w:r w:rsidRPr="00AD6C7D">
        <w:rPr>
          <w:lang w:val="de-DE"/>
        </w:rPr>
        <w:t>4.</w:t>
      </w:r>
      <w:r w:rsidRPr="00AD6C7D">
        <w:rPr>
          <w:lang w:val="de-DE"/>
        </w:rPr>
        <w:tab/>
        <w:t xml:space="preserve">Ebenfalls vertreten waren folgende nichtstaatliche Organisationen: Europäische Binnenschifffahrts-Union (EBU), European </w:t>
      </w:r>
      <w:proofErr w:type="spellStart"/>
      <w:r w:rsidRPr="00AD6C7D">
        <w:rPr>
          <w:lang w:val="de-DE"/>
        </w:rPr>
        <w:t>Bulk</w:t>
      </w:r>
      <w:proofErr w:type="spellEnd"/>
      <w:r w:rsidRPr="00AD6C7D">
        <w:rPr>
          <w:lang w:val="de-DE"/>
        </w:rPr>
        <w:t xml:space="preserve"> Oil Traders’ </w:t>
      </w:r>
      <w:proofErr w:type="spellStart"/>
      <w:r w:rsidRPr="00AD6C7D">
        <w:rPr>
          <w:lang w:val="de-DE"/>
        </w:rPr>
        <w:t>Association</w:t>
      </w:r>
      <w:proofErr w:type="spellEnd"/>
      <w:r w:rsidRPr="00AD6C7D">
        <w:rPr>
          <w:lang w:val="de-DE"/>
        </w:rPr>
        <w:t xml:space="preserve"> (EBOTA), Europäischer Rat der Chemischen Industrieverbände (CEFIC), Europäische Schifferorganisation (ESO), Verband europäischer Tanklager (FETSA), </w:t>
      </w:r>
      <w:proofErr w:type="spellStart"/>
      <w:r w:rsidRPr="00AD6C7D">
        <w:rPr>
          <w:lang w:val="de-DE"/>
        </w:rPr>
        <w:t>FuelsEurope</w:t>
      </w:r>
      <w:proofErr w:type="spellEnd"/>
      <w:r w:rsidRPr="00AD6C7D">
        <w:rPr>
          <w:lang w:val="de-DE"/>
        </w:rPr>
        <w:t>, Internationaler Ausschuss für die Verhütung von Arbeitsunfällen in der Binnenschifffahrt (CIPA) und Empfohlene ADN-Klassifikationsgesellschaften.</w:t>
      </w:r>
      <w:r w:rsidRPr="00AD6C7D" w:rsidDel="001177E8">
        <w:rPr>
          <w:lang w:val="de-DE"/>
        </w:rPr>
        <w:t xml:space="preserve"> </w:t>
      </w:r>
    </w:p>
    <w:p w14:paraId="62735A56" w14:textId="285BCCFD" w:rsidR="00925F82" w:rsidRPr="00AD6C7D" w:rsidRDefault="00925F82" w:rsidP="00DD00CF">
      <w:pPr>
        <w:pStyle w:val="HChG"/>
        <w:spacing w:before="240"/>
        <w:rPr>
          <w:lang w:val="de-DE"/>
        </w:rPr>
      </w:pPr>
      <w:r w:rsidRPr="00AD6C7D">
        <w:rPr>
          <w:lang w:val="de-DE"/>
        </w:rPr>
        <w:tab/>
        <w:t>II.</w:t>
      </w:r>
      <w:r w:rsidRPr="00AD6C7D">
        <w:rPr>
          <w:lang w:val="de-DE"/>
        </w:rPr>
        <w:tab/>
      </w:r>
      <w:r w:rsidR="00DD00CF" w:rsidRPr="00AD6C7D">
        <w:rPr>
          <w:lang w:val="de-DE"/>
        </w:rPr>
        <w:t>Eröffnung der Sitzung</w:t>
      </w:r>
    </w:p>
    <w:p w14:paraId="7E5D7FB6" w14:textId="30DC0655" w:rsidR="00925F82" w:rsidRPr="00AD6C7D" w:rsidRDefault="00925F82" w:rsidP="00DD00CF">
      <w:pPr>
        <w:pStyle w:val="H1G"/>
        <w:spacing w:before="240"/>
        <w:rPr>
          <w:lang w:val="de-DE"/>
        </w:rPr>
      </w:pPr>
      <w:r w:rsidRPr="00AD6C7D">
        <w:rPr>
          <w:lang w:val="de-DE"/>
        </w:rPr>
        <w:tab/>
      </w:r>
      <w:r w:rsidRPr="00AD6C7D">
        <w:rPr>
          <w:lang w:val="de-DE"/>
        </w:rPr>
        <w:tab/>
      </w:r>
      <w:r w:rsidR="00DD00CF" w:rsidRPr="00AD6C7D">
        <w:rPr>
          <w:lang w:val="de-DE"/>
        </w:rPr>
        <w:t>Änderungen im Sekretariat</w:t>
      </w:r>
    </w:p>
    <w:p w14:paraId="63F96D97" w14:textId="74D36C7F" w:rsidR="00925F82" w:rsidRPr="00AD6C7D" w:rsidRDefault="00925F82" w:rsidP="00641475">
      <w:pPr>
        <w:pStyle w:val="SingleTxtG"/>
        <w:rPr>
          <w:lang w:val="de-DE"/>
        </w:rPr>
      </w:pPr>
      <w:r w:rsidRPr="00AD6C7D">
        <w:rPr>
          <w:lang w:val="de-DE"/>
        </w:rPr>
        <w:t>5.</w:t>
      </w:r>
      <w:r w:rsidRPr="00AD6C7D">
        <w:rPr>
          <w:lang w:val="de-DE"/>
        </w:rPr>
        <w:tab/>
      </w:r>
      <w:r w:rsidR="00DD00CF" w:rsidRPr="00AD6C7D">
        <w:rPr>
          <w:lang w:val="de-DE"/>
        </w:rPr>
        <w:t xml:space="preserve">Im Namen des Direktors der Abteilung Nachhaltiger Verkehr teilte Herr </w:t>
      </w:r>
      <w:proofErr w:type="spellStart"/>
      <w:r w:rsidR="00DD00CF" w:rsidRPr="00AD6C7D">
        <w:rPr>
          <w:lang w:val="de-DE"/>
        </w:rPr>
        <w:t>Alexopoulos</w:t>
      </w:r>
      <w:proofErr w:type="spellEnd"/>
      <w:r w:rsidR="00DD00CF" w:rsidRPr="00AD6C7D">
        <w:rPr>
          <w:lang w:val="de-DE"/>
        </w:rPr>
        <w:t xml:space="preserve"> dem Sicherheitsausschuss mit, dass Herr Romain Hubert mit Wirkung zum 1. Juni 2019 zum Leiter der Sektion Sicherheitsmanagement im Straßenverkehr und Gefahrgut ernannt wurde.</w:t>
      </w:r>
      <w:r w:rsidRPr="00AD6C7D">
        <w:rPr>
          <w:lang w:val="de-DE"/>
        </w:rPr>
        <w:t xml:space="preserve"> </w:t>
      </w:r>
      <w:r w:rsidR="00DD00CF" w:rsidRPr="00AD6C7D">
        <w:rPr>
          <w:lang w:val="de-DE"/>
        </w:rPr>
        <w:t>Er dankte dem Gefahrgutteam für die hervorragende Arbeit</w:t>
      </w:r>
      <w:r w:rsidR="00641475" w:rsidRPr="00AD6C7D">
        <w:rPr>
          <w:lang w:val="de-DE"/>
        </w:rPr>
        <w:t>, die es</w:t>
      </w:r>
      <w:r w:rsidR="00DD00CF" w:rsidRPr="00AD6C7D">
        <w:rPr>
          <w:lang w:val="de-DE"/>
        </w:rPr>
        <w:t xml:space="preserve"> in der Zeit zwischen dem Ausscheiden von Herrn </w:t>
      </w:r>
      <w:proofErr w:type="spellStart"/>
      <w:r w:rsidR="00DD00CF" w:rsidRPr="00AD6C7D">
        <w:rPr>
          <w:lang w:val="de-DE"/>
        </w:rPr>
        <w:t>Kervella</w:t>
      </w:r>
      <w:proofErr w:type="spellEnd"/>
      <w:r w:rsidR="00DD00CF" w:rsidRPr="00AD6C7D">
        <w:rPr>
          <w:lang w:val="de-DE"/>
        </w:rPr>
        <w:t xml:space="preserve"> und der Einstellung von Herrn Hubert</w:t>
      </w:r>
      <w:r w:rsidR="00FC65AC" w:rsidRPr="00AD6C7D">
        <w:rPr>
          <w:lang w:val="de-DE"/>
        </w:rPr>
        <w:t xml:space="preserve"> </w:t>
      </w:r>
      <w:r w:rsidR="00641475" w:rsidRPr="00AD6C7D">
        <w:rPr>
          <w:lang w:val="de-DE"/>
        </w:rPr>
        <w:t>geleistet hat, um</w:t>
      </w:r>
      <w:r w:rsidR="00DD00CF" w:rsidRPr="00AD6C7D">
        <w:rPr>
          <w:lang w:val="de-DE"/>
        </w:rPr>
        <w:t xml:space="preserve"> eine Beeinträchtigung der Arbeiten</w:t>
      </w:r>
      <w:r w:rsidR="00641475" w:rsidRPr="00AD6C7D">
        <w:rPr>
          <w:lang w:val="de-DE"/>
        </w:rPr>
        <w:t xml:space="preserve"> zu vermeiden.</w:t>
      </w:r>
      <w:r w:rsidRPr="00AD6C7D">
        <w:rPr>
          <w:lang w:val="de-DE"/>
        </w:rPr>
        <w:t xml:space="preserve"> </w:t>
      </w:r>
      <w:r w:rsidR="00FC65AC" w:rsidRPr="00AD6C7D">
        <w:rPr>
          <w:lang w:val="de-DE"/>
        </w:rPr>
        <w:t xml:space="preserve">Der Sicherheitsausschuss hieß Herrn Hubert willkommen und schloss sich Herrn </w:t>
      </w:r>
      <w:proofErr w:type="spellStart"/>
      <w:r w:rsidR="00FC65AC" w:rsidRPr="00AD6C7D">
        <w:rPr>
          <w:lang w:val="de-DE"/>
        </w:rPr>
        <w:t>Alexopoulos</w:t>
      </w:r>
      <w:proofErr w:type="spellEnd"/>
      <w:r w:rsidR="00FC65AC" w:rsidRPr="00AD6C7D">
        <w:rPr>
          <w:lang w:val="de-DE"/>
        </w:rPr>
        <w:t xml:space="preserve"> in seiner Würdigung der hervorragenden Leistung des Gefahrgutteams </w:t>
      </w:r>
      <w:r w:rsidR="0091514A" w:rsidRPr="00AD6C7D">
        <w:rPr>
          <w:lang w:val="de-DE"/>
        </w:rPr>
        <w:t xml:space="preserve">während dieser Zeit </w:t>
      </w:r>
      <w:r w:rsidR="00C47095" w:rsidRPr="00AD6C7D">
        <w:rPr>
          <w:lang w:val="de-DE"/>
        </w:rPr>
        <w:t xml:space="preserve">und insbesondere </w:t>
      </w:r>
      <w:r w:rsidR="0091514A" w:rsidRPr="00AD6C7D">
        <w:rPr>
          <w:lang w:val="de-DE"/>
        </w:rPr>
        <w:t xml:space="preserve">von </w:t>
      </w:r>
      <w:r w:rsidR="00C47095" w:rsidRPr="00AD6C7D">
        <w:rPr>
          <w:lang w:val="de-DE"/>
        </w:rPr>
        <w:t xml:space="preserve">Frau Garcia Couto </w:t>
      </w:r>
      <w:r w:rsidR="007972E6" w:rsidRPr="00AD6C7D">
        <w:rPr>
          <w:lang w:val="de-DE"/>
        </w:rPr>
        <w:t>in ihrer Rolle</w:t>
      </w:r>
      <w:r w:rsidR="0091514A" w:rsidRPr="00AD6C7D">
        <w:rPr>
          <w:lang w:val="de-DE"/>
        </w:rPr>
        <w:t xml:space="preserve"> </w:t>
      </w:r>
      <w:r w:rsidR="00C47095" w:rsidRPr="00AD6C7D">
        <w:rPr>
          <w:lang w:val="de-DE"/>
        </w:rPr>
        <w:t>als Sekretärin des Sicherheitsausschusses und stellvertretende Leiterin der Abteilung an.</w:t>
      </w:r>
    </w:p>
    <w:bookmarkEnd w:id="6"/>
    <w:p w14:paraId="72EE1916" w14:textId="0E0B4190" w:rsidR="00925F82" w:rsidRPr="00AD6C7D" w:rsidRDefault="00925F82" w:rsidP="00925F82">
      <w:pPr>
        <w:pStyle w:val="HChG"/>
        <w:rPr>
          <w:lang w:val="de-DE"/>
        </w:rPr>
      </w:pPr>
      <w:r w:rsidRPr="00AD6C7D">
        <w:rPr>
          <w:lang w:val="de-DE"/>
        </w:rPr>
        <w:tab/>
        <w:t>III.</w:t>
      </w:r>
      <w:r w:rsidRPr="00AD6C7D">
        <w:rPr>
          <w:lang w:val="de-DE"/>
        </w:rPr>
        <w:tab/>
      </w:r>
      <w:bookmarkStart w:id="7" w:name="_Hlk20404631"/>
      <w:r w:rsidR="003C3FED" w:rsidRPr="00AD6C7D">
        <w:rPr>
          <w:lang w:val="de-DE"/>
        </w:rPr>
        <w:t>Genehmigung der Tagesordnung (TOP 1)</w:t>
      </w:r>
      <w:bookmarkEnd w:id="7"/>
    </w:p>
    <w:p w14:paraId="33455C07" w14:textId="28064905" w:rsidR="00925F82" w:rsidRPr="00AD6C7D" w:rsidRDefault="00925F82" w:rsidP="00925F82">
      <w:pPr>
        <w:pStyle w:val="SingleTxtG"/>
        <w:tabs>
          <w:tab w:val="left" w:pos="2835"/>
        </w:tabs>
        <w:rPr>
          <w:lang w:val="de-DE"/>
        </w:rPr>
      </w:pPr>
      <w:r w:rsidRPr="00AD6C7D">
        <w:rPr>
          <w:rFonts w:eastAsia="Times New Roman"/>
          <w:i/>
          <w:lang w:val="de-DE" w:eastAsia="en-US"/>
        </w:rPr>
        <w:t>Do</w:t>
      </w:r>
      <w:r w:rsidR="007225E9" w:rsidRPr="00AD6C7D">
        <w:rPr>
          <w:rFonts w:eastAsia="Times New Roman"/>
          <w:i/>
          <w:lang w:val="de-DE" w:eastAsia="en-US"/>
        </w:rPr>
        <w:t>k</w:t>
      </w:r>
      <w:r w:rsidRPr="00AD6C7D">
        <w:rPr>
          <w:rFonts w:eastAsia="Times New Roman"/>
          <w:i/>
          <w:lang w:val="de-DE" w:eastAsia="en-US"/>
        </w:rPr>
        <w:t>ument</w:t>
      </w:r>
      <w:r w:rsidR="007225E9" w:rsidRPr="00AD6C7D">
        <w:rPr>
          <w:rFonts w:eastAsia="Times New Roman"/>
          <w:i/>
          <w:lang w:val="de-DE" w:eastAsia="en-US"/>
        </w:rPr>
        <w:t>e</w:t>
      </w:r>
      <w:r w:rsidRPr="00AD6C7D">
        <w:rPr>
          <w:i/>
          <w:lang w:val="de-DE"/>
        </w:rPr>
        <w:t>:</w:t>
      </w:r>
      <w:r w:rsidRPr="00AD6C7D">
        <w:rPr>
          <w:lang w:val="de-DE"/>
        </w:rPr>
        <w:tab/>
        <w:t xml:space="preserve">ECE/TRANS/WP.15/AC.2/71 </w:t>
      </w:r>
      <w:r w:rsidR="007225E9" w:rsidRPr="00AD6C7D">
        <w:rPr>
          <w:lang w:val="de-DE"/>
        </w:rPr>
        <w:t>und</w:t>
      </w:r>
      <w:r w:rsidRPr="00AD6C7D">
        <w:rPr>
          <w:lang w:val="de-DE"/>
        </w:rPr>
        <w:t xml:space="preserve"> Add.1</w:t>
      </w:r>
    </w:p>
    <w:p w14:paraId="06E835EA" w14:textId="7AE8ECFA" w:rsidR="00925F82" w:rsidRPr="00AD6C7D" w:rsidRDefault="007540AC" w:rsidP="00925F82">
      <w:pPr>
        <w:pStyle w:val="SingleTxtG"/>
        <w:rPr>
          <w:lang w:val="de-DE"/>
        </w:rPr>
      </w:pPr>
      <w:r w:rsidRPr="00AD6C7D">
        <w:rPr>
          <w:rFonts w:eastAsia="Times New Roman"/>
          <w:i/>
          <w:lang w:val="de-DE" w:eastAsia="en-US"/>
        </w:rPr>
        <w:t>Informelles Dokument</w:t>
      </w:r>
      <w:r w:rsidR="00925F82" w:rsidRPr="00AD6C7D">
        <w:rPr>
          <w:i/>
          <w:lang w:val="de-DE"/>
        </w:rPr>
        <w:t>:</w:t>
      </w:r>
      <w:r w:rsidR="00925F82" w:rsidRPr="00AD6C7D">
        <w:rPr>
          <w:lang w:val="de-DE"/>
        </w:rPr>
        <w:tab/>
        <w:t>INF.1 (Se</w:t>
      </w:r>
      <w:r w:rsidR="007225E9" w:rsidRPr="00AD6C7D">
        <w:rPr>
          <w:lang w:val="de-DE"/>
        </w:rPr>
        <w:t>k</w:t>
      </w:r>
      <w:r w:rsidR="00925F82" w:rsidRPr="00AD6C7D">
        <w:rPr>
          <w:lang w:val="de-DE"/>
        </w:rPr>
        <w:t>retariat)</w:t>
      </w:r>
    </w:p>
    <w:p w14:paraId="3BFD9BAD" w14:textId="01EB1237" w:rsidR="003C3FED" w:rsidRPr="00AD6C7D" w:rsidRDefault="00925F82" w:rsidP="00925F82">
      <w:pPr>
        <w:pStyle w:val="SingleTxtG"/>
        <w:rPr>
          <w:lang w:val="de-DE"/>
        </w:rPr>
      </w:pPr>
      <w:r w:rsidRPr="00AD6C7D">
        <w:rPr>
          <w:lang w:val="de-DE"/>
        </w:rPr>
        <w:t>6.</w:t>
      </w:r>
      <w:r w:rsidRPr="00AD6C7D">
        <w:rPr>
          <w:lang w:val="de-DE"/>
        </w:rPr>
        <w:tab/>
      </w:r>
      <w:r w:rsidR="003C3FED" w:rsidRPr="00AD6C7D">
        <w:rPr>
          <w:lang w:val="de-DE"/>
        </w:rPr>
        <w:t>Der Sicherheitsausschuss genehmigte die vom Sekretariat vorbereitete Tagesordnung in der durch das informelle Dokument INF.1 zur Berücksichtigung der informellen Dokumente INF.2 bis INF.37 geänderten Fassung.</w:t>
      </w:r>
    </w:p>
    <w:p w14:paraId="77A8675D" w14:textId="7D12EA89" w:rsidR="00925F82" w:rsidRPr="00AD6C7D" w:rsidRDefault="00925F82" w:rsidP="00925F82">
      <w:pPr>
        <w:pStyle w:val="HChG"/>
        <w:rPr>
          <w:lang w:val="de-DE"/>
        </w:rPr>
      </w:pPr>
      <w:r w:rsidRPr="00AD6C7D">
        <w:rPr>
          <w:lang w:val="de-DE"/>
        </w:rPr>
        <w:tab/>
        <w:t>IV.</w:t>
      </w:r>
      <w:r w:rsidRPr="00AD6C7D">
        <w:rPr>
          <w:lang w:val="de-DE"/>
        </w:rPr>
        <w:tab/>
      </w:r>
      <w:bookmarkStart w:id="8" w:name="_Hlk20404745"/>
      <w:r w:rsidR="00010711" w:rsidRPr="00AD6C7D">
        <w:rPr>
          <w:lang w:val="de-DE"/>
        </w:rPr>
        <w:t>Fragen im Zusammenhang mit den Arbeiten der Organe der Vereinten Nationen und anderer Organisationen (TOP 2)</w:t>
      </w:r>
      <w:bookmarkEnd w:id="8"/>
    </w:p>
    <w:p w14:paraId="12925A77" w14:textId="15B52A5E" w:rsidR="005C3E5B" w:rsidRPr="00AD6C7D" w:rsidRDefault="00925F82" w:rsidP="00E07EB3">
      <w:pPr>
        <w:pStyle w:val="SingleTxtG"/>
        <w:rPr>
          <w:lang w:val="de-DE"/>
        </w:rPr>
      </w:pPr>
      <w:r w:rsidRPr="00AD6C7D">
        <w:rPr>
          <w:lang w:val="de-DE"/>
        </w:rPr>
        <w:t>7.</w:t>
      </w:r>
      <w:r w:rsidRPr="00AD6C7D">
        <w:rPr>
          <w:lang w:val="de-DE"/>
        </w:rPr>
        <w:tab/>
      </w:r>
      <w:r w:rsidR="0012494D" w:rsidRPr="00AD6C7D">
        <w:rPr>
          <w:lang w:val="de-DE"/>
        </w:rPr>
        <w:t>Der Vertreter der Donaukommission informierte den Sicherheitsausschuss über die neue Struktur und das neue Mandat seiner Organisation seit dem 1. Juli 2019 gemäß der Belgrader Akte.</w:t>
      </w:r>
      <w:r w:rsidRPr="00AD6C7D">
        <w:rPr>
          <w:lang w:val="de-DE"/>
        </w:rPr>
        <w:t xml:space="preserve"> </w:t>
      </w:r>
      <w:r w:rsidR="0012494D" w:rsidRPr="00AD6C7D">
        <w:rPr>
          <w:lang w:val="de-DE"/>
        </w:rPr>
        <w:t>Er berichtete</w:t>
      </w:r>
      <w:r w:rsidR="00B36ACE" w:rsidRPr="00AD6C7D">
        <w:rPr>
          <w:lang w:val="de-DE"/>
        </w:rPr>
        <w:t xml:space="preserve"> zudem</w:t>
      </w:r>
      <w:r w:rsidR="0012494D" w:rsidRPr="00AD6C7D">
        <w:rPr>
          <w:lang w:val="de-DE"/>
        </w:rPr>
        <w:t xml:space="preserve"> über die Ergebnisse eines Seminars, das am 27.</w:t>
      </w:r>
      <w:r w:rsidR="005C3E5B" w:rsidRPr="00AD6C7D">
        <w:rPr>
          <w:lang w:val="de-DE"/>
        </w:rPr>
        <w:t> </w:t>
      </w:r>
      <w:r w:rsidR="0012494D" w:rsidRPr="00AD6C7D">
        <w:rPr>
          <w:lang w:val="de-DE"/>
        </w:rPr>
        <w:t>März</w:t>
      </w:r>
      <w:r w:rsidR="005C3E5B" w:rsidRPr="00AD6C7D">
        <w:rPr>
          <w:lang w:val="de-DE"/>
        </w:rPr>
        <w:t> </w:t>
      </w:r>
      <w:r w:rsidR="0012494D" w:rsidRPr="00AD6C7D">
        <w:rPr>
          <w:lang w:val="de-DE"/>
        </w:rPr>
        <w:t xml:space="preserve">2019 in Deutschland über die Durchführung harmonisierter </w:t>
      </w:r>
      <w:r w:rsidR="002D646D" w:rsidRPr="00AD6C7D">
        <w:rPr>
          <w:lang w:val="de-DE"/>
        </w:rPr>
        <w:t>Untersuchungs</w:t>
      </w:r>
      <w:r w:rsidR="0012494D" w:rsidRPr="00AD6C7D">
        <w:rPr>
          <w:lang w:val="de-DE"/>
        </w:rPr>
        <w:t xml:space="preserve">- und Kontrollmaßnahmen </w:t>
      </w:r>
      <w:r w:rsidR="00E07EB3" w:rsidRPr="00AD6C7D">
        <w:rPr>
          <w:lang w:val="de-DE"/>
        </w:rPr>
        <w:t xml:space="preserve">auf den Wasserstraßen </w:t>
      </w:r>
      <w:r w:rsidR="0012494D" w:rsidRPr="00AD6C7D">
        <w:rPr>
          <w:lang w:val="de-DE"/>
        </w:rPr>
        <w:t>im Donauraum, einschließlich Verhaltens</w:t>
      </w:r>
      <w:r w:rsidR="002D646D" w:rsidRPr="00AD6C7D">
        <w:rPr>
          <w:lang w:val="de-DE"/>
        </w:rPr>
        <w:t>maßregeln</w:t>
      </w:r>
      <w:r w:rsidR="0012494D" w:rsidRPr="00AD6C7D">
        <w:rPr>
          <w:lang w:val="de-DE"/>
        </w:rPr>
        <w:t>, bewährter Praktiken bei der Durchführung von Kontrollen</w:t>
      </w:r>
      <w:r w:rsidR="002D646D" w:rsidRPr="00AD6C7D">
        <w:rPr>
          <w:lang w:val="de-DE"/>
        </w:rPr>
        <w:t xml:space="preserve"> zur Durchsetzung des ADN</w:t>
      </w:r>
      <w:r w:rsidR="0012494D" w:rsidRPr="00AD6C7D">
        <w:rPr>
          <w:lang w:val="de-DE"/>
        </w:rPr>
        <w:t xml:space="preserve">, praktischer Informationen, </w:t>
      </w:r>
      <w:r w:rsidR="00182895" w:rsidRPr="00AD6C7D">
        <w:rPr>
          <w:lang w:val="de-DE"/>
        </w:rPr>
        <w:t>A</w:t>
      </w:r>
      <w:r w:rsidR="0012494D" w:rsidRPr="00AD6C7D">
        <w:rPr>
          <w:lang w:val="de-DE"/>
        </w:rPr>
        <w:t>usbildung</w:t>
      </w:r>
      <w:r w:rsidR="00182895" w:rsidRPr="00AD6C7D">
        <w:rPr>
          <w:lang w:val="de-DE"/>
        </w:rPr>
        <w:t>slehrgängen für Kontrolleure</w:t>
      </w:r>
      <w:r w:rsidR="0012494D" w:rsidRPr="00AD6C7D">
        <w:rPr>
          <w:lang w:val="de-DE"/>
        </w:rPr>
        <w:t xml:space="preserve"> und Daten über nationale </w:t>
      </w:r>
      <w:r w:rsidR="00182895" w:rsidRPr="00AD6C7D">
        <w:rPr>
          <w:lang w:val="de-DE"/>
        </w:rPr>
        <w:t>Sachverständige</w:t>
      </w:r>
      <w:r w:rsidR="0012494D" w:rsidRPr="00AD6C7D">
        <w:rPr>
          <w:lang w:val="de-DE"/>
        </w:rPr>
        <w:t xml:space="preserve"> stattgefunden hat.</w:t>
      </w:r>
    </w:p>
    <w:p w14:paraId="46379AE5" w14:textId="77777777" w:rsidR="005C3E5B" w:rsidRPr="00AD6C7D" w:rsidRDefault="005C3E5B">
      <w:pPr>
        <w:suppressAutoHyphens w:val="0"/>
        <w:spacing w:after="200" w:line="276" w:lineRule="auto"/>
        <w:rPr>
          <w:rFonts w:eastAsia="SimSun"/>
          <w:lang w:val="de-DE" w:eastAsia="zh-CN"/>
        </w:rPr>
      </w:pPr>
      <w:r w:rsidRPr="00AD6C7D">
        <w:rPr>
          <w:lang w:val="de-DE"/>
        </w:rPr>
        <w:br w:type="page"/>
      </w:r>
    </w:p>
    <w:p w14:paraId="13A54E7E" w14:textId="58659863" w:rsidR="00925F82" w:rsidRPr="00AD6C7D" w:rsidRDefault="00925F82" w:rsidP="005C3E5B">
      <w:pPr>
        <w:pStyle w:val="H1G"/>
        <w:spacing w:before="120" w:after="120"/>
        <w:rPr>
          <w:b w:val="0"/>
          <w:sz w:val="28"/>
          <w:lang w:val="de-DE"/>
        </w:rPr>
      </w:pPr>
      <w:r w:rsidRPr="00AD6C7D">
        <w:rPr>
          <w:sz w:val="28"/>
          <w:lang w:val="de-DE"/>
        </w:rPr>
        <w:lastRenderedPageBreak/>
        <w:tab/>
        <w:t>V.</w:t>
      </w:r>
      <w:r w:rsidRPr="00AD6C7D">
        <w:rPr>
          <w:sz w:val="28"/>
          <w:lang w:val="de-DE"/>
        </w:rPr>
        <w:tab/>
      </w:r>
      <w:bookmarkStart w:id="9" w:name="_Hlk20404870"/>
      <w:r w:rsidR="000455DD" w:rsidRPr="00AD6C7D">
        <w:rPr>
          <w:sz w:val="28"/>
          <w:lang w:val="de-DE"/>
        </w:rPr>
        <w:t>Durchführung des Europäischen Übereinkommens über die internationale Beförderung von gefährlichen Gütern auf Binnenwasserstraßen (ADN) (TOP 3)</w:t>
      </w:r>
      <w:bookmarkEnd w:id="9"/>
    </w:p>
    <w:p w14:paraId="47C0E149" w14:textId="715106D7" w:rsidR="00925F82" w:rsidRPr="00AD6C7D" w:rsidRDefault="00925F82" w:rsidP="005C3E5B">
      <w:pPr>
        <w:pStyle w:val="H1G"/>
        <w:spacing w:before="120" w:after="120"/>
        <w:rPr>
          <w:lang w:val="de-DE"/>
        </w:rPr>
      </w:pPr>
      <w:r w:rsidRPr="00AD6C7D">
        <w:rPr>
          <w:lang w:val="de-DE"/>
        </w:rPr>
        <w:tab/>
        <w:t>A.</w:t>
      </w:r>
      <w:r w:rsidRPr="00AD6C7D">
        <w:rPr>
          <w:lang w:val="de-DE"/>
        </w:rPr>
        <w:tab/>
      </w:r>
      <w:r w:rsidR="00C808C2" w:rsidRPr="00AD6C7D">
        <w:rPr>
          <w:lang w:val="de-DE"/>
        </w:rPr>
        <w:t>Status des ADN</w:t>
      </w:r>
    </w:p>
    <w:p w14:paraId="4D8F791F" w14:textId="47569748" w:rsidR="00925F82" w:rsidRPr="00AD6C7D" w:rsidRDefault="00925F82" w:rsidP="00AC2999">
      <w:pPr>
        <w:pStyle w:val="SingleTxtG"/>
        <w:rPr>
          <w:lang w:val="de-DE"/>
        </w:rPr>
      </w:pPr>
      <w:r w:rsidRPr="00AD6C7D">
        <w:rPr>
          <w:lang w:val="de-DE"/>
        </w:rPr>
        <w:t>8.</w:t>
      </w:r>
      <w:r w:rsidRPr="00AD6C7D">
        <w:rPr>
          <w:lang w:val="de-DE"/>
        </w:rPr>
        <w:tab/>
      </w:r>
      <w:r w:rsidR="00AC2999" w:rsidRPr="00AD6C7D">
        <w:rPr>
          <w:lang w:val="de-DE"/>
        </w:rPr>
        <w:t>Der Sicherheitsausschuss stellte fest, dass über den Status des ADN keine neuen Informationen vorlagen.</w:t>
      </w:r>
    </w:p>
    <w:p w14:paraId="14267EAB" w14:textId="0757E86D" w:rsidR="00925F82" w:rsidRPr="00AD6C7D" w:rsidRDefault="00925F82" w:rsidP="005C3E5B">
      <w:pPr>
        <w:pStyle w:val="H1G"/>
        <w:spacing w:before="240"/>
        <w:rPr>
          <w:lang w:val="de-DE"/>
        </w:rPr>
      </w:pPr>
      <w:r w:rsidRPr="00AD6C7D">
        <w:rPr>
          <w:lang w:val="de-DE"/>
        </w:rPr>
        <w:tab/>
        <w:t>B.</w:t>
      </w:r>
      <w:r w:rsidRPr="00AD6C7D">
        <w:rPr>
          <w:lang w:val="de-DE"/>
        </w:rPr>
        <w:tab/>
      </w:r>
      <w:r w:rsidR="00C808C2" w:rsidRPr="00AD6C7D">
        <w:rPr>
          <w:lang w:val="de-DE"/>
        </w:rPr>
        <w:t>Ausnahmegenehmigungen, Abweichungen und Gleichwertigkeiten</w:t>
      </w:r>
    </w:p>
    <w:p w14:paraId="23D628E2" w14:textId="4166A8AC" w:rsidR="00925F82" w:rsidRPr="00AD6C7D" w:rsidRDefault="00D50E15" w:rsidP="00925F82">
      <w:pPr>
        <w:pStyle w:val="SingleTxtG"/>
        <w:rPr>
          <w:lang w:val="de-DE"/>
        </w:rPr>
      </w:pPr>
      <w:r w:rsidRPr="00AD6C7D">
        <w:rPr>
          <w:lang w:val="de-DE"/>
        </w:rPr>
        <w:t>9.</w:t>
      </w:r>
      <w:r w:rsidRPr="00AD6C7D">
        <w:rPr>
          <w:lang w:val="de-DE"/>
        </w:rPr>
        <w:tab/>
        <w:t>Da zu diesem Unterpunkt kein Dokument vorgelegt wurde, fand zu diesem Thema keine Diskussion statt.</w:t>
      </w:r>
    </w:p>
    <w:p w14:paraId="69EB39DF" w14:textId="3F155232" w:rsidR="00925F82" w:rsidRPr="00AD6C7D" w:rsidRDefault="00925F82" w:rsidP="005C3E5B">
      <w:pPr>
        <w:pStyle w:val="H1G"/>
        <w:spacing w:before="240"/>
        <w:rPr>
          <w:lang w:val="de-DE"/>
        </w:rPr>
      </w:pPr>
      <w:r w:rsidRPr="00AD6C7D">
        <w:rPr>
          <w:lang w:val="de-DE"/>
        </w:rPr>
        <w:tab/>
        <w:t>C.</w:t>
      </w:r>
      <w:r w:rsidRPr="00AD6C7D">
        <w:rPr>
          <w:lang w:val="de-DE"/>
        </w:rPr>
        <w:tab/>
      </w:r>
      <w:r w:rsidR="00C808C2" w:rsidRPr="00AD6C7D">
        <w:rPr>
          <w:lang w:val="de-DE"/>
        </w:rPr>
        <w:t>Auslegung der dem ADN beigefügten Verordnung</w:t>
      </w:r>
    </w:p>
    <w:p w14:paraId="0017FCB4" w14:textId="55BD1383" w:rsidR="00925F82" w:rsidRPr="00AD6C7D" w:rsidRDefault="00925F82" w:rsidP="005C3E5B">
      <w:pPr>
        <w:pStyle w:val="H1G"/>
        <w:spacing w:before="120" w:after="120"/>
        <w:ind w:right="992"/>
        <w:rPr>
          <w:sz w:val="20"/>
          <w:lang w:val="de-DE"/>
        </w:rPr>
      </w:pPr>
      <w:r w:rsidRPr="00AD6C7D">
        <w:rPr>
          <w:sz w:val="20"/>
          <w:lang w:val="de-DE"/>
        </w:rPr>
        <w:tab/>
        <w:t>1.</w:t>
      </w:r>
      <w:r w:rsidRPr="00AD6C7D">
        <w:rPr>
          <w:sz w:val="20"/>
          <w:lang w:val="de-DE"/>
        </w:rPr>
        <w:tab/>
      </w:r>
      <w:r w:rsidR="00AC2999" w:rsidRPr="00AD6C7D">
        <w:rPr>
          <w:sz w:val="20"/>
          <w:lang w:val="de-DE"/>
        </w:rPr>
        <w:t>Entgasen von Tankschiffen an Annahmestellen</w:t>
      </w:r>
    </w:p>
    <w:p w14:paraId="33462CF4" w14:textId="31BFB659" w:rsidR="00925F82" w:rsidRPr="00AD6C7D" w:rsidRDefault="00925F82" w:rsidP="005C3E5B">
      <w:pPr>
        <w:pStyle w:val="H23G"/>
        <w:tabs>
          <w:tab w:val="left" w:pos="3402"/>
        </w:tabs>
        <w:spacing w:before="120"/>
        <w:rPr>
          <w:b w:val="0"/>
          <w:bCs/>
          <w:lang w:val="de-DE"/>
        </w:rPr>
      </w:pPr>
      <w:r w:rsidRPr="00AD6C7D">
        <w:rPr>
          <w:b w:val="0"/>
          <w:bCs/>
          <w:i/>
          <w:iCs/>
          <w:lang w:val="de-DE"/>
        </w:rPr>
        <w:tab/>
      </w:r>
      <w:r w:rsidRPr="00AD6C7D">
        <w:rPr>
          <w:b w:val="0"/>
          <w:bCs/>
          <w:i/>
          <w:iCs/>
          <w:lang w:val="de-DE"/>
        </w:rPr>
        <w:tab/>
      </w:r>
      <w:r w:rsidR="007540AC" w:rsidRPr="00AD6C7D">
        <w:rPr>
          <w:b w:val="0"/>
          <w:bCs/>
          <w:i/>
          <w:iCs/>
          <w:lang w:val="de-DE"/>
        </w:rPr>
        <w:t>Informelle Dokumente</w:t>
      </w:r>
      <w:r w:rsidRPr="00AD6C7D">
        <w:rPr>
          <w:b w:val="0"/>
          <w:bCs/>
          <w:lang w:val="de-DE"/>
        </w:rPr>
        <w:t>:</w:t>
      </w:r>
      <w:r w:rsidRPr="00AD6C7D">
        <w:rPr>
          <w:b w:val="0"/>
          <w:bCs/>
          <w:lang w:val="de-DE"/>
        </w:rPr>
        <w:tab/>
        <w:t xml:space="preserve">INF.14 </w:t>
      </w:r>
      <w:r w:rsidR="007540AC" w:rsidRPr="00AD6C7D">
        <w:rPr>
          <w:b w:val="0"/>
          <w:bCs/>
          <w:lang w:val="de-DE"/>
        </w:rPr>
        <w:t>(Deutschland)</w:t>
      </w:r>
      <w:r w:rsidRPr="00AD6C7D">
        <w:rPr>
          <w:b w:val="0"/>
          <w:bCs/>
          <w:lang w:val="de-DE"/>
        </w:rPr>
        <w:t xml:space="preserve">, 33 </w:t>
      </w:r>
      <w:r w:rsidR="007540AC" w:rsidRPr="00AD6C7D">
        <w:rPr>
          <w:b w:val="0"/>
          <w:bCs/>
          <w:lang w:val="de-DE"/>
        </w:rPr>
        <w:t>und</w:t>
      </w:r>
      <w:r w:rsidRPr="00AD6C7D">
        <w:rPr>
          <w:b w:val="0"/>
          <w:bCs/>
          <w:lang w:val="de-DE"/>
        </w:rPr>
        <w:t xml:space="preserve"> 35 (EBU/ESO)</w:t>
      </w:r>
      <w:r w:rsidRPr="00AD6C7D">
        <w:rPr>
          <w:b w:val="0"/>
          <w:bCs/>
          <w:lang w:val="de-DE"/>
        </w:rPr>
        <w:br/>
      </w:r>
      <w:r w:rsidRPr="00AD6C7D">
        <w:rPr>
          <w:b w:val="0"/>
          <w:bCs/>
          <w:lang w:val="de-DE"/>
        </w:rPr>
        <w:tab/>
        <w:t>INF.26 (</w:t>
      </w:r>
      <w:r w:rsidR="007540AC" w:rsidRPr="00AD6C7D">
        <w:rPr>
          <w:b w:val="0"/>
          <w:bCs/>
          <w:lang w:val="de-DE"/>
        </w:rPr>
        <w:t>Empfohlene ADN-Klassifikationsgesellschaften</w:t>
      </w:r>
      <w:r w:rsidRPr="00AD6C7D">
        <w:rPr>
          <w:b w:val="0"/>
          <w:bCs/>
          <w:lang w:val="de-DE"/>
        </w:rPr>
        <w:t>)</w:t>
      </w:r>
      <w:r w:rsidRPr="00AD6C7D">
        <w:rPr>
          <w:b w:val="0"/>
          <w:bCs/>
          <w:lang w:val="de-DE"/>
        </w:rPr>
        <w:br/>
      </w:r>
      <w:r w:rsidRPr="00AD6C7D">
        <w:rPr>
          <w:b w:val="0"/>
          <w:bCs/>
          <w:lang w:val="de-DE"/>
        </w:rPr>
        <w:tab/>
        <w:t>INF.36 (</w:t>
      </w:r>
      <w:r w:rsidR="007540AC" w:rsidRPr="00AD6C7D">
        <w:rPr>
          <w:b w:val="0"/>
          <w:bCs/>
          <w:lang w:val="de-DE"/>
        </w:rPr>
        <w:t>Belgien</w:t>
      </w:r>
      <w:r w:rsidRPr="00AD6C7D">
        <w:rPr>
          <w:b w:val="0"/>
          <w:bCs/>
          <w:lang w:val="de-DE"/>
        </w:rPr>
        <w:t>)</w:t>
      </w:r>
    </w:p>
    <w:p w14:paraId="263762E3" w14:textId="5F9B2092" w:rsidR="00925F82" w:rsidRPr="00AD6C7D" w:rsidRDefault="00925F82" w:rsidP="00976CB7">
      <w:pPr>
        <w:pStyle w:val="SingleTxtG"/>
        <w:rPr>
          <w:lang w:val="de-DE"/>
        </w:rPr>
      </w:pPr>
      <w:bookmarkStart w:id="10" w:name="_Hlk18327360"/>
      <w:r w:rsidRPr="00AD6C7D">
        <w:rPr>
          <w:lang w:val="de-DE"/>
        </w:rPr>
        <w:t>10.</w:t>
      </w:r>
      <w:r w:rsidRPr="00AD6C7D">
        <w:rPr>
          <w:lang w:val="de-DE"/>
        </w:rPr>
        <w:tab/>
      </w:r>
      <w:r w:rsidR="00AC2999" w:rsidRPr="00AD6C7D">
        <w:rPr>
          <w:lang w:val="de-DE"/>
        </w:rPr>
        <w:t>Der Sicherheitsausschuss begrüßte den Vorschlag Deutschlands und stellte vier mögliche Verfahren zur Entgasung von Tankschiffen an Annahmestellen fest: zwei offene und zwei geschlossene Systeme.</w:t>
      </w:r>
      <w:r w:rsidRPr="00AD6C7D">
        <w:rPr>
          <w:lang w:val="de-DE"/>
        </w:rPr>
        <w:t xml:space="preserve"> </w:t>
      </w:r>
      <w:r w:rsidR="00AC2999" w:rsidRPr="00AD6C7D">
        <w:rPr>
          <w:lang w:val="de-DE"/>
        </w:rPr>
        <w:t>Offene Systeme sollten mit geeigneten Flammendurchschlagsicherungen und, falls erforderlich, mit Niederdruck-Sicherheitsventilen ausgestattet sein.</w:t>
      </w:r>
      <w:r w:rsidRPr="00AD6C7D">
        <w:rPr>
          <w:lang w:val="de-DE"/>
        </w:rPr>
        <w:t xml:space="preserve"> </w:t>
      </w:r>
      <w:r w:rsidR="00AC2999" w:rsidRPr="00AD6C7D">
        <w:rPr>
          <w:lang w:val="de-DE"/>
        </w:rPr>
        <w:t xml:space="preserve">Der EBU-Vertreter betonte, dass Absatz 7.2.3.7.2.3 geändert </w:t>
      </w:r>
      <w:r w:rsidR="008C78C3" w:rsidRPr="00AD6C7D">
        <w:rPr>
          <w:lang w:val="de-DE"/>
        </w:rPr>
        <w:t xml:space="preserve">werden müsse </w:t>
      </w:r>
      <w:r w:rsidR="00AC2999" w:rsidRPr="00AD6C7D">
        <w:rPr>
          <w:lang w:val="de-DE"/>
        </w:rPr>
        <w:t xml:space="preserve">und Explosionsschutzsysteme bei der Entgasung von Tankschiffen an einer Annahmestelle an Land (informelles Dokument INF.35) </w:t>
      </w:r>
      <w:r w:rsidR="008C78C3" w:rsidRPr="00AD6C7D">
        <w:rPr>
          <w:lang w:val="de-DE"/>
        </w:rPr>
        <w:t>mit</w:t>
      </w:r>
      <w:r w:rsidR="00AC2999" w:rsidRPr="00AD6C7D">
        <w:rPr>
          <w:lang w:val="de-DE"/>
        </w:rPr>
        <w:t xml:space="preserve"> (beweglichen oder fest eingebauten) federbelasteten Niederdruckventilen in Betracht gezogen werden </w:t>
      </w:r>
      <w:r w:rsidR="005A006E" w:rsidRPr="00AD6C7D">
        <w:rPr>
          <w:lang w:val="de-DE"/>
        </w:rPr>
        <w:t>sollten</w:t>
      </w:r>
      <w:r w:rsidR="00AC2999" w:rsidRPr="00AD6C7D">
        <w:rPr>
          <w:lang w:val="de-DE"/>
        </w:rPr>
        <w:t>.</w:t>
      </w:r>
      <w:r w:rsidRPr="00AD6C7D">
        <w:rPr>
          <w:lang w:val="de-DE"/>
        </w:rPr>
        <w:t xml:space="preserve"> </w:t>
      </w:r>
      <w:r w:rsidR="005A006E" w:rsidRPr="00AD6C7D">
        <w:rPr>
          <w:lang w:val="de-DE"/>
        </w:rPr>
        <w:t>Er bestätigte, dass es solche federbelasteten Ventile noch nicht gebe.</w:t>
      </w:r>
      <w:r w:rsidRPr="00AD6C7D">
        <w:rPr>
          <w:lang w:val="de-DE"/>
        </w:rPr>
        <w:t xml:space="preserve"> </w:t>
      </w:r>
      <w:r w:rsidR="005A006E" w:rsidRPr="00AD6C7D">
        <w:rPr>
          <w:lang w:val="de-DE"/>
        </w:rPr>
        <w:t>Es wurde ferner festgestellt, dass Niederdruckventile im ADN noch nicht definiert sind.</w:t>
      </w:r>
      <w:r w:rsidRPr="00AD6C7D">
        <w:rPr>
          <w:lang w:val="de-DE"/>
        </w:rPr>
        <w:t xml:space="preserve"> </w:t>
      </w:r>
      <w:r w:rsidR="005A006E" w:rsidRPr="00AD6C7D">
        <w:rPr>
          <w:lang w:val="de-DE"/>
        </w:rPr>
        <w:t>Der Sicherheitsausschuss war der Ansicht, dass das ADN die Sicherheitsausrüstung</w:t>
      </w:r>
      <w:r w:rsidR="003D032F" w:rsidRPr="00AD6C7D">
        <w:rPr>
          <w:lang w:val="de-DE"/>
        </w:rPr>
        <w:t>en</w:t>
      </w:r>
      <w:r w:rsidR="005A006E" w:rsidRPr="00AD6C7D">
        <w:rPr>
          <w:lang w:val="de-DE"/>
        </w:rPr>
        <w:t xml:space="preserve"> und Sicherheitsanforderungen an Bord von Schiffen regeln sollte,</w:t>
      </w:r>
      <w:r w:rsidR="003D032F" w:rsidRPr="00AD6C7D">
        <w:rPr>
          <w:lang w:val="de-DE"/>
        </w:rPr>
        <w:t xml:space="preserve"> nicht jedoch</w:t>
      </w:r>
      <w:r w:rsidR="005A006E" w:rsidRPr="00AD6C7D">
        <w:rPr>
          <w:lang w:val="de-DE"/>
        </w:rPr>
        <w:t xml:space="preserve"> Landanlagen</w:t>
      </w:r>
      <w:r w:rsidR="003D032F" w:rsidRPr="00AD6C7D">
        <w:rPr>
          <w:lang w:val="de-DE"/>
        </w:rPr>
        <w:t>, d</w:t>
      </w:r>
      <w:r w:rsidR="004B216E" w:rsidRPr="00AD6C7D">
        <w:rPr>
          <w:lang w:val="de-DE"/>
        </w:rPr>
        <w:t xml:space="preserve">ie </w:t>
      </w:r>
      <w:r w:rsidR="005A006E" w:rsidRPr="00AD6C7D">
        <w:rPr>
          <w:lang w:val="de-DE"/>
        </w:rPr>
        <w:t>außerhalb seines Anwendungsbereichs liegen.</w:t>
      </w:r>
      <w:r w:rsidRPr="00AD6C7D">
        <w:rPr>
          <w:lang w:val="de-DE"/>
        </w:rPr>
        <w:t xml:space="preserve"> </w:t>
      </w:r>
      <w:r w:rsidR="007405C5" w:rsidRPr="00AD6C7D">
        <w:rPr>
          <w:lang w:val="de-DE"/>
        </w:rPr>
        <w:t xml:space="preserve">Es </w:t>
      </w:r>
      <w:r w:rsidR="00976CB7" w:rsidRPr="00AD6C7D">
        <w:rPr>
          <w:lang w:val="de-DE"/>
        </w:rPr>
        <w:t>wurde sich dafür ausgesprochen</w:t>
      </w:r>
      <w:r w:rsidR="007405C5" w:rsidRPr="00AD6C7D">
        <w:rPr>
          <w:lang w:val="de-DE"/>
        </w:rPr>
        <w:t xml:space="preserve">, in einem ersten Schritt Absatz 7.2.3.7.2.3 </w:t>
      </w:r>
      <w:r w:rsidR="00277277" w:rsidRPr="00AD6C7D">
        <w:rPr>
          <w:lang w:val="de-DE"/>
        </w:rPr>
        <w:t xml:space="preserve">zu ändern </w:t>
      </w:r>
      <w:r w:rsidR="007405C5" w:rsidRPr="00AD6C7D">
        <w:rPr>
          <w:lang w:val="de-DE"/>
        </w:rPr>
        <w:t xml:space="preserve">und die Verwendung der Begriffe „Deflagration“ und „Detonation“ </w:t>
      </w:r>
      <w:r w:rsidR="00C96F40" w:rsidRPr="00AD6C7D">
        <w:rPr>
          <w:lang w:val="de-DE"/>
        </w:rPr>
        <w:t>zu klären</w:t>
      </w:r>
      <w:r w:rsidR="007405C5" w:rsidRPr="00AD6C7D">
        <w:rPr>
          <w:lang w:val="de-DE"/>
        </w:rPr>
        <w:t xml:space="preserve"> (siehe informelles Dokument INF.26</w:t>
      </w:r>
      <w:r w:rsidR="00277277" w:rsidRPr="00AD6C7D">
        <w:rPr>
          <w:lang w:val="de-DE"/>
        </w:rPr>
        <w:t>,</w:t>
      </w:r>
      <w:r w:rsidR="007405C5" w:rsidRPr="00AD6C7D">
        <w:rPr>
          <w:lang w:val="de-DE"/>
        </w:rPr>
        <w:t xml:space="preserve"> Abs. 5).</w:t>
      </w:r>
    </w:p>
    <w:bookmarkEnd w:id="10"/>
    <w:p w14:paraId="35D96233" w14:textId="29370619" w:rsidR="00925F82" w:rsidRPr="00AD6C7D" w:rsidRDefault="00925F82" w:rsidP="00775203">
      <w:pPr>
        <w:pStyle w:val="SingleTxtG"/>
        <w:rPr>
          <w:lang w:val="de-DE"/>
        </w:rPr>
      </w:pPr>
      <w:r w:rsidRPr="00AD6C7D">
        <w:rPr>
          <w:lang w:val="de-DE"/>
        </w:rPr>
        <w:t>11.</w:t>
      </w:r>
      <w:r w:rsidRPr="00AD6C7D">
        <w:rPr>
          <w:lang w:val="de-DE"/>
        </w:rPr>
        <w:tab/>
      </w:r>
      <w:r w:rsidR="00A84D70" w:rsidRPr="00AD6C7D">
        <w:rPr>
          <w:lang w:val="de-DE"/>
        </w:rPr>
        <w:t xml:space="preserve">Der EBU-Vertreter </w:t>
      </w:r>
      <w:r w:rsidR="00B27F6F" w:rsidRPr="00AD6C7D">
        <w:rPr>
          <w:lang w:val="de-DE"/>
        </w:rPr>
        <w:t>hinterfragte</w:t>
      </w:r>
      <w:r w:rsidR="00A84D70" w:rsidRPr="00AD6C7D">
        <w:rPr>
          <w:lang w:val="de-DE"/>
        </w:rPr>
        <w:t xml:space="preserve"> den Anwendungsbereich und die Priorität</w:t>
      </w:r>
      <w:r w:rsidR="00B27F6F" w:rsidRPr="00AD6C7D">
        <w:rPr>
          <w:lang w:val="de-DE"/>
        </w:rPr>
        <w:t xml:space="preserve">en </w:t>
      </w:r>
      <w:r w:rsidR="00A84D70" w:rsidRPr="00AD6C7D">
        <w:rPr>
          <w:lang w:val="de-DE"/>
        </w:rPr>
        <w:t xml:space="preserve">des ADN in Bezug auf sicherheitsrelevante </w:t>
      </w:r>
      <w:r w:rsidR="00B27F6F" w:rsidRPr="00AD6C7D">
        <w:rPr>
          <w:lang w:val="de-DE"/>
        </w:rPr>
        <w:t>und</w:t>
      </w:r>
      <w:r w:rsidR="00A84D70" w:rsidRPr="00AD6C7D">
        <w:rPr>
          <w:lang w:val="de-DE"/>
        </w:rPr>
        <w:t xml:space="preserve"> umweltbezogene </w:t>
      </w:r>
      <w:r w:rsidR="00B27F6F" w:rsidRPr="00AD6C7D">
        <w:rPr>
          <w:lang w:val="de-DE"/>
        </w:rPr>
        <w:t>Aspekte</w:t>
      </w:r>
      <w:r w:rsidR="00A84D70" w:rsidRPr="00AD6C7D">
        <w:rPr>
          <w:lang w:val="de-DE"/>
        </w:rPr>
        <w:t xml:space="preserve"> (informelles Dokument INF.33).</w:t>
      </w:r>
      <w:r w:rsidRPr="00AD6C7D">
        <w:rPr>
          <w:lang w:val="de-DE"/>
        </w:rPr>
        <w:t xml:space="preserve"> </w:t>
      </w:r>
      <w:r w:rsidR="00B27F6F" w:rsidRPr="00AD6C7D">
        <w:rPr>
          <w:lang w:val="de-DE"/>
        </w:rPr>
        <w:t xml:space="preserve">Einige Delegierte </w:t>
      </w:r>
      <w:r w:rsidR="00976CB7" w:rsidRPr="00AD6C7D">
        <w:rPr>
          <w:lang w:val="de-DE"/>
        </w:rPr>
        <w:t>vertraten di</w:t>
      </w:r>
      <w:r w:rsidR="00B27F6F" w:rsidRPr="00AD6C7D">
        <w:rPr>
          <w:lang w:val="de-DE"/>
        </w:rPr>
        <w:t>e Ansicht, dass sich das ADN auf sicherheitsrelevante Aspekte konzentrieren sollte und die Umwelt</w:t>
      </w:r>
      <w:r w:rsidR="00FA2A13" w:rsidRPr="00AD6C7D">
        <w:rPr>
          <w:lang w:val="de-DE"/>
        </w:rPr>
        <w:t>aspekte</w:t>
      </w:r>
      <w:r w:rsidR="00B27F6F" w:rsidRPr="00AD6C7D">
        <w:rPr>
          <w:lang w:val="de-DE"/>
        </w:rPr>
        <w:t xml:space="preserve"> von anderen </w:t>
      </w:r>
      <w:r w:rsidR="00EA5048" w:rsidRPr="00AD6C7D">
        <w:rPr>
          <w:lang w:val="de-DE"/>
        </w:rPr>
        <w:t>Organen</w:t>
      </w:r>
      <w:r w:rsidR="00B27F6F" w:rsidRPr="00AD6C7D">
        <w:rPr>
          <w:lang w:val="de-DE"/>
        </w:rPr>
        <w:t xml:space="preserve"> wie dem Übereinkommen über die Sammlung, </w:t>
      </w:r>
      <w:r w:rsidR="00CC39CD" w:rsidRPr="00AD6C7D">
        <w:rPr>
          <w:lang w:val="de-DE"/>
        </w:rPr>
        <w:t>Abgabe</w:t>
      </w:r>
      <w:r w:rsidR="00B27F6F" w:rsidRPr="00AD6C7D">
        <w:rPr>
          <w:lang w:val="de-DE"/>
        </w:rPr>
        <w:t xml:space="preserve"> und Annahme von Abfällen</w:t>
      </w:r>
      <w:r w:rsidR="00CC39CD" w:rsidRPr="00AD6C7D">
        <w:rPr>
          <w:lang w:val="de-DE"/>
        </w:rPr>
        <w:t xml:space="preserve"> in</w:t>
      </w:r>
      <w:r w:rsidR="00B27F6F" w:rsidRPr="00AD6C7D">
        <w:rPr>
          <w:lang w:val="de-DE"/>
        </w:rPr>
        <w:t xml:space="preserve"> der </w:t>
      </w:r>
      <w:r w:rsidR="00CC39CD" w:rsidRPr="00AD6C7D">
        <w:rPr>
          <w:lang w:val="de-DE"/>
        </w:rPr>
        <w:t>Rhein- und Binnens</w:t>
      </w:r>
      <w:r w:rsidR="00B27F6F" w:rsidRPr="00AD6C7D">
        <w:rPr>
          <w:lang w:val="de-DE"/>
        </w:rPr>
        <w:t>chifffahrt (CDNI) behandelt werden sollten.</w:t>
      </w:r>
      <w:r w:rsidRPr="00AD6C7D">
        <w:rPr>
          <w:lang w:val="de-DE"/>
        </w:rPr>
        <w:t xml:space="preserve"> </w:t>
      </w:r>
      <w:r w:rsidR="00267A31" w:rsidRPr="00AD6C7D">
        <w:rPr>
          <w:lang w:val="de-DE"/>
        </w:rPr>
        <w:t xml:space="preserve">Ferner wurde festgestellt, dass die Entgasung von Tankschiffen </w:t>
      </w:r>
      <w:r w:rsidR="005F2767" w:rsidRPr="00AD6C7D">
        <w:rPr>
          <w:lang w:val="de-DE"/>
        </w:rPr>
        <w:t xml:space="preserve">in die Atmosphäre </w:t>
      </w:r>
      <w:r w:rsidR="00267A31" w:rsidRPr="00AD6C7D">
        <w:rPr>
          <w:lang w:val="de-DE"/>
        </w:rPr>
        <w:t xml:space="preserve">in dicht besiedelten Gebieten im ADN </w:t>
      </w:r>
      <w:r w:rsidR="00DB6B1A" w:rsidRPr="00AD6C7D">
        <w:rPr>
          <w:lang w:val="de-DE"/>
        </w:rPr>
        <w:t xml:space="preserve">bereits </w:t>
      </w:r>
      <w:r w:rsidR="00267A31" w:rsidRPr="00AD6C7D">
        <w:rPr>
          <w:lang w:val="de-DE"/>
        </w:rPr>
        <w:t xml:space="preserve">verboten </w:t>
      </w:r>
      <w:r w:rsidR="005F2767" w:rsidRPr="00AD6C7D">
        <w:rPr>
          <w:lang w:val="de-DE"/>
        </w:rPr>
        <w:t>ist</w:t>
      </w:r>
      <w:r w:rsidR="00267A31" w:rsidRPr="00AD6C7D">
        <w:rPr>
          <w:lang w:val="de-DE"/>
        </w:rPr>
        <w:t>.</w:t>
      </w:r>
      <w:r w:rsidRPr="00AD6C7D">
        <w:rPr>
          <w:lang w:val="de-DE"/>
        </w:rPr>
        <w:t xml:space="preserve"> </w:t>
      </w:r>
      <w:r w:rsidR="005F2767" w:rsidRPr="00AD6C7D">
        <w:rPr>
          <w:lang w:val="de-DE"/>
        </w:rPr>
        <w:t>Der Vertreter der Niederlande bat den Sicherheitsausschuss um eine offizielle Auslegung des Begriffs „dicht besiedelte Gebiete“, da er in der Praxis Umsetzungsfragen aufw</w:t>
      </w:r>
      <w:r w:rsidR="00071BBD" w:rsidRPr="00AD6C7D">
        <w:rPr>
          <w:lang w:val="de-DE"/>
        </w:rPr>
        <w:t>e</w:t>
      </w:r>
      <w:r w:rsidR="005F2767" w:rsidRPr="00AD6C7D">
        <w:rPr>
          <w:lang w:val="de-DE"/>
        </w:rPr>
        <w:t>rf</w:t>
      </w:r>
      <w:r w:rsidR="00071BBD" w:rsidRPr="00AD6C7D">
        <w:rPr>
          <w:lang w:val="de-DE"/>
        </w:rPr>
        <w:t>e</w:t>
      </w:r>
      <w:r w:rsidR="005F2767" w:rsidRPr="00AD6C7D">
        <w:rPr>
          <w:lang w:val="de-DE"/>
        </w:rPr>
        <w:t>.</w:t>
      </w:r>
    </w:p>
    <w:p w14:paraId="6F992028" w14:textId="52E1F387" w:rsidR="00925F82" w:rsidRPr="00AD6C7D" w:rsidRDefault="00925F82" w:rsidP="00775203">
      <w:pPr>
        <w:pStyle w:val="SingleTxtG"/>
        <w:rPr>
          <w:lang w:val="de-DE"/>
        </w:rPr>
      </w:pPr>
      <w:r w:rsidRPr="00AD6C7D">
        <w:rPr>
          <w:lang w:val="de-DE"/>
        </w:rPr>
        <w:t>12.</w:t>
      </w:r>
      <w:r w:rsidRPr="00AD6C7D">
        <w:rPr>
          <w:lang w:val="de-DE"/>
        </w:rPr>
        <w:tab/>
      </w:r>
      <w:r w:rsidR="005F2767" w:rsidRPr="00AD6C7D">
        <w:rPr>
          <w:lang w:val="de-DE"/>
        </w:rPr>
        <w:t xml:space="preserve">Der Sicherheitsausschuss beschloss, keine offizielle Auslegung vorzunehmen und stattdessen eine informelle Arbeitsgruppe unter dem Vorsitz des </w:t>
      </w:r>
      <w:r w:rsidR="00B3334D" w:rsidRPr="00AD6C7D">
        <w:rPr>
          <w:lang w:val="de-DE"/>
        </w:rPr>
        <w:t xml:space="preserve">belgischen </w:t>
      </w:r>
      <w:r w:rsidR="005F2767" w:rsidRPr="00AD6C7D">
        <w:rPr>
          <w:lang w:val="de-DE"/>
        </w:rPr>
        <w:t xml:space="preserve">Vertreters und mit Unterstützung der </w:t>
      </w:r>
      <w:r w:rsidR="00B3334D" w:rsidRPr="00AD6C7D">
        <w:rPr>
          <w:lang w:val="de-DE"/>
        </w:rPr>
        <w:t xml:space="preserve">niederländischen </w:t>
      </w:r>
      <w:r w:rsidR="005F2767" w:rsidRPr="00AD6C7D">
        <w:rPr>
          <w:lang w:val="de-DE"/>
        </w:rPr>
        <w:t>Vertreter mit folgende</w:t>
      </w:r>
      <w:r w:rsidR="00B3334D" w:rsidRPr="00AD6C7D">
        <w:rPr>
          <w:lang w:val="de-DE"/>
        </w:rPr>
        <w:t>r</w:t>
      </w:r>
      <w:r w:rsidR="005F2767" w:rsidRPr="00AD6C7D">
        <w:rPr>
          <w:lang w:val="de-DE"/>
        </w:rPr>
        <w:t xml:space="preserve"> Aufgaben</w:t>
      </w:r>
      <w:r w:rsidR="00B3334D" w:rsidRPr="00AD6C7D">
        <w:rPr>
          <w:lang w:val="de-DE"/>
        </w:rPr>
        <w:t>stellung</w:t>
      </w:r>
      <w:r w:rsidR="005F2767" w:rsidRPr="00AD6C7D">
        <w:rPr>
          <w:lang w:val="de-DE"/>
        </w:rPr>
        <w:t xml:space="preserve"> einzusetzen:</w:t>
      </w:r>
    </w:p>
    <w:p w14:paraId="6073925E" w14:textId="0F650E2D" w:rsidR="00925F82" w:rsidRPr="00AD6C7D" w:rsidRDefault="00071BBD" w:rsidP="00460E5D">
      <w:pPr>
        <w:pStyle w:val="SingleTxtG"/>
        <w:rPr>
          <w:lang w:val="de-DE" w:eastAsia="en-US"/>
        </w:rPr>
      </w:pPr>
      <w:bookmarkStart w:id="11" w:name="_Hlk18342694"/>
      <w:r w:rsidRPr="00AD6C7D">
        <w:rPr>
          <w:lang w:val="de-DE"/>
        </w:rPr>
        <w:tab/>
      </w:r>
      <w:r w:rsidRPr="00AD6C7D">
        <w:rPr>
          <w:lang w:val="de-DE"/>
        </w:rPr>
        <w:tab/>
      </w:r>
      <w:r w:rsidR="00737BFD" w:rsidRPr="00AD6C7D">
        <w:rPr>
          <w:lang w:val="de-DE"/>
        </w:rPr>
        <w:t>„</w:t>
      </w:r>
      <w:r w:rsidR="00B3334D" w:rsidRPr="00AD6C7D">
        <w:rPr>
          <w:lang w:val="de-DE"/>
        </w:rPr>
        <w:t>Die informelle Arbeitsgruppe wird bea</w:t>
      </w:r>
      <w:r w:rsidR="00460E5D" w:rsidRPr="00AD6C7D">
        <w:rPr>
          <w:lang w:val="de-DE"/>
        </w:rPr>
        <w:t>uf</w:t>
      </w:r>
      <w:r w:rsidR="00B3334D" w:rsidRPr="00AD6C7D">
        <w:rPr>
          <w:lang w:val="de-DE"/>
        </w:rPr>
        <w:t>tragt,</w:t>
      </w:r>
    </w:p>
    <w:p w14:paraId="3013B526" w14:textId="27D7A907" w:rsidR="00460E5D" w:rsidRPr="00AD6C7D" w:rsidRDefault="00460E5D" w:rsidP="005C3E5B">
      <w:pPr>
        <w:pStyle w:val="SingleTxtG"/>
        <w:numPr>
          <w:ilvl w:val="0"/>
          <w:numId w:val="16"/>
        </w:numPr>
        <w:kinsoku w:val="0"/>
        <w:overflowPunct w:val="0"/>
        <w:autoSpaceDE w:val="0"/>
        <w:autoSpaceDN w:val="0"/>
        <w:adjustRightInd w:val="0"/>
        <w:snapToGrid w:val="0"/>
        <w:spacing w:after="60"/>
        <w:ind w:left="2127"/>
        <w:rPr>
          <w:lang w:val="de-DE"/>
        </w:rPr>
      </w:pPr>
      <w:r w:rsidRPr="00AD6C7D">
        <w:rPr>
          <w:lang w:val="de-DE"/>
        </w:rPr>
        <w:t>die Vor- und Nachteile einer Änderung des Entgasungsverbots in dicht besiedelten Gebieten in den Absätzen 7.2.3.7.1.2 und 7.2.3.7.1.3 zu überprüfen;</w:t>
      </w:r>
    </w:p>
    <w:p w14:paraId="600E8CFD" w14:textId="11FA42FE" w:rsidR="00917B35" w:rsidRDefault="00460E5D" w:rsidP="005C3E5B">
      <w:pPr>
        <w:pStyle w:val="SingleTxtG"/>
        <w:numPr>
          <w:ilvl w:val="0"/>
          <w:numId w:val="16"/>
        </w:numPr>
        <w:kinsoku w:val="0"/>
        <w:overflowPunct w:val="0"/>
        <w:autoSpaceDE w:val="0"/>
        <w:autoSpaceDN w:val="0"/>
        <w:adjustRightInd w:val="0"/>
        <w:snapToGrid w:val="0"/>
        <w:spacing w:after="60"/>
        <w:ind w:left="2127"/>
        <w:rPr>
          <w:lang w:val="de-DE"/>
        </w:rPr>
      </w:pPr>
      <w:r w:rsidRPr="00AD6C7D">
        <w:rPr>
          <w:lang w:val="de-DE"/>
        </w:rPr>
        <w:t>die Vorgeschichte der Anforderungen im letzten Absatz der Absätze 7.2.3.7.1.2 und 7.2.3.7.1.3 zu überprüfen;</w:t>
      </w:r>
    </w:p>
    <w:p w14:paraId="48E8C458" w14:textId="77777777" w:rsidR="00917B35" w:rsidRDefault="00917B35">
      <w:pPr>
        <w:suppressAutoHyphens w:val="0"/>
        <w:spacing w:after="200" w:line="276" w:lineRule="auto"/>
        <w:rPr>
          <w:rFonts w:eastAsia="SimSun"/>
          <w:lang w:val="de-DE" w:eastAsia="zh-CN"/>
        </w:rPr>
      </w:pPr>
      <w:r>
        <w:rPr>
          <w:lang w:val="de-DE"/>
        </w:rPr>
        <w:br w:type="page"/>
      </w:r>
    </w:p>
    <w:p w14:paraId="0512CD15" w14:textId="2832EE03" w:rsidR="00460E5D" w:rsidRPr="00AD6C7D" w:rsidRDefault="00460E5D" w:rsidP="005C3E5B">
      <w:pPr>
        <w:pStyle w:val="SingleTxtG"/>
        <w:numPr>
          <w:ilvl w:val="0"/>
          <w:numId w:val="16"/>
        </w:numPr>
        <w:kinsoku w:val="0"/>
        <w:overflowPunct w:val="0"/>
        <w:autoSpaceDE w:val="0"/>
        <w:autoSpaceDN w:val="0"/>
        <w:adjustRightInd w:val="0"/>
        <w:snapToGrid w:val="0"/>
        <w:spacing w:after="60"/>
        <w:ind w:left="2127"/>
        <w:rPr>
          <w:lang w:val="de-DE"/>
        </w:rPr>
      </w:pPr>
      <w:r w:rsidRPr="00AD6C7D">
        <w:rPr>
          <w:lang w:val="de-DE"/>
        </w:rPr>
        <w:lastRenderedPageBreak/>
        <w:t>zu prüfen, ob es Vorschriften über betriebliche Emissionen bei der Beförderung gefährlicher Güter auf Binnenwasserstraßen gibt, sei es in Ländern, die Vertragsparteien des CDNI-Übereinkommens sind, oder in anderen Ländern, die Vertragsparteien des ADN sind;</w:t>
      </w:r>
    </w:p>
    <w:p w14:paraId="4CFDF0EC" w14:textId="5CCC2BAA" w:rsidR="00460E5D" w:rsidRPr="00AD6C7D" w:rsidRDefault="00460E5D" w:rsidP="005C3E5B">
      <w:pPr>
        <w:pStyle w:val="SingleTxtG"/>
        <w:numPr>
          <w:ilvl w:val="0"/>
          <w:numId w:val="16"/>
        </w:numPr>
        <w:kinsoku w:val="0"/>
        <w:overflowPunct w:val="0"/>
        <w:autoSpaceDE w:val="0"/>
        <w:autoSpaceDN w:val="0"/>
        <w:adjustRightInd w:val="0"/>
        <w:snapToGrid w:val="0"/>
        <w:spacing w:after="60"/>
        <w:ind w:left="2127"/>
        <w:rPr>
          <w:lang w:val="de-DE"/>
        </w:rPr>
      </w:pPr>
      <w:r w:rsidRPr="00AD6C7D">
        <w:rPr>
          <w:lang w:val="de-DE"/>
        </w:rPr>
        <w:t>Änderungen vorzuschlagen, falls eine Überarbeitung der Anforderungen in den Absätzen 7.2.3.7.1.2 und 7.2.3.7.1.3 erforderlich ist;</w:t>
      </w:r>
    </w:p>
    <w:p w14:paraId="55FC2EFC" w14:textId="38DF2A90" w:rsidR="00460E5D" w:rsidRPr="00AD6C7D" w:rsidRDefault="00460E5D" w:rsidP="005C3E5B">
      <w:pPr>
        <w:pStyle w:val="SingleTxtG"/>
        <w:numPr>
          <w:ilvl w:val="0"/>
          <w:numId w:val="16"/>
        </w:numPr>
        <w:kinsoku w:val="0"/>
        <w:overflowPunct w:val="0"/>
        <w:autoSpaceDE w:val="0"/>
        <w:autoSpaceDN w:val="0"/>
        <w:adjustRightInd w:val="0"/>
        <w:snapToGrid w:val="0"/>
        <w:spacing w:after="60"/>
        <w:ind w:left="2127"/>
        <w:rPr>
          <w:lang w:val="de-DE"/>
        </w:rPr>
      </w:pPr>
      <w:r w:rsidRPr="00AD6C7D">
        <w:rPr>
          <w:lang w:val="de-DE"/>
        </w:rPr>
        <w:t>über die Ergebnisse der informellen Arbeitsgruppe auf der 36. Sitzung des ADN-Sicherheitsausschusses im Januar 2020 zu berichten.“</w:t>
      </w:r>
    </w:p>
    <w:p w14:paraId="7A783EC4" w14:textId="22223A44" w:rsidR="00925F82" w:rsidRPr="00AD6C7D" w:rsidRDefault="00925F82" w:rsidP="00460E5D">
      <w:pPr>
        <w:pStyle w:val="SingleTxtG"/>
        <w:rPr>
          <w:lang w:val="de-DE"/>
        </w:rPr>
      </w:pPr>
      <w:r w:rsidRPr="00AD6C7D">
        <w:rPr>
          <w:lang w:val="de-DE"/>
        </w:rPr>
        <w:t>13.</w:t>
      </w:r>
      <w:r w:rsidRPr="00AD6C7D">
        <w:rPr>
          <w:lang w:val="de-DE"/>
        </w:rPr>
        <w:tab/>
      </w:r>
      <w:bookmarkEnd w:id="11"/>
      <w:r w:rsidR="00F157DB" w:rsidRPr="00AD6C7D">
        <w:rPr>
          <w:lang w:val="de-DE"/>
        </w:rPr>
        <w:t>Der Sicherheitsausschuss stellte fest, dass die erste Sitzung der informellen Arbeitsgruppe für den 20. und 21. November 2019 in Antwerpen geplant ist.</w:t>
      </w:r>
    </w:p>
    <w:p w14:paraId="720CDCC9" w14:textId="2A622D8F" w:rsidR="00925F82" w:rsidRPr="00AD6C7D" w:rsidRDefault="00925F82" w:rsidP="005C3E5B">
      <w:pPr>
        <w:pStyle w:val="H1G"/>
        <w:spacing w:before="240"/>
        <w:ind w:right="992"/>
        <w:rPr>
          <w:sz w:val="20"/>
          <w:lang w:val="de-DE"/>
        </w:rPr>
      </w:pPr>
      <w:r w:rsidRPr="00AD6C7D">
        <w:rPr>
          <w:sz w:val="20"/>
          <w:lang w:val="de-DE"/>
        </w:rPr>
        <w:tab/>
        <w:t>2.</w:t>
      </w:r>
      <w:r w:rsidRPr="00AD6C7D">
        <w:rPr>
          <w:sz w:val="20"/>
          <w:lang w:val="de-DE"/>
        </w:rPr>
        <w:tab/>
      </w:r>
      <w:r w:rsidR="00471C86" w:rsidRPr="00AD6C7D">
        <w:rPr>
          <w:sz w:val="20"/>
          <w:lang w:val="de-DE"/>
        </w:rPr>
        <w:t>Lade- und Löschraten</w:t>
      </w:r>
    </w:p>
    <w:p w14:paraId="727F0753" w14:textId="035C85D6" w:rsidR="00925F82" w:rsidRPr="00AD6C7D" w:rsidRDefault="00925F82" w:rsidP="005C3E5B">
      <w:pPr>
        <w:pStyle w:val="H23G"/>
        <w:tabs>
          <w:tab w:val="left" w:pos="1134"/>
          <w:tab w:val="left" w:pos="3402"/>
        </w:tabs>
        <w:spacing w:before="0"/>
        <w:ind w:left="3402" w:hanging="3402"/>
        <w:rPr>
          <w:b w:val="0"/>
          <w:bCs/>
          <w:lang w:val="de-DE"/>
        </w:rPr>
      </w:pPr>
      <w:r w:rsidRPr="00AD6C7D">
        <w:rPr>
          <w:b w:val="0"/>
          <w:bCs/>
          <w:i/>
          <w:iCs/>
          <w:lang w:val="de-DE"/>
        </w:rPr>
        <w:tab/>
      </w:r>
      <w:r w:rsidRPr="00AD6C7D">
        <w:rPr>
          <w:b w:val="0"/>
          <w:bCs/>
          <w:i/>
          <w:iCs/>
          <w:lang w:val="de-DE"/>
        </w:rPr>
        <w:tab/>
      </w:r>
      <w:r w:rsidR="007540AC" w:rsidRPr="00AD6C7D">
        <w:rPr>
          <w:b w:val="0"/>
          <w:bCs/>
          <w:i/>
          <w:iCs/>
          <w:lang w:val="de-DE"/>
        </w:rPr>
        <w:t>Informelles Dokument</w:t>
      </w:r>
      <w:r w:rsidRPr="00AD6C7D">
        <w:rPr>
          <w:b w:val="0"/>
          <w:bCs/>
          <w:lang w:val="de-DE"/>
        </w:rPr>
        <w:t>:</w:t>
      </w:r>
      <w:r w:rsidRPr="00AD6C7D">
        <w:rPr>
          <w:b w:val="0"/>
          <w:bCs/>
          <w:lang w:val="de-DE"/>
        </w:rPr>
        <w:tab/>
        <w:t>INF.9 (</w:t>
      </w:r>
      <w:r w:rsidR="007540AC" w:rsidRPr="00AD6C7D">
        <w:rPr>
          <w:b w:val="0"/>
          <w:bCs/>
          <w:lang w:val="de-DE"/>
        </w:rPr>
        <w:t>Niederlande</w:t>
      </w:r>
      <w:r w:rsidRPr="00AD6C7D">
        <w:rPr>
          <w:b w:val="0"/>
          <w:bCs/>
          <w:lang w:val="de-DE"/>
        </w:rPr>
        <w:t>)</w:t>
      </w:r>
    </w:p>
    <w:p w14:paraId="0E48E22F" w14:textId="0848193A" w:rsidR="00925F82" w:rsidRPr="00AD6C7D" w:rsidRDefault="00925F82" w:rsidP="009839FD">
      <w:pPr>
        <w:pStyle w:val="SingleTxtG"/>
        <w:rPr>
          <w:lang w:val="de-DE"/>
        </w:rPr>
      </w:pPr>
      <w:r w:rsidRPr="00AD6C7D">
        <w:rPr>
          <w:lang w:val="de-DE"/>
        </w:rPr>
        <w:t>14.</w:t>
      </w:r>
      <w:r w:rsidRPr="00AD6C7D">
        <w:rPr>
          <w:lang w:val="de-DE"/>
        </w:rPr>
        <w:tab/>
      </w:r>
      <w:r w:rsidR="00AB5EC0" w:rsidRPr="00AD6C7D">
        <w:rPr>
          <w:lang w:val="de-DE"/>
        </w:rPr>
        <w:t>Der Sicherheitsausschuss dankte den Vertretern der Niederlande und der EBU für die Informationen und dafür, dass sie dieses Thema zur Diskussion gestellt haben.</w:t>
      </w:r>
      <w:r w:rsidRPr="00AD6C7D">
        <w:rPr>
          <w:lang w:val="de-DE"/>
        </w:rPr>
        <w:t xml:space="preserve"> </w:t>
      </w:r>
      <w:r w:rsidR="00AB5EC0" w:rsidRPr="00AD6C7D">
        <w:rPr>
          <w:lang w:val="de-DE"/>
        </w:rPr>
        <w:t>Es wurde vereinbart, die in dem informellen Dokument genannten Fragen in Bezug auf fehlende Bestimmungen im ADN als Ausgangspunkt für einen späteren Vorschlag zur Harmonisierung der Lade-/</w:t>
      </w:r>
      <w:r w:rsidR="00CC6252" w:rsidRPr="00AD6C7D">
        <w:rPr>
          <w:lang w:val="de-DE"/>
        </w:rPr>
        <w:t>Lösch</w:t>
      </w:r>
      <w:r w:rsidR="00AB5EC0" w:rsidRPr="00AD6C7D">
        <w:rPr>
          <w:lang w:val="de-DE"/>
        </w:rPr>
        <w:t>verfahren zu nehmen.</w:t>
      </w:r>
      <w:r w:rsidRPr="00AD6C7D">
        <w:rPr>
          <w:lang w:val="de-DE"/>
        </w:rPr>
        <w:t xml:space="preserve"> </w:t>
      </w:r>
      <w:r w:rsidR="00CC6252" w:rsidRPr="00AD6C7D">
        <w:rPr>
          <w:lang w:val="de-DE"/>
        </w:rPr>
        <w:t xml:space="preserve">Er begrüßte die Initiative der Niederlande, </w:t>
      </w:r>
      <w:r w:rsidR="009839FD" w:rsidRPr="00AD6C7D">
        <w:rPr>
          <w:lang w:val="de-DE"/>
        </w:rPr>
        <w:t>für die</w:t>
      </w:r>
      <w:r w:rsidR="00CC6252" w:rsidRPr="00AD6C7D">
        <w:rPr>
          <w:lang w:val="de-DE"/>
        </w:rPr>
        <w:t xml:space="preserve"> Lade- und Lösch</w:t>
      </w:r>
      <w:r w:rsidR="00460E5D" w:rsidRPr="00AD6C7D">
        <w:rPr>
          <w:lang w:val="de-DE"/>
        </w:rPr>
        <w:t>instruktion</w:t>
      </w:r>
      <w:r w:rsidR="00CC6252" w:rsidRPr="00AD6C7D">
        <w:rPr>
          <w:lang w:val="de-DE"/>
        </w:rPr>
        <w:t xml:space="preserve">en </w:t>
      </w:r>
      <w:r w:rsidR="009839FD" w:rsidRPr="00AD6C7D">
        <w:rPr>
          <w:lang w:val="de-DE"/>
        </w:rPr>
        <w:t xml:space="preserve">ein allgemeines Format </w:t>
      </w:r>
      <w:r w:rsidR="00CC6252" w:rsidRPr="00AD6C7D">
        <w:rPr>
          <w:lang w:val="de-DE"/>
        </w:rPr>
        <w:t xml:space="preserve">mit </w:t>
      </w:r>
      <w:r w:rsidR="00460E5D" w:rsidRPr="00AD6C7D">
        <w:rPr>
          <w:lang w:val="de-DE"/>
        </w:rPr>
        <w:t xml:space="preserve">den </w:t>
      </w:r>
      <w:r w:rsidR="00CC6252" w:rsidRPr="00AD6C7D">
        <w:rPr>
          <w:lang w:val="de-DE"/>
        </w:rPr>
        <w:t>zulässigen Lade- und Lösch</w:t>
      </w:r>
      <w:r w:rsidR="00460E5D" w:rsidRPr="00AD6C7D">
        <w:rPr>
          <w:lang w:val="de-DE"/>
        </w:rPr>
        <w:t>rat</w:t>
      </w:r>
      <w:r w:rsidR="00CC6252" w:rsidRPr="00AD6C7D">
        <w:rPr>
          <w:lang w:val="de-DE"/>
        </w:rPr>
        <w:t xml:space="preserve">en zu entwickeln, </w:t>
      </w:r>
      <w:r w:rsidR="00F6124F" w:rsidRPr="00AD6C7D">
        <w:rPr>
          <w:lang w:val="de-DE"/>
        </w:rPr>
        <w:t xml:space="preserve">dies </w:t>
      </w:r>
      <w:r w:rsidR="00CC6252" w:rsidRPr="00AD6C7D">
        <w:rPr>
          <w:lang w:val="de-DE"/>
        </w:rPr>
        <w:t xml:space="preserve">unter Berücksichtigung der </w:t>
      </w:r>
      <w:r w:rsidR="0079498A" w:rsidRPr="00AD6C7D">
        <w:rPr>
          <w:lang w:val="de-DE"/>
        </w:rPr>
        <w:t>Sc</w:t>
      </w:r>
      <w:r w:rsidR="00CC6252" w:rsidRPr="00AD6C7D">
        <w:rPr>
          <w:lang w:val="de-DE"/>
        </w:rPr>
        <w:t>hiffs</w:t>
      </w:r>
      <w:r w:rsidR="0079498A" w:rsidRPr="00AD6C7D">
        <w:rPr>
          <w:lang w:val="de-DE"/>
        </w:rPr>
        <w:t>zusammenstellung</w:t>
      </w:r>
      <w:r w:rsidR="00CC6252" w:rsidRPr="00AD6C7D">
        <w:rPr>
          <w:lang w:val="de-DE"/>
        </w:rPr>
        <w:t xml:space="preserve"> sowie de</w:t>
      </w:r>
      <w:r w:rsidR="0079498A" w:rsidRPr="00AD6C7D">
        <w:rPr>
          <w:lang w:val="de-DE"/>
        </w:rPr>
        <w:t>r</w:t>
      </w:r>
      <w:r w:rsidR="00CC6252" w:rsidRPr="00AD6C7D">
        <w:rPr>
          <w:lang w:val="de-DE"/>
        </w:rPr>
        <w:t xml:space="preserve"> Stoffeigenschaften.</w:t>
      </w:r>
      <w:r w:rsidRPr="00AD6C7D">
        <w:rPr>
          <w:lang w:val="de-DE"/>
        </w:rPr>
        <w:t xml:space="preserve"> </w:t>
      </w:r>
    </w:p>
    <w:p w14:paraId="1D19CF43" w14:textId="4C6F2CC9" w:rsidR="00925F82" w:rsidRPr="00AD6C7D" w:rsidRDefault="00925F82" w:rsidP="00E24EDA">
      <w:pPr>
        <w:pStyle w:val="SingleTxtG"/>
        <w:rPr>
          <w:lang w:val="de-DE"/>
        </w:rPr>
      </w:pPr>
      <w:r w:rsidRPr="00AD6C7D">
        <w:rPr>
          <w:lang w:val="de-DE"/>
        </w:rPr>
        <w:t>15.</w:t>
      </w:r>
      <w:r w:rsidRPr="00AD6C7D">
        <w:rPr>
          <w:lang w:val="de-DE"/>
        </w:rPr>
        <w:tab/>
      </w:r>
      <w:r w:rsidR="00F6124F" w:rsidRPr="00AD6C7D">
        <w:rPr>
          <w:lang w:val="de-DE"/>
        </w:rPr>
        <w:t xml:space="preserve">Der Sicherheitsausschuss nahm einige Bemerkungen zur praktischen Anwendung der bestehenden Vorschriften der Kapitel 7 und 9 sowie des einheitlichen Formats des Datenblatts für Lade- und Löschvorgänge zur </w:t>
      </w:r>
      <w:r w:rsidR="00CA01B0" w:rsidRPr="00AD6C7D">
        <w:rPr>
          <w:lang w:val="de-DE"/>
        </w:rPr>
        <w:t>Erleichterung der Kommunikation zwischen Terminal</w:t>
      </w:r>
      <w:r w:rsidR="00774E67" w:rsidRPr="00AD6C7D">
        <w:rPr>
          <w:lang w:val="de-DE"/>
        </w:rPr>
        <w:t>s</w:t>
      </w:r>
      <w:r w:rsidR="00CA01B0" w:rsidRPr="00AD6C7D">
        <w:rPr>
          <w:lang w:val="de-DE"/>
        </w:rPr>
        <w:t xml:space="preserve"> und Binnenschiff</w:t>
      </w:r>
      <w:r w:rsidR="00774E67" w:rsidRPr="00AD6C7D">
        <w:rPr>
          <w:lang w:val="de-DE"/>
        </w:rPr>
        <w:t>er</w:t>
      </w:r>
      <w:r w:rsidR="00CA01B0" w:rsidRPr="00AD6C7D">
        <w:rPr>
          <w:lang w:val="de-DE"/>
        </w:rPr>
        <w:t xml:space="preserve">n zur </w:t>
      </w:r>
      <w:r w:rsidR="00F6124F" w:rsidRPr="00AD6C7D">
        <w:rPr>
          <w:lang w:val="de-DE"/>
        </w:rPr>
        <w:t>Kenntnis.</w:t>
      </w:r>
      <w:r w:rsidRPr="00AD6C7D">
        <w:rPr>
          <w:lang w:val="de-DE"/>
        </w:rPr>
        <w:t xml:space="preserve"> </w:t>
      </w:r>
      <w:r w:rsidR="004E1FD7" w:rsidRPr="00AD6C7D">
        <w:rPr>
          <w:lang w:val="de-DE"/>
        </w:rPr>
        <w:t>Er stellte Klärungsbedarf fest hinsichtlich</w:t>
      </w:r>
      <w:r w:rsidRPr="00AD6C7D">
        <w:rPr>
          <w:lang w:val="de-DE"/>
        </w:rPr>
        <w:t xml:space="preserve"> </w:t>
      </w:r>
      <w:r w:rsidR="004E1FD7" w:rsidRPr="00AD6C7D">
        <w:rPr>
          <w:lang w:val="de-DE"/>
        </w:rPr>
        <w:t xml:space="preserve">(i) der Bestimmung der Ladegeschwindigkeit und Dampfdichte, </w:t>
      </w:r>
      <w:r w:rsidR="00774E67" w:rsidRPr="00AD6C7D">
        <w:rPr>
          <w:lang w:val="de-DE"/>
        </w:rPr>
        <w:t>(</w:t>
      </w:r>
      <w:r w:rsidR="004E1FD7" w:rsidRPr="00AD6C7D">
        <w:rPr>
          <w:lang w:val="de-DE"/>
        </w:rPr>
        <w:t xml:space="preserve">ii) der Verantwortlichkeiten für die Bereitstellung des Datenblatts und </w:t>
      </w:r>
      <w:r w:rsidR="00774E67" w:rsidRPr="00AD6C7D">
        <w:rPr>
          <w:lang w:val="de-DE"/>
        </w:rPr>
        <w:t>(</w:t>
      </w:r>
      <w:r w:rsidR="004E1FD7" w:rsidRPr="00AD6C7D">
        <w:rPr>
          <w:lang w:val="de-DE"/>
        </w:rPr>
        <w:t>iii) der in das ADN aufzunehmenden Definitionen und Bestimmungen.</w:t>
      </w:r>
    </w:p>
    <w:p w14:paraId="0230FAEF" w14:textId="5B3DB994" w:rsidR="00925F82" w:rsidRPr="00AD6C7D" w:rsidRDefault="00925F82" w:rsidP="00E24EDA">
      <w:pPr>
        <w:pStyle w:val="SingleTxtG"/>
        <w:rPr>
          <w:lang w:val="de-DE"/>
        </w:rPr>
      </w:pPr>
      <w:r w:rsidRPr="00AD6C7D">
        <w:rPr>
          <w:lang w:val="de-DE"/>
        </w:rPr>
        <w:t>16.</w:t>
      </w:r>
      <w:r w:rsidRPr="00AD6C7D">
        <w:rPr>
          <w:lang w:val="de-DE"/>
        </w:rPr>
        <w:tab/>
      </w:r>
      <w:r w:rsidR="00457F10" w:rsidRPr="00AD6C7D">
        <w:rPr>
          <w:lang w:val="de-DE"/>
        </w:rPr>
        <w:t>Der Sicherheitsausschuss begrüßte den Vorschlag der niederländischen Vertreter und der EBU, unter Berücksichtigung der eingegangenen Bemerkungen einen Vorschlag auszuarbeiten, der auf einer der nächsten Sitzungen geprüft werden soll.</w:t>
      </w:r>
    </w:p>
    <w:p w14:paraId="2C176224" w14:textId="56F9F462" w:rsidR="00925F82" w:rsidRPr="00AD6C7D" w:rsidRDefault="00925F82" w:rsidP="005C3E5B">
      <w:pPr>
        <w:pStyle w:val="H1G"/>
        <w:spacing w:before="120" w:after="120"/>
        <w:ind w:right="992"/>
        <w:rPr>
          <w:sz w:val="20"/>
          <w:lang w:val="de-DE"/>
        </w:rPr>
      </w:pPr>
      <w:r w:rsidRPr="00AD6C7D">
        <w:rPr>
          <w:sz w:val="20"/>
          <w:lang w:val="de-DE"/>
        </w:rPr>
        <w:tab/>
        <w:t>3.</w:t>
      </w:r>
      <w:r w:rsidRPr="00AD6C7D">
        <w:rPr>
          <w:sz w:val="20"/>
          <w:lang w:val="de-DE"/>
        </w:rPr>
        <w:tab/>
      </w:r>
      <w:r w:rsidR="00457F10" w:rsidRPr="00AD6C7D">
        <w:rPr>
          <w:sz w:val="20"/>
          <w:lang w:val="de-DE"/>
        </w:rPr>
        <w:t>Umweltgefährdende Stoffe mit einem Flammpunkt über 60°C bis höchstens 100°C, die der UN-Nummer 3082 oder der Stoffnummer 9003 zugeordnet sind</w:t>
      </w:r>
    </w:p>
    <w:p w14:paraId="181CC537" w14:textId="49D9F1A2" w:rsidR="00925F82" w:rsidRPr="00AD6C7D" w:rsidRDefault="00925F82" w:rsidP="005C3E5B">
      <w:pPr>
        <w:pStyle w:val="H23G"/>
        <w:tabs>
          <w:tab w:val="left" w:pos="1134"/>
          <w:tab w:val="left" w:pos="3402"/>
        </w:tabs>
        <w:spacing w:before="120"/>
        <w:ind w:left="3402" w:hanging="3402"/>
        <w:rPr>
          <w:b w:val="0"/>
          <w:bCs/>
          <w:lang w:val="de-DE"/>
        </w:rPr>
      </w:pPr>
      <w:r w:rsidRPr="00AD6C7D">
        <w:rPr>
          <w:b w:val="0"/>
          <w:bCs/>
          <w:i/>
          <w:iCs/>
          <w:lang w:val="de-DE"/>
        </w:rPr>
        <w:tab/>
      </w:r>
      <w:r w:rsidRPr="00AD6C7D">
        <w:rPr>
          <w:b w:val="0"/>
          <w:bCs/>
          <w:i/>
          <w:iCs/>
          <w:lang w:val="de-DE"/>
        </w:rPr>
        <w:tab/>
        <w:t>Do</w:t>
      </w:r>
      <w:r w:rsidR="007540AC" w:rsidRPr="00AD6C7D">
        <w:rPr>
          <w:b w:val="0"/>
          <w:bCs/>
          <w:i/>
          <w:iCs/>
          <w:lang w:val="de-DE"/>
        </w:rPr>
        <w:t>k</w:t>
      </w:r>
      <w:r w:rsidRPr="00AD6C7D">
        <w:rPr>
          <w:b w:val="0"/>
          <w:bCs/>
          <w:i/>
          <w:iCs/>
          <w:lang w:val="de-DE"/>
        </w:rPr>
        <w:t>ument</w:t>
      </w:r>
      <w:r w:rsidRPr="00AD6C7D">
        <w:rPr>
          <w:b w:val="0"/>
          <w:bCs/>
          <w:lang w:val="de-DE"/>
        </w:rPr>
        <w:t>:</w:t>
      </w:r>
      <w:r w:rsidRPr="00AD6C7D">
        <w:rPr>
          <w:b w:val="0"/>
          <w:bCs/>
          <w:lang w:val="de-DE"/>
        </w:rPr>
        <w:tab/>
        <w:t>ECE/TRANS/WP.15/AC.2/2019/34 (CEFIC)</w:t>
      </w:r>
    </w:p>
    <w:p w14:paraId="22C69A10" w14:textId="59FDE20E" w:rsidR="00925F82" w:rsidRPr="00AD6C7D" w:rsidRDefault="00925F82" w:rsidP="000E06B9">
      <w:pPr>
        <w:pStyle w:val="SingleTxtG"/>
        <w:rPr>
          <w:lang w:val="de-DE"/>
        </w:rPr>
      </w:pPr>
      <w:r w:rsidRPr="00AD6C7D">
        <w:rPr>
          <w:lang w:val="de-DE"/>
        </w:rPr>
        <w:t>17.</w:t>
      </w:r>
      <w:r w:rsidRPr="00AD6C7D">
        <w:rPr>
          <w:lang w:val="de-DE"/>
        </w:rPr>
        <w:tab/>
      </w:r>
      <w:r w:rsidR="00457F10" w:rsidRPr="00AD6C7D">
        <w:rPr>
          <w:lang w:val="de-DE"/>
        </w:rPr>
        <w:t>Der Sicherheitsausschuss nahm den Vorschlag des CEFIC bezüglich geeigneter Klassifizierungskriterien für umweltgefährdende Stoffe mit einem Flammpunkt über 60 ºC bis höchstens 100 ºC zur Kenntnis.</w:t>
      </w:r>
      <w:r w:rsidRPr="00AD6C7D">
        <w:rPr>
          <w:lang w:val="de-DE"/>
        </w:rPr>
        <w:t xml:space="preserve"> </w:t>
      </w:r>
      <w:r w:rsidR="009810A7" w:rsidRPr="00AD6C7D">
        <w:rPr>
          <w:lang w:val="de-DE"/>
        </w:rPr>
        <w:t>Es wurde vereinbart, das Thema an die informelle Arbeitsgruppe „Stoffe“ zu verweisen.</w:t>
      </w:r>
      <w:r w:rsidRPr="00AD6C7D">
        <w:rPr>
          <w:lang w:val="de-DE"/>
        </w:rPr>
        <w:t xml:space="preserve"> </w:t>
      </w:r>
      <w:r w:rsidR="009810A7" w:rsidRPr="00AD6C7D">
        <w:rPr>
          <w:lang w:val="de-DE"/>
        </w:rPr>
        <w:t>Der Vorsitzende der informellen Arbeitsgruppe erklärte, dass dieses Thema in der Gruppe weiter diskutiert werden müsse und auf einer der nächsten Sitzungen ein konkreter Vorschlag vorgelegt werden solle.</w:t>
      </w:r>
    </w:p>
    <w:p w14:paraId="38110B70" w14:textId="6DD723DC" w:rsidR="00925F82" w:rsidRPr="00AD6C7D" w:rsidRDefault="00925F82" w:rsidP="005C3E5B">
      <w:pPr>
        <w:pStyle w:val="H1G"/>
        <w:spacing w:before="240"/>
        <w:ind w:right="992"/>
        <w:rPr>
          <w:sz w:val="20"/>
          <w:lang w:val="de-DE"/>
        </w:rPr>
      </w:pPr>
      <w:r w:rsidRPr="00AD6C7D">
        <w:rPr>
          <w:sz w:val="20"/>
          <w:lang w:val="de-DE"/>
        </w:rPr>
        <w:tab/>
        <w:t>4.</w:t>
      </w:r>
      <w:r w:rsidRPr="00AD6C7D">
        <w:rPr>
          <w:sz w:val="20"/>
          <w:lang w:val="de-DE"/>
        </w:rPr>
        <w:tab/>
      </w:r>
      <w:r w:rsidR="009810A7" w:rsidRPr="00AD6C7D">
        <w:rPr>
          <w:sz w:val="20"/>
          <w:lang w:val="de-DE"/>
        </w:rPr>
        <w:t>Entgasen von Tankschiffen</w:t>
      </w:r>
    </w:p>
    <w:p w14:paraId="00F0A74D" w14:textId="5C80E85C" w:rsidR="00925F82" w:rsidRPr="00AD6C7D" w:rsidRDefault="00925F82" w:rsidP="00925F82">
      <w:pPr>
        <w:pStyle w:val="H23G"/>
        <w:tabs>
          <w:tab w:val="left" w:pos="1134"/>
          <w:tab w:val="left" w:pos="3402"/>
        </w:tabs>
        <w:ind w:left="3402" w:hanging="3402"/>
        <w:rPr>
          <w:b w:val="0"/>
          <w:bCs/>
          <w:lang w:val="de-DE"/>
        </w:rPr>
      </w:pPr>
      <w:r w:rsidRPr="00AD6C7D">
        <w:rPr>
          <w:b w:val="0"/>
          <w:bCs/>
          <w:i/>
          <w:iCs/>
          <w:lang w:val="de-DE"/>
        </w:rPr>
        <w:tab/>
      </w:r>
      <w:r w:rsidRPr="00AD6C7D">
        <w:rPr>
          <w:b w:val="0"/>
          <w:bCs/>
          <w:i/>
          <w:iCs/>
          <w:lang w:val="de-DE"/>
        </w:rPr>
        <w:tab/>
      </w:r>
      <w:r w:rsidR="007540AC" w:rsidRPr="00AD6C7D">
        <w:rPr>
          <w:b w:val="0"/>
          <w:bCs/>
          <w:i/>
          <w:iCs/>
          <w:lang w:val="de-DE"/>
        </w:rPr>
        <w:t>Informelles Dokument</w:t>
      </w:r>
      <w:r w:rsidRPr="00AD6C7D">
        <w:rPr>
          <w:b w:val="0"/>
          <w:bCs/>
          <w:lang w:val="de-DE"/>
        </w:rPr>
        <w:t>:</w:t>
      </w:r>
      <w:r w:rsidRPr="00AD6C7D">
        <w:rPr>
          <w:b w:val="0"/>
          <w:bCs/>
          <w:lang w:val="de-DE"/>
        </w:rPr>
        <w:tab/>
        <w:t xml:space="preserve">INF.2 </w:t>
      </w:r>
      <w:r w:rsidR="007540AC" w:rsidRPr="00AD6C7D">
        <w:rPr>
          <w:b w:val="0"/>
          <w:bCs/>
          <w:lang w:val="de-DE"/>
        </w:rPr>
        <w:t>(Deutschland)</w:t>
      </w:r>
    </w:p>
    <w:p w14:paraId="2B4EDFC2" w14:textId="7970216C" w:rsidR="00925F82" w:rsidRPr="00AD6C7D" w:rsidRDefault="00925F82" w:rsidP="00C06212">
      <w:pPr>
        <w:pStyle w:val="SingleTxtG"/>
        <w:rPr>
          <w:lang w:val="de-DE"/>
        </w:rPr>
      </w:pPr>
      <w:r w:rsidRPr="00AD6C7D">
        <w:rPr>
          <w:lang w:val="de-DE"/>
        </w:rPr>
        <w:t>18.</w:t>
      </w:r>
      <w:r w:rsidRPr="00AD6C7D">
        <w:rPr>
          <w:lang w:val="de-DE"/>
        </w:rPr>
        <w:tab/>
      </w:r>
      <w:r w:rsidR="00A6012C" w:rsidRPr="00AD6C7D">
        <w:rPr>
          <w:lang w:val="de-DE"/>
        </w:rPr>
        <w:t>Nachdem klargestellt wurde, dass das im informellen Dokument beschriebene Problem allgemeiner Natur ist, unterstützten mehrere Delegationen die von Deutschland in Absatz 5 des Dokuments vorgelegte Auslegung.</w:t>
      </w:r>
      <w:r w:rsidRPr="00AD6C7D">
        <w:rPr>
          <w:lang w:val="de-DE"/>
        </w:rPr>
        <w:t xml:space="preserve"> </w:t>
      </w:r>
      <w:r w:rsidR="00A6012C" w:rsidRPr="00AD6C7D">
        <w:rPr>
          <w:lang w:val="de-DE"/>
        </w:rPr>
        <w:t>Es wurde festgestellt, dass die Bestimmungen des Absatzes 7.2.5.0.1 durch zusätzliche Bedingungen für die Entfernung der blauen Lichter/blauen Kegel ergänzt werden müssen.</w:t>
      </w:r>
      <w:r w:rsidRPr="00AD6C7D">
        <w:rPr>
          <w:lang w:val="de-DE"/>
        </w:rPr>
        <w:t xml:space="preserve"> </w:t>
      </w:r>
      <w:r w:rsidR="00A6012C" w:rsidRPr="00AD6C7D">
        <w:rPr>
          <w:lang w:val="de-DE"/>
        </w:rPr>
        <w:t xml:space="preserve">Die EBU-Vertreter unterstrichen die Bedeutung der Kompatibilität </w:t>
      </w:r>
      <w:r w:rsidR="00965B0A" w:rsidRPr="00AD6C7D">
        <w:rPr>
          <w:lang w:val="de-DE"/>
        </w:rPr>
        <w:t>der</w:t>
      </w:r>
      <w:r w:rsidR="00B35908" w:rsidRPr="00AD6C7D">
        <w:rPr>
          <w:lang w:val="de-DE"/>
        </w:rPr>
        <w:t xml:space="preserve"> </w:t>
      </w:r>
      <w:r w:rsidR="00B65BED" w:rsidRPr="00AD6C7D">
        <w:rPr>
          <w:lang w:val="de-DE"/>
        </w:rPr>
        <w:t>Stoffe</w:t>
      </w:r>
      <w:r w:rsidR="00965B0A" w:rsidRPr="00AD6C7D">
        <w:rPr>
          <w:lang w:val="de-DE"/>
        </w:rPr>
        <w:t xml:space="preserve"> bei </w:t>
      </w:r>
      <w:r w:rsidR="000A5497" w:rsidRPr="00AD6C7D">
        <w:rPr>
          <w:lang w:val="de-DE"/>
        </w:rPr>
        <w:t>aufeinanderfolgend</w:t>
      </w:r>
      <w:r w:rsidR="00965B0A" w:rsidRPr="00AD6C7D">
        <w:rPr>
          <w:lang w:val="de-DE"/>
        </w:rPr>
        <w:t>en Ladu</w:t>
      </w:r>
      <w:r w:rsidR="00A6012C" w:rsidRPr="00AD6C7D">
        <w:rPr>
          <w:lang w:val="de-DE"/>
        </w:rPr>
        <w:t>n</w:t>
      </w:r>
      <w:r w:rsidR="00965B0A" w:rsidRPr="00AD6C7D">
        <w:rPr>
          <w:lang w:val="de-DE"/>
        </w:rPr>
        <w:t>gen</w:t>
      </w:r>
      <w:r w:rsidR="00A6012C" w:rsidRPr="00AD6C7D">
        <w:rPr>
          <w:lang w:val="de-DE"/>
        </w:rPr>
        <w:t xml:space="preserve"> </w:t>
      </w:r>
      <w:r w:rsidR="00965B0A" w:rsidRPr="00AD6C7D">
        <w:rPr>
          <w:lang w:val="de-DE"/>
        </w:rPr>
        <w:t xml:space="preserve">in </w:t>
      </w:r>
      <w:r w:rsidR="00A6012C" w:rsidRPr="00AD6C7D">
        <w:rPr>
          <w:lang w:val="de-DE"/>
        </w:rPr>
        <w:t>Ladetanks.</w:t>
      </w:r>
      <w:r w:rsidRPr="00AD6C7D">
        <w:rPr>
          <w:lang w:val="de-DE"/>
        </w:rPr>
        <w:t xml:space="preserve"> </w:t>
      </w:r>
      <w:r w:rsidR="00A6012C" w:rsidRPr="00AD6C7D">
        <w:rPr>
          <w:lang w:val="de-DE"/>
        </w:rPr>
        <w:t xml:space="preserve">Der CEFIC-Vertreter fügte hinzu, dass </w:t>
      </w:r>
      <w:r w:rsidR="00A623B4" w:rsidRPr="00AD6C7D">
        <w:rPr>
          <w:lang w:val="de-DE"/>
        </w:rPr>
        <w:t>laut</w:t>
      </w:r>
      <w:r w:rsidR="00A6012C" w:rsidRPr="00AD6C7D">
        <w:rPr>
          <w:lang w:val="de-DE"/>
        </w:rPr>
        <w:t xml:space="preserve"> einer Richtlinie der chemischen Industrie für das Laden und Löschen von Schwefelsäure (UN-Nummern 1830 und 1831) die Vorgänge vom Verlader, Schiffsführer und Entlader koordiniert und dokumentiert werden müssen.</w:t>
      </w:r>
      <w:r w:rsidRPr="00AD6C7D">
        <w:rPr>
          <w:lang w:val="de-DE"/>
        </w:rPr>
        <w:t xml:space="preserve"> </w:t>
      </w:r>
      <w:r w:rsidR="00A623B4" w:rsidRPr="00AD6C7D">
        <w:rPr>
          <w:lang w:val="de-DE"/>
        </w:rPr>
        <w:t>Der Vertreter der Donaukommission informierte den Ausschuss über die geplante Anwe</w:t>
      </w:r>
      <w:r w:rsidR="000E06B9" w:rsidRPr="00AD6C7D">
        <w:rPr>
          <w:lang w:val="de-DE"/>
        </w:rPr>
        <w:t>n</w:t>
      </w:r>
      <w:r w:rsidR="00A623B4" w:rsidRPr="00AD6C7D">
        <w:rPr>
          <w:lang w:val="de-DE"/>
        </w:rPr>
        <w:t>dung des CDNI im Donauraum.</w:t>
      </w:r>
    </w:p>
    <w:p w14:paraId="0BEAE475" w14:textId="1AF00758" w:rsidR="00925F82" w:rsidRPr="00AD6C7D" w:rsidRDefault="00925F82" w:rsidP="00E641B3">
      <w:pPr>
        <w:pStyle w:val="SingleTxtG"/>
        <w:spacing w:line="240" w:lineRule="auto"/>
        <w:rPr>
          <w:lang w:val="de-DE"/>
        </w:rPr>
      </w:pPr>
      <w:r w:rsidRPr="00AD6C7D">
        <w:rPr>
          <w:lang w:val="de-DE"/>
        </w:rPr>
        <w:lastRenderedPageBreak/>
        <w:t>19.</w:t>
      </w:r>
      <w:r w:rsidRPr="00AD6C7D">
        <w:rPr>
          <w:lang w:val="de-DE"/>
        </w:rPr>
        <w:tab/>
      </w:r>
      <w:r w:rsidR="00A623B4" w:rsidRPr="00AD6C7D">
        <w:rPr>
          <w:lang w:val="de-DE"/>
        </w:rPr>
        <w:t>Ausgehend von dem Grundsatz, dass die überwiegende Gefahr für jeden einzelnen Stoff geprüft werden sollte, wurde festgestellt, dass für die Aufnahme von Bestimmungen in das ADN ein systematischer Ansatz gefunden werden sollte.</w:t>
      </w:r>
      <w:r w:rsidRPr="00AD6C7D">
        <w:rPr>
          <w:lang w:val="de-DE"/>
        </w:rPr>
        <w:t xml:space="preserve"> </w:t>
      </w:r>
      <w:r w:rsidR="00FA552E" w:rsidRPr="00AD6C7D">
        <w:rPr>
          <w:lang w:val="de-DE"/>
        </w:rPr>
        <w:t>Der Sicherheitsausschuss begrüßte die Absicht Deutschlands, auf einer weiteren Sitzung ein Konzeptpapier zu diesem Thema vorzulegen.</w:t>
      </w:r>
    </w:p>
    <w:p w14:paraId="4D4B065A" w14:textId="3082330D" w:rsidR="00925F82" w:rsidRPr="00AD6C7D" w:rsidRDefault="00925F82" w:rsidP="00E641B3">
      <w:pPr>
        <w:pStyle w:val="H1G"/>
        <w:spacing w:before="240" w:after="120" w:line="240" w:lineRule="auto"/>
        <w:ind w:right="992"/>
        <w:rPr>
          <w:sz w:val="20"/>
          <w:lang w:val="de-DE"/>
        </w:rPr>
      </w:pPr>
      <w:r w:rsidRPr="00AD6C7D">
        <w:rPr>
          <w:sz w:val="20"/>
          <w:lang w:val="de-DE"/>
        </w:rPr>
        <w:tab/>
        <w:t>5.</w:t>
      </w:r>
      <w:r w:rsidRPr="00AD6C7D">
        <w:rPr>
          <w:sz w:val="20"/>
          <w:lang w:val="de-DE"/>
        </w:rPr>
        <w:tab/>
      </w:r>
      <w:r w:rsidR="00FA552E" w:rsidRPr="00AD6C7D">
        <w:rPr>
          <w:sz w:val="20"/>
          <w:lang w:val="de-DE"/>
        </w:rPr>
        <w:t>Probeentnahmeeinrichtungen und Lüftung</w:t>
      </w:r>
    </w:p>
    <w:p w14:paraId="523F8279" w14:textId="6D78EBB9" w:rsidR="00925F82" w:rsidRPr="00AD6C7D" w:rsidRDefault="00925F82" w:rsidP="00E641B3">
      <w:pPr>
        <w:pStyle w:val="H23G"/>
        <w:tabs>
          <w:tab w:val="left" w:pos="1134"/>
          <w:tab w:val="left" w:pos="3402"/>
        </w:tabs>
        <w:spacing w:before="0" w:line="240" w:lineRule="auto"/>
        <w:ind w:left="3402" w:hanging="3402"/>
        <w:rPr>
          <w:b w:val="0"/>
          <w:bCs/>
          <w:lang w:val="de-DE"/>
        </w:rPr>
      </w:pPr>
      <w:r w:rsidRPr="00AD6C7D">
        <w:rPr>
          <w:b w:val="0"/>
          <w:bCs/>
          <w:i/>
          <w:iCs/>
          <w:lang w:val="de-DE"/>
        </w:rPr>
        <w:tab/>
      </w:r>
      <w:r w:rsidRPr="00AD6C7D">
        <w:rPr>
          <w:b w:val="0"/>
          <w:bCs/>
          <w:i/>
          <w:iCs/>
          <w:lang w:val="de-DE"/>
        </w:rPr>
        <w:tab/>
      </w:r>
      <w:r w:rsidR="007540AC" w:rsidRPr="00AD6C7D">
        <w:rPr>
          <w:b w:val="0"/>
          <w:bCs/>
          <w:i/>
          <w:iCs/>
          <w:lang w:val="de-DE"/>
        </w:rPr>
        <w:t>Informelles Dokument</w:t>
      </w:r>
      <w:r w:rsidRPr="00AD6C7D">
        <w:rPr>
          <w:b w:val="0"/>
          <w:bCs/>
          <w:lang w:val="de-DE"/>
        </w:rPr>
        <w:t>:</w:t>
      </w:r>
      <w:r w:rsidRPr="00AD6C7D">
        <w:rPr>
          <w:b w:val="0"/>
          <w:bCs/>
          <w:lang w:val="de-DE"/>
        </w:rPr>
        <w:tab/>
        <w:t>INF.28 (</w:t>
      </w:r>
      <w:r w:rsidR="0076134A" w:rsidRPr="00AD6C7D">
        <w:rPr>
          <w:b w:val="0"/>
          <w:bCs/>
          <w:lang w:val="de-DE"/>
        </w:rPr>
        <w:t>Österreich</w:t>
      </w:r>
      <w:r w:rsidRPr="00AD6C7D">
        <w:rPr>
          <w:b w:val="0"/>
          <w:bCs/>
          <w:lang w:val="de-DE"/>
        </w:rPr>
        <w:t>)</w:t>
      </w:r>
    </w:p>
    <w:p w14:paraId="697D40F5" w14:textId="6CCE1F42" w:rsidR="00925F82" w:rsidRPr="00AD6C7D" w:rsidRDefault="00925F82" w:rsidP="00E641B3">
      <w:pPr>
        <w:pStyle w:val="SingleTxtG"/>
        <w:spacing w:line="240" w:lineRule="auto"/>
        <w:rPr>
          <w:lang w:val="de-DE"/>
        </w:rPr>
      </w:pPr>
      <w:r w:rsidRPr="00AD6C7D">
        <w:rPr>
          <w:lang w:val="de-DE"/>
        </w:rPr>
        <w:t>20.</w:t>
      </w:r>
      <w:r w:rsidRPr="00AD6C7D">
        <w:rPr>
          <w:lang w:val="de-DE"/>
        </w:rPr>
        <w:tab/>
      </w:r>
      <w:r w:rsidR="00FA552E" w:rsidRPr="00AD6C7D">
        <w:rPr>
          <w:lang w:val="de-DE"/>
        </w:rPr>
        <w:t xml:space="preserve">Einige Delegierte waren der Ansicht, dass eine aktualisierte Liste der zugelassenen Einrichtungen erforderlich sei und beim Verkauf eines Schiffes in ein anderes Land die zugelassenen Probeentnahmeeinrichtungen von der zuständigen Behörde und/oder der Klassifikationsgesellschaft dieses Landes nach den Grundsätzen der gegenseitigen Anerkennung zwischen den ADN-Vertragsparteien </w:t>
      </w:r>
      <w:r w:rsidR="002137A4" w:rsidRPr="00AD6C7D">
        <w:rPr>
          <w:lang w:val="de-DE"/>
        </w:rPr>
        <w:t>anerkannt</w:t>
      </w:r>
      <w:r w:rsidR="00FA552E" w:rsidRPr="00AD6C7D">
        <w:rPr>
          <w:lang w:val="de-DE"/>
        </w:rPr>
        <w:t xml:space="preserve"> werden sollten.</w:t>
      </w:r>
      <w:r w:rsidRPr="00AD6C7D">
        <w:rPr>
          <w:lang w:val="de-DE"/>
        </w:rPr>
        <w:t xml:space="preserve"> </w:t>
      </w:r>
      <w:r w:rsidR="002137A4" w:rsidRPr="00AD6C7D">
        <w:rPr>
          <w:lang w:val="de-DE"/>
        </w:rPr>
        <w:t>Der Vertreter Deutschlands verwies auf seine früheren Bemühungen, diesbezüglich die Verantwortlichkeiten der zuständigen Behörde und der Klassifikationsgesellschaften zu klären.</w:t>
      </w:r>
      <w:r w:rsidRPr="00AD6C7D">
        <w:rPr>
          <w:lang w:val="de-DE"/>
        </w:rPr>
        <w:t xml:space="preserve"> </w:t>
      </w:r>
      <w:r w:rsidR="007B65CD" w:rsidRPr="00AD6C7D">
        <w:rPr>
          <w:lang w:val="de-DE"/>
        </w:rPr>
        <w:t>Er bezweifelte, dass die Bestimmungen aus dem ADN gestrichen werden müssen.</w:t>
      </w:r>
      <w:r w:rsidRPr="00AD6C7D">
        <w:rPr>
          <w:lang w:val="de-DE"/>
        </w:rPr>
        <w:t xml:space="preserve"> </w:t>
      </w:r>
      <w:r w:rsidR="007B65CD" w:rsidRPr="00AD6C7D">
        <w:rPr>
          <w:lang w:val="de-DE"/>
        </w:rPr>
        <w:t>Es wurde der Schluss gezogen, dass die Anforderung eines von der zuständigen Behörde zugelassenen Typs gestrichen werden sollte.</w:t>
      </w:r>
      <w:r w:rsidRPr="00AD6C7D">
        <w:rPr>
          <w:lang w:val="de-DE"/>
        </w:rPr>
        <w:t xml:space="preserve"> </w:t>
      </w:r>
      <w:r w:rsidR="00A92206" w:rsidRPr="00AD6C7D">
        <w:rPr>
          <w:lang w:val="de-DE"/>
        </w:rPr>
        <w:t xml:space="preserve">Der Vertreter Österreichs erklärte sich bereit, für die kommende Sitzung einen Vorschlag </w:t>
      </w:r>
      <w:r w:rsidR="000E06B9" w:rsidRPr="00AD6C7D">
        <w:rPr>
          <w:lang w:val="de-DE"/>
        </w:rPr>
        <w:t>zu unterbreiten</w:t>
      </w:r>
      <w:r w:rsidR="00A92206" w:rsidRPr="00AD6C7D">
        <w:rPr>
          <w:lang w:val="de-DE"/>
        </w:rPr>
        <w:t>.</w:t>
      </w:r>
    </w:p>
    <w:p w14:paraId="0531F184" w14:textId="282CD922" w:rsidR="00925F82" w:rsidRPr="00AD6C7D" w:rsidRDefault="00925F82" w:rsidP="00E641B3">
      <w:pPr>
        <w:pStyle w:val="SingleTxtG"/>
        <w:spacing w:line="240" w:lineRule="auto"/>
        <w:rPr>
          <w:lang w:val="de-DE"/>
        </w:rPr>
      </w:pPr>
      <w:r w:rsidRPr="00AD6C7D">
        <w:rPr>
          <w:lang w:val="de-DE"/>
        </w:rPr>
        <w:t>21.</w:t>
      </w:r>
      <w:r w:rsidRPr="00AD6C7D">
        <w:rPr>
          <w:lang w:val="de-DE"/>
        </w:rPr>
        <w:tab/>
      </w:r>
      <w:r w:rsidR="00A92206" w:rsidRPr="00AD6C7D">
        <w:rPr>
          <w:lang w:val="de-DE"/>
        </w:rPr>
        <w:t>In Bezug auf die Auslegung des Absatzes 9.3.3.12.2 kam der Sicherheitsausschuss, vorbehaltlich einer letzten Überprüfung durch die Empfohlenen ADN-Klassifikationsgesellschaften, zu dem Schluss, dass</w:t>
      </w:r>
    </w:p>
    <w:p w14:paraId="70D81146" w14:textId="5F161AB7" w:rsidR="00311173" w:rsidRPr="00AD6C7D" w:rsidRDefault="00311173" w:rsidP="00E641B3">
      <w:pPr>
        <w:pStyle w:val="SingleTxtG"/>
        <w:numPr>
          <w:ilvl w:val="0"/>
          <w:numId w:val="15"/>
        </w:numPr>
        <w:spacing w:after="0" w:line="240" w:lineRule="auto"/>
        <w:ind w:left="1418" w:hanging="284"/>
        <w:rPr>
          <w:lang w:val="de-DE"/>
        </w:rPr>
      </w:pPr>
      <w:r w:rsidRPr="00AD6C7D">
        <w:rPr>
          <w:lang w:val="de-DE"/>
        </w:rPr>
        <w:t>mit Lüftungssystemen nicht zwingend aktive Systeme gemeint sind, weshalb keine Ventilatoren eingebaut werden müssen;</w:t>
      </w:r>
    </w:p>
    <w:p w14:paraId="43F584A7" w14:textId="39799CEF" w:rsidR="00311173" w:rsidRPr="00AD6C7D" w:rsidRDefault="00311173" w:rsidP="00E641B3">
      <w:pPr>
        <w:pStyle w:val="SingleTxtG"/>
        <w:numPr>
          <w:ilvl w:val="0"/>
          <w:numId w:val="15"/>
        </w:numPr>
        <w:spacing w:after="0" w:line="240" w:lineRule="auto"/>
        <w:ind w:left="1418" w:hanging="284"/>
        <w:rPr>
          <w:lang w:val="de-DE"/>
        </w:rPr>
      </w:pPr>
      <w:proofErr w:type="spellStart"/>
      <w:r w:rsidRPr="00AD6C7D">
        <w:rPr>
          <w:lang w:val="de-DE"/>
        </w:rPr>
        <w:t>Lukenabdeckungen</w:t>
      </w:r>
      <w:proofErr w:type="spellEnd"/>
      <w:r w:rsidRPr="00AD6C7D">
        <w:rPr>
          <w:lang w:val="de-DE"/>
        </w:rPr>
        <w:t xml:space="preserve"> als „Lüftungssystem“ geeignet </w:t>
      </w:r>
      <w:r w:rsidR="0084497A" w:rsidRPr="00AD6C7D">
        <w:rPr>
          <w:lang w:val="de-DE"/>
        </w:rPr>
        <w:t xml:space="preserve">sind </w:t>
      </w:r>
      <w:r w:rsidRPr="00AD6C7D">
        <w:rPr>
          <w:lang w:val="de-DE"/>
        </w:rPr>
        <w:t>und verwendet werden</w:t>
      </w:r>
      <w:r w:rsidR="0084497A" w:rsidRPr="00AD6C7D">
        <w:rPr>
          <w:lang w:val="de-DE"/>
        </w:rPr>
        <w:t xml:space="preserve"> können</w:t>
      </w:r>
      <w:r w:rsidRPr="00AD6C7D">
        <w:rPr>
          <w:lang w:val="de-DE"/>
        </w:rPr>
        <w:t>;</w:t>
      </w:r>
    </w:p>
    <w:p w14:paraId="308A047C" w14:textId="3A3FBD08" w:rsidR="00311173" w:rsidRPr="00AD6C7D" w:rsidRDefault="00311173" w:rsidP="00E641B3">
      <w:pPr>
        <w:pStyle w:val="SingleTxtG"/>
        <w:numPr>
          <w:ilvl w:val="0"/>
          <w:numId w:val="15"/>
        </w:numPr>
        <w:spacing w:after="0" w:line="240" w:lineRule="auto"/>
        <w:ind w:left="1418" w:hanging="284"/>
        <w:rPr>
          <w:lang w:val="de-DE"/>
        </w:rPr>
      </w:pPr>
      <w:r w:rsidRPr="00AD6C7D">
        <w:rPr>
          <w:lang w:val="de-DE"/>
        </w:rPr>
        <w:t>ein Schwanenhals ein geeignetes „Lüftungssystem“</w:t>
      </w:r>
      <w:r w:rsidR="0084497A" w:rsidRPr="00AD6C7D">
        <w:rPr>
          <w:lang w:val="de-DE"/>
        </w:rPr>
        <w:t xml:space="preserve"> ist</w:t>
      </w:r>
      <w:r w:rsidRPr="00AD6C7D">
        <w:rPr>
          <w:lang w:val="de-DE"/>
        </w:rPr>
        <w:t>;</w:t>
      </w:r>
    </w:p>
    <w:p w14:paraId="34E4B267" w14:textId="24101518" w:rsidR="00311173" w:rsidRPr="00AD6C7D" w:rsidRDefault="00311173" w:rsidP="00E641B3">
      <w:pPr>
        <w:pStyle w:val="SingleTxtG"/>
        <w:numPr>
          <w:ilvl w:val="0"/>
          <w:numId w:val="15"/>
        </w:numPr>
        <w:spacing w:after="0" w:line="240" w:lineRule="auto"/>
        <w:ind w:left="1418" w:hanging="284"/>
        <w:rPr>
          <w:lang w:val="de-DE"/>
        </w:rPr>
      </w:pPr>
      <w:r w:rsidRPr="00AD6C7D">
        <w:rPr>
          <w:lang w:val="de-DE"/>
        </w:rPr>
        <w:t>zwei entsprechend positionierte Lüftungsöffnungen (z. B. Lüftungshauben) pro Raum geeignete „Lüftungssysteme“</w:t>
      </w:r>
      <w:r w:rsidR="0084497A" w:rsidRPr="00AD6C7D">
        <w:rPr>
          <w:lang w:val="de-DE"/>
        </w:rPr>
        <w:t xml:space="preserve"> sind</w:t>
      </w:r>
      <w:r w:rsidRPr="00AD6C7D">
        <w:rPr>
          <w:lang w:val="de-DE"/>
        </w:rPr>
        <w:t>;</w:t>
      </w:r>
    </w:p>
    <w:p w14:paraId="096D42C2" w14:textId="76E6BAF7" w:rsidR="00311173" w:rsidRPr="00AD6C7D" w:rsidRDefault="00311173" w:rsidP="00E641B3">
      <w:pPr>
        <w:pStyle w:val="SingleTxtG"/>
        <w:numPr>
          <w:ilvl w:val="0"/>
          <w:numId w:val="15"/>
        </w:numPr>
        <w:spacing w:after="0" w:line="240" w:lineRule="auto"/>
        <w:ind w:left="1418" w:hanging="284"/>
        <w:rPr>
          <w:lang w:val="de-DE"/>
        </w:rPr>
      </w:pPr>
      <w:r w:rsidRPr="00AD6C7D">
        <w:rPr>
          <w:lang w:val="de-DE"/>
        </w:rPr>
        <w:t xml:space="preserve">in die Lüftungsöffnungen von Tankschiffen des Typs N offen mit Flammendurchschlagsicherungen und des Typs N geschlossen </w:t>
      </w:r>
      <w:r w:rsidR="0084497A" w:rsidRPr="00AD6C7D">
        <w:rPr>
          <w:lang w:val="de-DE"/>
        </w:rPr>
        <w:t xml:space="preserve">keine Flammendurchschlagsicherungen </w:t>
      </w:r>
      <w:r w:rsidRPr="00AD6C7D">
        <w:rPr>
          <w:lang w:val="de-DE"/>
        </w:rPr>
        <w:t>eingebaut werden</w:t>
      </w:r>
      <w:r w:rsidR="0084497A" w:rsidRPr="00AD6C7D">
        <w:rPr>
          <w:lang w:val="de-DE"/>
        </w:rPr>
        <w:t xml:space="preserve"> müssen</w:t>
      </w:r>
      <w:r w:rsidRPr="00AD6C7D">
        <w:rPr>
          <w:lang w:val="de-DE"/>
        </w:rPr>
        <w:t>.</w:t>
      </w:r>
    </w:p>
    <w:p w14:paraId="66EF30D5" w14:textId="1D5E7CB1" w:rsidR="00925F82" w:rsidRPr="00AD6C7D" w:rsidRDefault="00925F82" w:rsidP="00E641B3">
      <w:pPr>
        <w:pStyle w:val="H1G"/>
        <w:spacing w:before="240" w:after="120"/>
        <w:ind w:right="992"/>
        <w:rPr>
          <w:sz w:val="20"/>
          <w:lang w:val="de-DE"/>
        </w:rPr>
      </w:pPr>
      <w:r w:rsidRPr="00AD6C7D">
        <w:rPr>
          <w:sz w:val="20"/>
          <w:lang w:val="de-DE"/>
        </w:rPr>
        <w:tab/>
        <w:t>6.</w:t>
      </w:r>
      <w:r w:rsidRPr="00AD6C7D">
        <w:rPr>
          <w:sz w:val="20"/>
          <w:lang w:val="de-DE"/>
        </w:rPr>
        <w:tab/>
      </w:r>
      <w:r w:rsidR="006B61DC" w:rsidRPr="00AD6C7D">
        <w:rPr>
          <w:sz w:val="20"/>
          <w:lang w:val="de-DE"/>
        </w:rPr>
        <w:t>Vorschlag zur Anpassung des Abschnitts 8.3.5 ADN „Arbeiten an Bord“</w:t>
      </w:r>
    </w:p>
    <w:p w14:paraId="01313958" w14:textId="459D16C2" w:rsidR="00925F82" w:rsidRPr="00AD6C7D" w:rsidRDefault="00925F82" w:rsidP="00E641B3">
      <w:pPr>
        <w:pStyle w:val="H23G"/>
        <w:tabs>
          <w:tab w:val="left" w:pos="1134"/>
          <w:tab w:val="left" w:pos="3402"/>
        </w:tabs>
        <w:spacing w:before="120"/>
        <w:ind w:left="3402" w:hanging="3402"/>
        <w:rPr>
          <w:b w:val="0"/>
          <w:bCs/>
          <w:lang w:val="de-DE"/>
        </w:rPr>
      </w:pPr>
      <w:r w:rsidRPr="00AD6C7D">
        <w:rPr>
          <w:b w:val="0"/>
          <w:bCs/>
          <w:i/>
          <w:iCs/>
          <w:lang w:val="de-DE"/>
        </w:rPr>
        <w:tab/>
      </w:r>
      <w:r w:rsidRPr="00AD6C7D">
        <w:rPr>
          <w:b w:val="0"/>
          <w:bCs/>
          <w:i/>
          <w:iCs/>
          <w:lang w:val="de-DE"/>
        </w:rPr>
        <w:tab/>
      </w:r>
      <w:r w:rsidR="007540AC" w:rsidRPr="00AD6C7D">
        <w:rPr>
          <w:b w:val="0"/>
          <w:bCs/>
          <w:i/>
          <w:iCs/>
          <w:lang w:val="de-DE"/>
        </w:rPr>
        <w:t>Informelle Dokumente</w:t>
      </w:r>
      <w:r w:rsidRPr="00AD6C7D">
        <w:rPr>
          <w:b w:val="0"/>
          <w:bCs/>
          <w:lang w:val="de-DE"/>
        </w:rPr>
        <w:t>:</w:t>
      </w:r>
      <w:r w:rsidRPr="00AD6C7D">
        <w:rPr>
          <w:b w:val="0"/>
          <w:bCs/>
          <w:lang w:val="de-DE"/>
        </w:rPr>
        <w:tab/>
        <w:t xml:space="preserve">INF.16 (EBU/ESO) </w:t>
      </w:r>
      <w:r w:rsidR="0076134A" w:rsidRPr="00AD6C7D">
        <w:rPr>
          <w:b w:val="0"/>
          <w:bCs/>
          <w:lang w:val="de-DE"/>
        </w:rPr>
        <w:t>und</w:t>
      </w:r>
      <w:r w:rsidRPr="00AD6C7D">
        <w:rPr>
          <w:b w:val="0"/>
          <w:bCs/>
          <w:lang w:val="de-DE"/>
        </w:rPr>
        <w:t xml:space="preserve"> INF.30 (</w:t>
      </w:r>
      <w:r w:rsidR="007225E9" w:rsidRPr="00AD6C7D">
        <w:rPr>
          <w:b w:val="0"/>
          <w:bCs/>
          <w:lang w:val="de-DE"/>
        </w:rPr>
        <w:t>Europäische Kommission</w:t>
      </w:r>
      <w:r w:rsidRPr="00AD6C7D">
        <w:rPr>
          <w:b w:val="0"/>
          <w:bCs/>
          <w:lang w:val="de-DE"/>
        </w:rPr>
        <w:t>)</w:t>
      </w:r>
    </w:p>
    <w:p w14:paraId="58718FE7" w14:textId="5C6942A8" w:rsidR="00925F82" w:rsidRPr="00AD6C7D" w:rsidRDefault="00925F82" w:rsidP="00E641B3">
      <w:pPr>
        <w:pStyle w:val="SingleTxtG"/>
        <w:spacing w:line="240" w:lineRule="auto"/>
        <w:rPr>
          <w:lang w:val="de-DE"/>
        </w:rPr>
      </w:pPr>
      <w:r w:rsidRPr="00AD6C7D">
        <w:rPr>
          <w:lang w:val="de-DE"/>
        </w:rPr>
        <w:t>22.</w:t>
      </w:r>
      <w:r w:rsidRPr="00AD6C7D">
        <w:rPr>
          <w:lang w:val="de-DE"/>
        </w:rPr>
        <w:tab/>
      </w:r>
      <w:r w:rsidR="00B60513" w:rsidRPr="00AD6C7D">
        <w:rPr>
          <w:lang w:val="de-DE"/>
        </w:rPr>
        <w:t xml:space="preserve">Der </w:t>
      </w:r>
      <w:r w:rsidR="0030553E" w:rsidRPr="00AD6C7D">
        <w:rPr>
          <w:lang w:val="de-DE"/>
        </w:rPr>
        <w:t>EBU-</w:t>
      </w:r>
      <w:r w:rsidR="00B60513" w:rsidRPr="00AD6C7D">
        <w:rPr>
          <w:lang w:val="de-DE"/>
        </w:rPr>
        <w:t>Vertreter erinnert</w:t>
      </w:r>
      <w:r w:rsidR="00D47F2C" w:rsidRPr="00AD6C7D">
        <w:rPr>
          <w:lang w:val="de-DE"/>
        </w:rPr>
        <w:t>e</w:t>
      </w:r>
      <w:r w:rsidR="00B60513" w:rsidRPr="00AD6C7D">
        <w:rPr>
          <w:lang w:val="de-DE"/>
        </w:rPr>
        <w:t xml:space="preserve"> daran, dass gemäß Abschnitt 8.3.5 nicht immer klar sei, ob Reparatur- oder Wartungsarbeiten an Bord durchgeführt werden sollen.</w:t>
      </w:r>
      <w:r w:rsidRPr="00AD6C7D">
        <w:rPr>
          <w:lang w:val="de-DE"/>
        </w:rPr>
        <w:t xml:space="preserve"> </w:t>
      </w:r>
      <w:r w:rsidR="00C53D04" w:rsidRPr="00AD6C7D">
        <w:rPr>
          <w:lang w:val="de-DE"/>
        </w:rPr>
        <w:t>Er schlug vor, diese Bestimmungen zu ändern und konkrete Arbeiten aufzuführen, die unter Berücksichtigung der allgemeinen Vorschriften und Standards für Arbeitssicherheit sowie der ATEX-Richtlinie durchgeführt werden können.</w:t>
      </w:r>
      <w:r w:rsidRPr="00AD6C7D">
        <w:rPr>
          <w:lang w:val="de-DE"/>
        </w:rPr>
        <w:t xml:space="preserve"> </w:t>
      </w:r>
      <w:r w:rsidR="00A6660C" w:rsidRPr="00AD6C7D">
        <w:rPr>
          <w:lang w:val="de-DE"/>
        </w:rPr>
        <w:t xml:space="preserve">Mehrere Vertreter </w:t>
      </w:r>
      <w:r w:rsidR="007D6444" w:rsidRPr="00AD6C7D">
        <w:rPr>
          <w:lang w:val="de-DE"/>
        </w:rPr>
        <w:t>hielten es für wünschenswert</w:t>
      </w:r>
      <w:r w:rsidR="00A6660C" w:rsidRPr="00AD6C7D">
        <w:rPr>
          <w:lang w:val="de-DE"/>
        </w:rPr>
        <w:t>, die Stringenz des</w:t>
      </w:r>
      <w:r w:rsidR="007D6444" w:rsidRPr="00AD6C7D">
        <w:rPr>
          <w:lang w:val="de-DE"/>
        </w:rPr>
        <w:t xml:space="preserve"> Abschnitts</w:t>
      </w:r>
      <w:r w:rsidR="00A6660C" w:rsidRPr="00AD6C7D">
        <w:rPr>
          <w:lang w:val="de-DE"/>
        </w:rPr>
        <w:t xml:space="preserve"> 8.3.5. nicht zu </w:t>
      </w:r>
      <w:r w:rsidR="00625F97" w:rsidRPr="00AD6C7D">
        <w:rPr>
          <w:lang w:val="de-DE"/>
        </w:rPr>
        <w:t>lockern</w:t>
      </w:r>
      <w:r w:rsidR="00A6660C" w:rsidRPr="00AD6C7D">
        <w:rPr>
          <w:lang w:val="de-DE"/>
        </w:rPr>
        <w:t xml:space="preserve"> und den Status quo zu erhalten.</w:t>
      </w:r>
      <w:r w:rsidRPr="00AD6C7D">
        <w:rPr>
          <w:lang w:val="de-DE"/>
        </w:rPr>
        <w:t xml:space="preserve"> </w:t>
      </w:r>
      <w:r w:rsidR="00625F97" w:rsidRPr="00AD6C7D">
        <w:rPr>
          <w:lang w:val="de-DE"/>
        </w:rPr>
        <w:t xml:space="preserve">Der EBU-Vertreter kündigte an, ein </w:t>
      </w:r>
      <w:r w:rsidR="00A420DE" w:rsidRPr="00AD6C7D">
        <w:rPr>
          <w:lang w:val="de-DE"/>
        </w:rPr>
        <w:t>Orientierungs</w:t>
      </w:r>
      <w:r w:rsidR="00625F97" w:rsidRPr="00AD6C7D">
        <w:rPr>
          <w:lang w:val="de-DE"/>
        </w:rPr>
        <w:t xml:space="preserve">dokument über </w:t>
      </w:r>
      <w:r w:rsidR="00A420DE" w:rsidRPr="00AD6C7D">
        <w:rPr>
          <w:lang w:val="de-DE"/>
        </w:rPr>
        <w:t xml:space="preserve">die </w:t>
      </w:r>
      <w:r w:rsidR="00625F97" w:rsidRPr="00AD6C7D">
        <w:rPr>
          <w:lang w:val="de-DE"/>
        </w:rPr>
        <w:t>verschiedene</w:t>
      </w:r>
      <w:r w:rsidR="00A420DE" w:rsidRPr="00AD6C7D">
        <w:rPr>
          <w:lang w:val="de-DE"/>
        </w:rPr>
        <w:t>n</w:t>
      </w:r>
      <w:r w:rsidR="00625F97" w:rsidRPr="00AD6C7D">
        <w:rPr>
          <w:lang w:val="de-DE"/>
        </w:rPr>
        <w:t xml:space="preserve"> „Arbeiten an Bord“ zu erstellen, das auf der nächsten Sitzung weiter geprüft werden soll.</w:t>
      </w:r>
    </w:p>
    <w:p w14:paraId="17AA6DD5" w14:textId="771E89BD" w:rsidR="00925F82" w:rsidRPr="00AD6C7D" w:rsidRDefault="00925F82" w:rsidP="00E641B3">
      <w:pPr>
        <w:pStyle w:val="SingleTxtG"/>
        <w:spacing w:line="240" w:lineRule="auto"/>
        <w:rPr>
          <w:lang w:val="de-DE"/>
        </w:rPr>
      </w:pPr>
      <w:r w:rsidRPr="00AD6C7D">
        <w:rPr>
          <w:lang w:val="de-DE"/>
        </w:rPr>
        <w:t>23.</w:t>
      </w:r>
      <w:r w:rsidRPr="00AD6C7D">
        <w:rPr>
          <w:lang w:val="de-DE"/>
        </w:rPr>
        <w:tab/>
      </w:r>
      <w:r w:rsidR="00A420DE" w:rsidRPr="00AD6C7D">
        <w:rPr>
          <w:lang w:val="de-DE"/>
        </w:rPr>
        <w:t>Der Sicherheitsausschuss begrüßte die Informationen der Europäischen Kommission über die Europäische Norm EN 60079-20 und über de</w:t>
      </w:r>
      <w:r w:rsidR="00CA4162" w:rsidRPr="00AD6C7D">
        <w:rPr>
          <w:lang w:val="de-DE"/>
        </w:rPr>
        <w:t>n</w:t>
      </w:r>
      <w:r w:rsidR="00A420DE" w:rsidRPr="00AD6C7D">
        <w:rPr>
          <w:lang w:val="de-DE"/>
        </w:rPr>
        <w:t xml:space="preserve"> </w:t>
      </w:r>
      <w:r w:rsidR="00CA4162" w:rsidRPr="00AD6C7D">
        <w:rPr>
          <w:lang w:val="de-DE"/>
        </w:rPr>
        <w:t>Beschluss</w:t>
      </w:r>
      <w:r w:rsidR="00A420DE" w:rsidRPr="00AD6C7D">
        <w:rPr>
          <w:lang w:val="de-DE"/>
        </w:rPr>
        <w:t xml:space="preserve"> </w:t>
      </w:r>
      <w:r w:rsidR="006B170E" w:rsidRPr="00AD6C7D">
        <w:rPr>
          <w:lang w:val="de-DE"/>
        </w:rPr>
        <w:t xml:space="preserve">(EU) </w:t>
      </w:r>
      <w:r w:rsidR="00A420DE" w:rsidRPr="00AD6C7D">
        <w:rPr>
          <w:lang w:val="de-DE"/>
        </w:rPr>
        <w:t xml:space="preserve">2019/1202 über die </w:t>
      </w:r>
      <w:r w:rsidR="006B170E" w:rsidRPr="00AD6C7D">
        <w:rPr>
          <w:lang w:val="de-DE"/>
        </w:rPr>
        <w:t xml:space="preserve">zur Unterstützung der Richtlinie 2014/34/EU ausgearbeiteten </w:t>
      </w:r>
      <w:r w:rsidR="00A420DE" w:rsidRPr="00AD6C7D">
        <w:rPr>
          <w:lang w:val="de-DE"/>
        </w:rPr>
        <w:t xml:space="preserve">harmonisierten Normen für Geräte und Schutzsysteme zur </w:t>
      </w:r>
      <w:r w:rsidR="006B170E" w:rsidRPr="00AD6C7D">
        <w:rPr>
          <w:lang w:val="de-DE"/>
        </w:rPr>
        <w:t xml:space="preserve">bestimmungsgemäßen </w:t>
      </w:r>
      <w:r w:rsidR="00A420DE" w:rsidRPr="00AD6C7D">
        <w:rPr>
          <w:lang w:val="de-DE"/>
        </w:rPr>
        <w:t>Verwendung in explosionsgefährdeten Bereichen.</w:t>
      </w:r>
    </w:p>
    <w:p w14:paraId="00444C50" w14:textId="55F569A0" w:rsidR="00925F82" w:rsidRPr="00AD6C7D" w:rsidRDefault="00925F82" w:rsidP="00E641B3">
      <w:pPr>
        <w:pStyle w:val="H1G"/>
        <w:spacing w:before="240" w:after="120" w:line="240" w:lineRule="auto"/>
        <w:ind w:right="992"/>
        <w:rPr>
          <w:sz w:val="20"/>
          <w:lang w:val="de-DE"/>
        </w:rPr>
      </w:pPr>
      <w:r w:rsidRPr="00AD6C7D">
        <w:rPr>
          <w:sz w:val="20"/>
          <w:lang w:val="de-DE"/>
        </w:rPr>
        <w:tab/>
        <w:t>7.</w:t>
      </w:r>
      <w:r w:rsidRPr="00AD6C7D">
        <w:rPr>
          <w:sz w:val="20"/>
          <w:lang w:val="de-DE"/>
        </w:rPr>
        <w:tab/>
      </w:r>
      <w:r w:rsidR="008E198E" w:rsidRPr="00AD6C7D">
        <w:rPr>
          <w:sz w:val="20"/>
          <w:lang w:val="de-DE"/>
        </w:rPr>
        <w:t>Kalibrieren von Gasspüranlagen auf n-Hexan und Gasspürgeräte</w:t>
      </w:r>
    </w:p>
    <w:p w14:paraId="57305AEC" w14:textId="6FD8A5CC" w:rsidR="00925F82" w:rsidRPr="00AD6C7D" w:rsidRDefault="00925F82" w:rsidP="00E641B3">
      <w:pPr>
        <w:pStyle w:val="H23G"/>
        <w:tabs>
          <w:tab w:val="left" w:pos="1134"/>
          <w:tab w:val="left" w:pos="3402"/>
        </w:tabs>
        <w:spacing w:before="120" w:line="240" w:lineRule="auto"/>
        <w:ind w:left="3402" w:hanging="3402"/>
        <w:rPr>
          <w:b w:val="0"/>
          <w:bCs/>
          <w:lang w:val="de-DE"/>
        </w:rPr>
      </w:pPr>
      <w:r w:rsidRPr="00AD6C7D">
        <w:rPr>
          <w:b w:val="0"/>
          <w:bCs/>
          <w:i/>
          <w:iCs/>
          <w:lang w:val="de-DE"/>
        </w:rPr>
        <w:tab/>
      </w:r>
      <w:r w:rsidRPr="00AD6C7D">
        <w:rPr>
          <w:b w:val="0"/>
          <w:bCs/>
          <w:i/>
          <w:iCs/>
          <w:lang w:val="de-DE"/>
        </w:rPr>
        <w:tab/>
      </w:r>
      <w:r w:rsidR="007540AC" w:rsidRPr="00AD6C7D">
        <w:rPr>
          <w:b w:val="0"/>
          <w:bCs/>
          <w:i/>
          <w:iCs/>
          <w:lang w:val="de-DE"/>
        </w:rPr>
        <w:t>Informelles Dokument</w:t>
      </w:r>
      <w:r w:rsidRPr="00AD6C7D">
        <w:rPr>
          <w:b w:val="0"/>
          <w:bCs/>
          <w:lang w:val="de-DE"/>
        </w:rPr>
        <w:t>:</w:t>
      </w:r>
      <w:r w:rsidRPr="00AD6C7D">
        <w:rPr>
          <w:b w:val="0"/>
          <w:bCs/>
          <w:lang w:val="de-DE"/>
        </w:rPr>
        <w:tab/>
        <w:t>INF.17 (EBU/ESO)</w:t>
      </w:r>
    </w:p>
    <w:p w14:paraId="751D02F9" w14:textId="0BE0BF66" w:rsidR="00925F82" w:rsidRPr="00AD6C7D" w:rsidRDefault="00925F82" w:rsidP="00E641B3">
      <w:pPr>
        <w:pStyle w:val="SingleTxtG"/>
        <w:spacing w:line="240" w:lineRule="auto"/>
        <w:rPr>
          <w:lang w:val="de-DE"/>
        </w:rPr>
      </w:pPr>
      <w:r w:rsidRPr="00AD6C7D">
        <w:rPr>
          <w:lang w:val="de-DE"/>
        </w:rPr>
        <w:t>24.</w:t>
      </w:r>
      <w:r w:rsidRPr="00AD6C7D">
        <w:rPr>
          <w:lang w:val="de-DE"/>
        </w:rPr>
        <w:tab/>
      </w:r>
      <w:r w:rsidR="00F62A77" w:rsidRPr="00AD6C7D">
        <w:rPr>
          <w:lang w:val="de-DE"/>
        </w:rPr>
        <w:t xml:space="preserve">Der EBU-Vertreter äußerte Bedenken über die neuen Anforderungen des ADN 2019 an die Kalibrierung von Gasspüranlagen bezüglich der kritischsten Stoffe, da keine Rangliste für solche Stoffe mit der </w:t>
      </w:r>
      <w:r w:rsidR="00311173" w:rsidRPr="00AD6C7D">
        <w:rPr>
          <w:lang w:val="de-DE"/>
        </w:rPr>
        <w:t>u</w:t>
      </w:r>
      <w:r w:rsidR="00F62A77" w:rsidRPr="00AD6C7D">
        <w:rPr>
          <w:lang w:val="de-DE"/>
        </w:rPr>
        <w:t>ntersten Explosionsgrenze (</w:t>
      </w:r>
      <w:r w:rsidR="00311173" w:rsidRPr="00AD6C7D">
        <w:rPr>
          <w:lang w:val="de-DE"/>
        </w:rPr>
        <w:t>UEG</w:t>
      </w:r>
      <w:r w:rsidR="00F62A77" w:rsidRPr="00AD6C7D">
        <w:rPr>
          <w:lang w:val="de-DE"/>
        </w:rPr>
        <w:t>) existiert.</w:t>
      </w:r>
      <w:r w:rsidRPr="00AD6C7D">
        <w:rPr>
          <w:lang w:val="de-DE"/>
        </w:rPr>
        <w:t xml:space="preserve"> </w:t>
      </w:r>
      <w:r w:rsidR="00955B07" w:rsidRPr="00AD6C7D">
        <w:rPr>
          <w:lang w:val="de-DE"/>
        </w:rPr>
        <w:t xml:space="preserve">Er fügte hinzu, dass der praktische Gebrauch verschiedener Kalibriergase/-flüssigkeiten zu </w:t>
      </w:r>
      <w:r w:rsidR="00311173" w:rsidRPr="00AD6C7D">
        <w:rPr>
          <w:lang w:val="de-DE"/>
        </w:rPr>
        <w:t xml:space="preserve">Fällen von </w:t>
      </w:r>
      <w:r w:rsidR="00955B07" w:rsidRPr="00AD6C7D">
        <w:rPr>
          <w:lang w:val="de-DE"/>
        </w:rPr>
        <w:t>Fehl- oder Zusatzalarmen führen werde.</w:t>
      </w:r>
      <w:r w:rsidRPr="00AD6C7D">
        <w:rPr>
          <w:lang w:val="de-DE"/>
        </w:rPr>
        <w:t xml:space="preserve"> </w:t>
      </w:r>
      <w:r w:rsidR="00955B07" w:rsidRPr="00AD6C7D">
        <w:rPr>
          <w:lang w:val="de-DE"/>
        </w:rPr>
        <w:t>Der Sicherheitsausschuss beauftragte die informelle Arbeitsgruppe „Stoffe“, diese Frage weiter zu untersuchen und Lösungsvorschläge zu erarbeiten.</w:t>
      </w:r>
    </w:p>
    <w:p w14:paraId="7508009E" w14:textId="2D36AC37" w:rsidR="00925F82" w:rsidRPr="00AD6C7D" w:rsidRDefault="00925F82" w:rsidP="00955B07">
      <w:pPr>
        <w:pStyle w:val="H1G"/>
        <w:ind w:right="992"/>
        <w:rPr>
          <w:sz w:val="20"/>
          <w:lang w:val="de-DE"/>
        </w:rPr>
      </w:pPr>
      <w:r w:rsidRPr="00AD6C7D">
        <w:rPr>
          <w:sz w:val="20"/>
          <w:lang w:val="de-DE"/>
        </w:rPr>
        <w:lastRenderedPageBreak/>
        <w:tab/>
        <w:t>8.</w:t>
      </w:r>
      <w:r w:rsidRPr="00AD6C7D">
        <w:rPr>
          <w:sz w:val="20"/>
          <w:lang w:val="de-DE"/>
        </w:rPr>
        <w:tab/>
      </w:r>
      <w:r w:rsidR="00955B07" w:rsidRPr="00AD6C7D">
        <w:rPr>
          <w:sz w:val="20"/>
          <w:lang w:val="de-DE"/>
        </w:rPr>
        <w:t>Gasspüranlagen</w:t>
      </w:r>
    </w:p>
    <w:p w14:paraId="4F0C9878" w14:textId="4D9F2D90" w:rsidR="00925F82" w:rsidRPr="00AD6C7D" w:rsidRDefault="00925F82" w:rsidP="00925F82">
      <w:pPr>
        <w:pStyle w:val="H23G"/>
        <w:tabs>
          <w:tab w:val="left" w:pos="1134"/>
          <w:tab w:val="left" w:pos="3402"/>
        </w:tabs>
        <w:ind w:left="3402" w:hanging="3402"/>
        <w:rPr>
          <w:b w:val="0"/>
          <w:bCs/>
          <w:lang w:val="de-DE"/>
        </w:rPr>
      </w:pPr>
      <w:r w:rsidRPr="00AD6C7D">
        <w:rPr>
          <w:b w:val="0"/>
          <w:bCs/>
          <w:i/>
          <w:iCs/>
          <w:lang w:val="de-DE"/>
        </w:rPr>
        <w:tab/>
      </w:r>
      <w:r w:rsidRPr="00AD6C7D">
        <w:rPr>
          <w:b w:val="0"/>
          <w:bCs/>
          <w:i/>
          <w:iCs/>
          <w:lang w:val="de-DE"/>
        </w:rPr>
        <w:tab/>
      </w:r>
      <w:r w:rsidR="007540AC" w:rsidRPr="00AD6C7D">
        <w:rPr>
          <w:b w:val="0"/>
          <w:bCs/>
          <w:i/>
          <w:iCs/>
          <w:lang w:val="de-DE"/>
        </w:rPr>
        <w:t>Informelles Dokument</w:t>
      </w:r>
      <w:r w:rsidRPr="00AD6C7D">
        <w:rPr>
          <w:b w:val="0"/>
          <w:bCs/>
          <w:lang w:val="de-DE"/>
        </w:rPr>
        <w:t>:</w:t>
      </w:r>
      <w:r w:rsidRPr="00AD6C7D">
        <w:rPr>
          <w:b w:val="0"/>
          <w:bCs/>
          <w:lang w:val="de-DE"/>
        </w:rPr>
        <w:tab/>
        <w:t xml:space="preserve">INF.21 </w:t>
      </w:r>
      <w:r w:rsidR="007540AC" w:rsidRPr="00AD6C7D">
        <w:rPr>
          <w:b w:val="0"/>
          <w:bCs/>
          <w:lang w:val="de-DE"/>
        </w:rPr>
        <w:t>(Deutschland)</w:t>
      </w:r>
    </w:p>
    <w:p w14:paraId="3142232A" w14:textId="1DC2DD84" w:rsidR="00925F82" w:rsidRPr="00AD6C7D" w:rsidRDefault="00925F82" w:rsidP="00955B07">
      <w:pPr>
        <w:pStyle w:val="SingleTxtG"/>
        <w:rPr>
          <w:lang w:val="de-DE"/>
        </w:rPr>
      </w:pPr>
      <w:r w:rsidRPr="00AD6C7D">
        <w:rPr>
          <w:lang w:val="de-DE"/>
        </w:rPr>
        <w:t>25.</w:t>
      </w:r>
      <w:r w:rsidRPr="00AD6C7D">
        <w:rPr>
          <w:lang w:val="de-DE"/>
        </w:rPr>
        <w:tab/>
      </w:r>
      <w:r w:rsidR="00955B07" w:rsidRPr="00AD6C7D">
        <w:rPr>
          <w:lang w:val="de-DE"/>
        </w:rPr>
        <w:t>Der Sicherheitsausschuss beauftragte die informelle Arbeitsgruppe „Stoffe“ ferner, den Text des Unterabschnitts 7.2.3.6. in den verschiedenen Sprachen, einschließlich der russischen Fassung, zu überprüfen und zu präzisieren.</w:t>
      </w:r>
    </w:p>
    <w:p w14:paraId="514BC77E" w14:textId="41254A06" w:rsidR="00925F82" w:rsidRPr="00AD6C7D" w:rsidRDefault="00925F82" w:rsidP="00E641B3">
      <w:pPr>
        <w:pStyle w:val="H1G"/>
        <w:spacing w:before="240"/>
        <w:ind w:right="992"/>
        <w:rPr>
          <w:sz w:val="20"/>
          <w:lang w:val="de-DE"/>
        </w:rPr>
      </w:pPr>
      <w:r w:rsidRPr="00AD6C7D">
        <w:rPr>
          <w:sz w:val="20"/>
          <w:lang w:val="de-DE"/>
        </w:rPr>
        <w:tab/>
        <w:t>9.</w:t>
      </w:r>
      <w:r w:rsidRPr="00AD6C7D">
        <w:rPr>
          <w:sz w:val="20"/>
          <w:lang w:val="de-DE"/>
        </w:rPr>
        <w:tab/>
      </w:r>
      <w:r w:rsidR="00955B07" w:rsidRPr="00AD6C7D">
        <w:rPr>
          <w:sz w:val="20"/>
          <w:lang w:val="de-DE"/>
        </w:rPr>
        <w:t>Über die Zoneneinteilung – Zone 1</w:t>
      </w:r>
    </w:p>
    <w:p w14:paraId="63310051" w14:textId="3CF9B06D" w:rsidR="00925F82" w:rsidRPr="00AD6C7D" w:rsidRDefault="00925F82" w:rsidP="00925F82">
      <w:pPr>
        <w:pStyle w:val="H23G"/>
        <w:tabs>
          <w:tab w:val="left" w:pos="1134"/>
          <w:tab w:val="left" w:pos="3402"/>
        </w:tabs>
        <w:ind w:left="3402" w:hanging="3402"/>
        <w:rPr>
          <w:b w:val="0"/>
          <w:bCs/>
          <w:lang w:val="de-DE"/>
        </w:rPr>
      </w:pPr>
      <w:r w:rsidRPr="00AD6C7D">
        <w:rPr>
          <w:b w:val="0"/>
          <w:bCs/>
          <w:i/>
          <w:iCs/>
          <w:lang w:val="de-DE"/>
        </w:rPr>
        <w:tab/>
      </w:r>
      <w:r w:rsidRPr="00AD6C7D">
        <w:rPr>
          <w:b w:val="0"/>
          <w:bCs/>
          <w:i/>
          <w:iCs/>
          <w:lang w:val="de-DE"/>
        </w:rPr>
        <w:tab/>
      </w:r>
      <w:r w:rsidR="007540AC" w:rsidRPr="00AD6C7D">
        <w:rPr>
          <w:b w:val="0"/>
          <w:bCs/>
          <w:i/>
          <w:iCs/>
          <w:lang w:val="de-DE"/>
        </w:rPr>
        <w:t>Informelles Dokument</w:t>
      </w:r>
      <w:r w:rsidRPr="00AD6C7D">
        <w:rPr>
          <w:b w:val="0"/>
          <w:bCs/>
          <w:lang w:val="de-DE"/>
        </w:rPr>
        <w:t>:</w:t>
      </w:r>
      <w:r w:rsidRPr="00AD6C7D">
        <w:rPr>
          <w:b w:val="0"/>
          <w:bCs/>
          <w:lang w:val="de-DE"/>
        </w:rPr>
        <w:tab/>
        <w:t xml:space="preserve">INF.25 </w:t>
      </w:r>
      <w:r w:rsidR="0076134A" w:rsidRPr="00AD6C7D">
        <w:rPr>
          <w:b w:val="0"/>
          <w:bCs/>
          <w:lang w:val="de-DE"/>
        </w:rPr>
        <w:t>(Empfohlene ADN-Klassifikationsgesellschaften</w:t>
      </w:r>
      <w:r w:rsidRPr="00AD6C7D">
        <w:rPr>
          <w:b w:val="0"/>
          <w:bCs/>
          <w:lang w:val="de-DE"/>
        </w:rPr>
        <w:t>)</w:t>
      </w:r>
    </w:p>
    <w:p w14:paraId="69E61191" w14:textId="3CF1A399" w:rsidR="00925F82" w:rsidRPr="00AD6C7D" w:rsidRDefault="00925F82" w:rsidP="00717EF7">
      <w:pPr>
        <w:pStyle w:val="SingleTxtG"/>
        <w:rPr>
          <w:lang w:val="de-DE"/>
        </w:rPr>
      </w:pPr>
      <w:r w:rsidRPr="00AD6C7D">
        <w:rPr>
          <w:lang w:val="de-DE"/>
        </w:rPr>
        <w:t>26.</w:t>
      </w:r>
      <w:r w:rsidRPr="00AD6C7D">
        <w:rPr>
          <w:lang w:val="de-DE"/>
        </w:rPr>
        <w:tab/>
      </w:r>
      <w:r w:rsidR="00642F69" w:rsidRPr="00AD6C7D">
        <w:rPr>
          <w:lang w:val="de-DE"/>
        </w:rPr>
        <w:t>Der Sicherheitsausschuss dankte den Empfohlenen ADN-Klassifikationsgesellschaften für ihre Hinweise auf Unstimmigkeiten in der Definition der Zone 1 in allen Sprachfassungen des ADN.</w:t>
      </w:r>
      <w:r w:rsidRPr="00AD6C7D">
        <w:rPr>
          <w:lang w:val="de-DE"/>
        </w:rPr>
        <w:t xml:space="preserve"> </w:t>
      </w:r>
      <w:r w:rsidR="00642F69" w:rsidRPr="00AD6C7D">
        <w:rPr>
          <w:lang w:val="de-DE"/>
        </w:rPr>
        <w:t xml:space="preserve">Es wurde klargestellt, dass die Absicht des ursprünglichen Vorschlags darin bestand, den Bereich zwischen zwei konzentrischen Kreisen zu beschreiben, </w:t>
      </w:r>
      <w:r w:rsidR="00717EF7" w:rsidRPr="00AD6C7D">
        <w:rPr>
          <w:lang w:val="de-DE"/>
        </w:rPr>
        <w:t>wobei</w:t>
      </w:r>
      <w:r w:rsidR="00642F69" w:rsidRPr="00AD6C7D">
        <w:rPr>
          <w:lang w:val="de-DE"/>
        </w:rPr>
        <w:t xml:space="preserve"> der innere Kreis die Öffnung ist und der Radius des äußeren Kreises dem Radius des inneren Kreises + 2,50 m (oder einem äußeren Rand mit einer Breite von 2,50 m) entspricht.</w:t>
      </w:r>
      <w:r w:rsidRPr="00AD6C7D">
        <w:rPr>
          <w:lang w:val="de-DE"/>
        </w:rPr>
        <w:t xml:space="preserve"> </w:t>
      </w:r>
      <w:r w:rsidR="00F363F3" w:rsidRPr="00AD6C7D">
        <w:rPr>
          <w:lang w:val="de-DE"/>
        </w:rPr>
        <w:t>Im Hinblick auf</w:t>
      </w:r>
      <w:r w:rsidR="00717EF7" w:rsidRPr="00AD6C7D">
        <w:rPr>
          <w:lang w:val="de-DE"/>
        </w:rPr>
        <w:t xml:space="preserve"> die</w:t>
      </w:r>
      <w:r w:rsidR="00F363F3" w:rsidRPr="00AD6C7D">
        <w:rPr>
          <w:lang w:val="de-DE"/>
        </w:rPr>
        <w:t xml:space="preserve"> Höhe der dreidimensionalen Form wurde festgestellt, dass sie 2,50 m über Deck und 1,50 m über den Leitungen betragen sollte.</w:t>
      </w:r>
      <w:r w:rsidRPr="00AD6C7D">
        <w:rPr>
          <w:lang w:val="de-DE"/>
        </w:rPr>
        <w:t xml:space="preserve"> </w:t>
      </w:r>
      <w:r w:rsidR="00F363F3" w:rsidRPr="00AD6C7D">
        <w:rPr>
          <w:lang w:val="de-DE"/>
        </w:rPr>
        <w:t>Die Vertreter der Niederlande und der Empfohlenen ADN-Klassifikationsgesellschaften w</w:t>
      </w:r>
      <w:r w:rsidR="00717EF7" w:rsidRPr="00AD6C7D">
        <w:rPr>
          <w:lang w:val="de-DE"/>
        </w:rPr>
        <w:t>e</w:t>
      </w:r>
      <w:r w:rsidR="00F363F3" w:rsidRPr="00AD6C7D">
        <w:rPr>
          <w:lang w:val="de-DE"/>
        </w:rPr>
        <w:t>rden für die nächste Sitzung des Sicherheitsausschusses einen Vorschlag zur Lösung dieser Unstimmigkeiten ausarbeiten.</w:t>
      </w:r>
    </w:p>
    <w:p w14:paraId="3A3CE854" w14:textId="2ACD3B75" w:rsidR="00925F82" w:rsidRPr="00AD6C7D" w:rsidRDefault="00925F82" w:rsidP="00717EF7">
      <w:pPr>
        <w:pStyle w:val="SingleTxtG"/>
        <w:rPr>
          <w:lang w:val="de-DE"/>
        </w:rPr>
      </w:pPr>
      <w:r w:rsidRPr="00AD6C7D">
        <w:rPr>
          <w:lang w:val="de-DE"/>
        </w:rPr>
        <w:t>27.</w:t>
      </w:r>
      <w:r w:rsidRPr="00AD6C7D">
        <w:rPr>
          <w:lang w:val="de-DE"/>
        </w:rPr>
        <w:tab/>
      </w:r>
      <w:r w:rsidR="001F7F91" w:rsidRPr="00AD6C7D">
        <w:rPr>
          <w:lang w:val="de-DE"/>
        </w:rPr>
        <w:t xml:space="preserve">In Bezug auf die Frage in Absatz 11 wurde klargestellt, dass verschraubte Blindflanschöffnungen als Öffnungen im Rahmen des Explosionsschutzes anzusehen sind, sofern </w:t>
      </w:r>
      <w:r w:rsidR="00046475" w:rsidRPr="00AD6C7D">
        <w:rPr>
          <w:lang w:val="de-DE"/>
        </w:rPr>
        <w:t>die</w:t>
      </w:r>
      <w:r w:rsidR="001F7F91" w:rsidRPr="00AD6C7D">
        <w:rPr>
          <w:lang w:val="de-DE"/>
        </w:rPr>
        <w:t xml:space="preserve"> Definition der Zone 1 nichts anderes </w:t>
      </w:r>
      <w:r w:rsidR="00046475" w:rsidRPr="00AD6C7D">
        <w:rPr>
          <w:lang w:val="de-DE"/>
        </w:rPr>
        <w:t>vorsieht</w:t>
      </w:r>
      <w:r w:rsidR="001F7F91" w:rsidRPr="00AD6C7D">
        <w:rPr>
          <w:lang w:val="de-DE"/>
        </w:rPr>
        <w:t>.</w:t>
      </w:r>
    </w:p>
    <w:p w14:paraId="4DA9B3A2" w14:textId="06C6261F" w:rsidR="00925F82" w:rsidRPr="00660988" w:rsidRDefault="00925F82" w:rsidP="00E641B3">
      <w:pPr>
        <w:pStyle w:val="H1G"/>
        <w:spacing w:before="240"/>
        <w:rPr>
          <w:lang w:val="de-DE"/>
        </w:rPr>
      </w:pPr>
      <w:r w:rsidRPr="00AD6C7D">
        <w:rPr>
          <w:lang w:val="de-DE"/>
        </w:rPr>
        <w:tab/>
      </w:r>
      <w:r w:rsidRPr="00660988">
        <w:rPr>
          <w:lang w:val="de-DE"/>
        </w:rPr>
        <w:t>D.</w:t>
      </w:r>
      <w:r w:rsidRPr="00660988">
        <w:rPr>
          <w:lang w:val="de-DE"/>
        </w:rPr>
        <w:tab/>
      </w:r>
      <w:proofErr w:type="spellStart"/>
      <w:r w:rsidR="00881607" w:rsidRPr="00660988">
        <w:rPr>
          <w:lang w:val="de-DE"/>
        </w:rPr>
        <w:t>Sachkundigenausbildung</w:t>
      </w:r>
      <w:proofErr w:type="spellEnd"/>
    </w:p>
    <w:p w14:paraId="025D34E2" w14:textId="4EF10CE6" w:rsidR="00925F82" w:rsidRPr="00AD6C7D" w:rsidRDefault="00925F82" w:rsidP="00E641B3">
      <w:pPr>
        <w:pStyle w:val="H1G"/>
        <w:spacing w:before="240" w:after="120"/>
        <w:ind w:right="992"/>
        <w:rPr>
          <w:sz w:val="20"/>
          <w:lang w:val="de-DE"/>
        </w:rPr>
      </w:pPr>
      <w:r w:rsidRPr="00660988">
        <w:rPr>
          <w:sz w:val="20"/>
          <w:lang w:val="de-DE"/>
        </w:rPr>
        <w:tab/>
      </w:r>
      <w:r w:rsidRPr="00AD6C7D">
        <w:rPr>
          <w:sz w:val="20"/>
          <w:lang w:val="de-DE"/>
        </w:rPr>
        <w:t>1.</w:t>
      </w:r>
      <w:r w:rsidRPr="00AD6C7D">
        <w:rPr>
          <w:sz w:val="20"/>
          <w:lang w:val="de-DE"/>
        </w:rPr>
        <w:tab/>
      </w:r>
      <w:r w:rsidR="00046475" w:rsidRPr="00AD6C7D">
        <w:rPr>
          <w:sz w:val="20"/>
          <w:lang w:val="de-DE"/>
        </w:rPr>
        <w:t>Vorschlag für die Aktualisierung des Arbeitsplans der informellen Arbeitsgruppe „</w:t>
      </w:r>
      <w:proofErr w:type="spellStart"/>
      <w:r w:rsidR="00046475" w:rsidRPr="00AD6C7D">
        <w:rPr>
          <w:sz w:val="20"/>
          <w:lang w:val="de-DE"/>
        </w:rPr>
        <w:t>Sachkundigenausbildung</w:t>
      </w:r>
      <w:proofErr w:type="spellEnd"/>
      <w:r w:rsidR="00046475" w:rsidRPr="00AD6C7D">
        <w:rPr>
          <w:sz w:val="20"/>
          <w:lang w:val="de-DE"/>
        </w:rPr>
        <w:t>“</w:t>
      </w:r>
    </w:p>
    <w:p w14:paraId="4CC26C36" w14:textId="225B09C2" w:rsidR="00925F82" w:rsidRPr="00AD6C7D" w:rsidRDefault="00925F82" w:rsidP="00925F82">
      <w:pPr>
        <w:pStyle w:val="H23G"/>
        <w:tabs>
          <w:tab w:val="left" w:pos="3402"/>
        </w:tabs>
        <w:spacing w:after="0"/>
        <w:rPr>
          <w:b w:val="0"/>
          <w:bCs/>
          <w:lang w:val="de-DE"/>
        </w:rPr>
      </w:pPr>
      <w:r w:rsidRPr="00AD6C7D">
        <w:rPr>
          <w:b w:val="0"/>
          <w:bCs/>
          <w:lang w:val="de-DE"/>
        </w:rPr>
        <w:tab/>
      </w:r>
      <w:r w:rsidRPr="00AD6C7D">
        <w:rPr>
          <w:b w:val="0"/>
          <w:bCs/>
          <w:lang w:val="de-DE"/>
        </w:rPr>
        <w:tab/>
      </w:r>
      <w:r w:rsidRPr="00AD6C7D">
        <w:rPr>
          <w:b w:val="0"/>
          <w:bCs/>
          <w:i/>
          <w:iCs/>
          <w:lang w:val="de-DE"/>
        </w:rPr>
        <w:t>Do</w:t>
      </w:r>
      <w:r w:rsidR="0076134A" w:rsidRPr="00AD6C7D">
        <w:rPr>
          <w:b w:val="0"/>
          <w:bCs/>
          <w:i/>
          <w:iCs/>
          <w:lang w:val="de-DE"/>
        </w:rPr>
        <w:t>k</w:t>
      </w:r>
      <w:r w:rsidRPr="00AD6C7D">
        <w:rPr>
          <w:b w:val="0"/>
          <w:bCs/>
          <w:i/>
          <w:iCs/>
          <w:lang w:val="de-DE"/>
        </w:rPr>
        <w:t>ument</w:t>
      </w:r>
      <w:r w:rsidRPr="00AD6C7D">
        <w:rPr>
          <w:b w:val="0"/>
          <w:bCs/>
          <w:lang w:val="de-DE"/>
        </w:rPr>
        <w:t>:</w:t>
      </w:r>
      <w:r w:rsidRPr="00AD6C7D">
        <w:rPr>
          <w:b w:val="0"/>
          <w:bCs/>
          <w:lang w:val="de-DE"/>
        </w:rPr>
        <w:tab/>
        <w:t>ECE/TRANS/WP.15/AC.2/2019/25 (</w:t>
      </w:r>
      <w:r w:rsidR="007540AC" w:rsidRPr="00AD6C7D">
        <w:rPr>
          <w:b w:val="0"/>
          <w:bCs/>
          <w:lang w:val="de-DE"/>
        </w:rPr>
        <w:t>ZKR</w:t>
      </w:r>
      <w:r w:rsidRPr="00AD6C7D">
        <w:rPr>
          <w:b w:val="0"/>
          <w:bCs/>
          <w:lang w:val="de-DE"/>
        </w:rPr>
        <w:t>)</w:t>
      </w:r>
    </w:p>
    <w:p w14:paraId="59BE309B" w14:textId="7217E29A" w:rsidR="00925F82" w:rsidRPr="00AD6C7D" w:rsidRDefault="00925F82" w:rsidP="00925F82">
      <w:pPr>
        <w:pStyle w:val="H23G"/>
        <w:tabs>
          <w:tab w:val="left" w:pos="3402"/>
        </w:tabs>
        <w:spacing w:before="0"/>
        <w:rPr>
          <w:b w:val="0"/>
          <w:bCs/>
          <w:lang w:val="de-DE"/>
        </w:rPr>
      </w:pPr>
      <w:r w:rsidRPr="00AD6C7D">
        <w:rPr>
          <w:b w:val="0"/>
          <w:bCs/>
          <w:lang w:val="de-DE"/>
        </w:rPr>
        <w:tab/>
      </w:r>
      <w:r w:rsidRPr="00AD6C7D">
        <w:rPr>
          <w:b w:val="0"/>
          <w:bCs/>
          <w:lang w:val="de-DE"/>
        </w:rPr>
        <w:tab/>
      </w:r>
      <w:r w:rsidR="007540AC" w:rsidRPr="00AD6C7D">
        <w:rPr>
          <w:b w:val="0"/>
          <w:bCs/>
          <w:i/>
          <w:iCs/>
          <w:lang w:val="de-DE"/>
        </w:rPr>
        <w:t>Informelle Dokumente</w:t>
      </w:r>
      <w:r w:rsidRPr="00AD6C7D">
        <w:rPr>
          <w:b w:val="0"/>
          <w:bCs/>
          <w:lang w:val="de-DE"/>
        </w:rPr>
        <w:t xml:space="preserve">: </w:t>
      </w:r>
      <w:r w:rsidRPr="00AD6C7D">
        <w:rPr>
          <w:b w:val="0"/>
          <w:bCs/>
          <w:lang w:val="de-DE"/>
        </w:rPr>
        <w:tab/>
        <w:t xml:space="preserve">INF.29 </w:t>
      </w:r>
      <w:r w:rsidR="007540AC" w:rsidRPr="00AD6C7D">
        <w:rPr>
          <w:b w:val="0"/>
          <w:bCs/>
          <w:lang w:val="de-DE"/>
        </w:rPr>
        <w:t>(Deutschland)</w:t>
      </w:r>
      <w:r w:rsidRPr="00AD6C7D">
        <w:rPr>
          <w:b w:val="0"/>
          <w:bCs/>
          <w:lang w:val="de-DE"/>
        </w:rPr>
        <w:t xml:space="preserve"> </w:t>
      </w:r>
      <w:r w:rsidR="0076134A" w:rsidRPr="00AD6C7D">
        <w:rPr>
          <w:b w:val="0"/>
          <w:bCs/>
          <w:lang w:val="de-DE"/>
        </w:rPr>
        <w:t>und</w:t>
      </w:r>
      <w:r w:rsidRPr="00AD6C7D">
        <w:rPr>
          <w:b w:val="0"/>
          <w:bCs/>
          <w:lang w:val="de-DE"/>
        </w:rPr>
        <w:t xml:space="preserve"> INF.10 (</w:t>
      </w:r>
      <w:r w:rsidR="007540AC" w:rsidRPr="00AD6C7D">
        <w:rPr>
          <w:b w:val="0"/>
          <w:bCs/>
          <w:lang w:val="de-DE"/>
        </w:rPr>
        <w:t>ZKR</w:t>
      </w:r>
      <w:r w:rsidRPr="00AD6C7D">
        <w:rPr>
          <w:b w:val="0"/>
          <w:bCs/>
          <w:lang w:val="de-DE"/>
        </w:rPr>
        <w:t>)</w:t>
      </w:r>
    </w:p>
    <w:p w14:paraId="705B84BF" w14:textId="78C53385" w:rsidR="00925F82" w:rsidRPr="00AD6C7D" w:rsidRDefault="00925F82" w:rsidP="0035170E">
      <w:pPr>
        <w:pStyle w:val="SingleTxtG"/>
        <w:rPr>
          <w:lang w:val="de-DE"/>
        </w:rPr>
      </w:pPr>
      <w:r w:rsidRPr="00AD6C7D">
        <w:rPr>
          <w:lang w:val="de-DE"/>
        </w:rPr>
        <w:t>28.</w:t>
      </w:r>
      <w:r w:rsidRPr="00AD6C7D">
        <w:rPr>
          <w:lang w:val="de-DE"/>
        </w:rPr>
        <w:tab/>
      </w:r>
      <w:r w:rsidR="00046475" w:rsidRPr="00AD6C7D">
        <w:rPr>
          <w:lang w:val="de-DE"/>
        </w:rPr>
        <w:t>Der Sicherheitsausschuss prüfte den Bericht über die zwanzigste Sitzung der informellen Arbeitsgruppe „</w:t>
      </w:r>
      <w:proofErr w:type="spellStart"/>
      <w:r w:rsidR="00046475" w:rsidRPr="00AD6C7D">
        <w:rPr>
          <w:lang w:val="de-DE"/>
        </w:rPr>
        <w:t>Sachkundigenausbildung</w:t>
      </w:r>
      <w:proofErr w:type="spellEnd"/>
      <w:r w:rsidR="00046475" w:rsidRPr="00AD6C7D">
        <w:rPr>
          <w:lang w:val="de-DE"/>
        </w:rPr>
        <w:t>“ in Dokument ECE/TRANS/WP.15/AC.2/2019/25 und nahm die Änderungsvorschläge in Anlage 1</w:t>
      </w:r>
      <w:r w:rsidR="0035170E" w:rsidRPr="00AD6C7D">
        <w:rPr>
          <w:lang w:val="de-DE"/>
        </w:rPr>
        <w:t xml:space="preserve"> des Berichts</w:t>
      </w:r>
      <w:r w:rsidR="00046475" w:rsidRPr="00AD6C7D">
        <w:rPr>
          <w:lang w:val="de-DE"/>
        </w:rPr>
        <w:t xml:space="preserve"> an.</w:t>
      </w:r>
      <w:r w:rsidRPr="00AD6C7D">
        <w:rPr>
          <w:lang w:val="de-DE"/>
        </w:rPr>
        <w:t xml:space="preserve"> </w:t>
      </w:r>
      <w:r w:rsidR="00046475" w:rsidRPr="00AD6C7D">
        <w:rPr>
          <w:lang w:val="de-DE"/>
        </w:rPr>
        <w:t>Der Sicherheitsausschuss wurde daran erinnert, dass dem Sekretariat der UNECE Prüfungsstatistiken übermittelt werden sollten. Zur Harmonisierung der übermittelten Daten nahm er d</w:t>
      </w:r>
      <w:r w:rsidR="008B4C08" w:rsidRPr="00AD6C7D">
        <w:rPr>
          <w:lang w:val="de-DE"/>
        </w:rPr>
        <w:t>ie</w:t>
      </w:r>
      <w:r w:rsidR="00046475" w:rsidRPr="00AD6C7D">
        <w:rPr>
          <w:lang w:val="de-DE"/>
        </w:rPr>
        <w:t xml:space="preserve"> in An</w:t>
      </w:r>
      <w:r w:rsidR="0035170E" w:rsidRPr="00AD6C7D">
        <w:rPr>
          <w:lang w:val="de-DE"/>
        </w:rPr>
        <w:t>l</w:t>
      </w:r>
      <w:r w:rsidR="00046475" w:rsidRPr="00AD6C7D">
        <w:rPr>
          <w:lang w:val="de-DE"/>
        </w:rPr>
        <w:t>ag</w:t>
      </w:r>
      <w:r w:rsidR="0035170E" w:rsidRPr="00AD6C7D">
        <w:rPr>
          <w:lang w:val="de-DE"/>
        </w:rPr>
        <w:t>e</w:t>
      </w:r>
      <w:r w:rsidR="00046475" w:rsidRPr="00AD6C7D">
        <w:rPr>
          <w:lang w:val="de-DE"/>
        </w:rPr>
        <w:t xml:space="preserve"> 2 des Berichts vorgeschlagene </w:t>
      </w:r>
      <w:r w:rsidR="0035170E" w:rsidRPr="00AD6C7D">
        <w:rPr>
          <w:lang w:val="de-DE"/>
        </w:rPr>
        <w:t>Vorlage</w:t>
      </w:r>
      <w:r w:rsidR="00046475" w:rsidRPr="00AD6C7D">
        <w:rPr>
          <w:lang w:val="de-DE"/>
        </w:rPr>
        <w:t xml:space="preserve"> an.</w:t>
      </w:r>
    </w:p>
    <w:p w14:paraId="02007672" w14:textId="04A7FF9B" w:rsidR="00925F82" w:rsidRPr="00AD6C7D" w:rsidRDefault="00925F82" w:rsidP="0035170E">
      <w:pPr>
        <w:pStyle w:val="SingleTxtG"/>
        <w:rPr>
          <w:lang w:val="de-DE"/>
        </w:rPr>
      </w:pPr>
      <w:r w:rsidRPr="00AD6C7D">
        <w:rPr>
          <w:lang w:val="de-DE"/>
        </w:rPr>
        <w:t>29.</w:t>
      </w:r>
      <w:r w:rsidRPr="00AD6C7D">
        <w:rPr>
          <w:lang w:val="de-DE"/>
        </w:rPr>
        <w:tab/>
      </w:r>
      <w:r w:rsidR="00046475" w:rsidRPr="00AD6C7D">
        <w:rPr>
          <w:lang w:val="de-DE"/>
        </w:rPr>
        <w:t xml:space="preserve">Der ZKR-Vertreter erklärte sich bereit, </w:t>
      </w:r>
      <w:r w:rsidR="00066874" w:rsidRPr="00AD6C7D">
        <w:rPr>
          <w:lang w:val="de-DE"/>
        </w:rPr>
        <w:t>zu gegebener Zeit</w:t>
      </w:r>
      <w:r w:rsidR="00046475" w:rsidRPr="00AD6C7D">
        <w:rPr>
          <w:lang w:val="de-DE"/>
        </w:rPr>
        <w:t xml:space="preserve"> ein offizielles Dokument mit den in den Ziffern 32 bis 34 des Berichts genannten Änderungen auszuarbeiten.</w:t>
      </w:r>
      <w:r w:rsidRPr="00AD6C7D">
        <w:rPr>
          <w:lang w:val="de-DE"/>
        </w:rPr>
        <w:t xml:space="preserve"> </w:t>
      </w:r>
      <w:r w:rsidR="00DA6BD7" w:rsidRPr="00AD6C7D">
        <w:rPr>
          <w:lang w:val="de-DE"/>
        </w:rPr>
        <w:t xml:space="preserve">In Bezug auf Anlage 3 zur </w:t>
      </w:r>
      <w:r w:rsidR="008B4C08" w:rsidRPr="00AD6C7D">
        <w:rPr>
          <w:lang w:val="de-DE"/>
        </w:rPr>
        <w:t>Formulierung</w:t>
      </w:r>
      <w:r w:rsidR="00DA6BD7" w:rsidRPr="00AD6C7D">
        <w:rPr>
          <w:lang w:val="de-DE"/>
        </w:rPr>
        <w:t xml:space="preserve"> schriftlicher</w:t>
      </w:r>
      <w:r w:rsidR="008B4C08" w:rsidRPr="00AD6C7D">
        <w:rPr>
          <w:lang w:val="de-DE"/>
        </w:rPr>
        <w:t>,</w:t>
      </w:r>
      <w:r w:rsidR="00DA6BD7" w:rsidRPr="00AD6C7D">
        <w:rPr>
          <w:lang w:val="de-DE"/>
        </w:rPr>
        <w:t xml:space="preserve"> </w:t>
      </w:r>
      <w:r w:rsidR="008B4C08" w:rsidRPr="00AD6C7D">
        <w:rPr>
          <w:lang w:val="de-DE"/>
        </w:rPr>
        <w:t>geschlossener Prüfungsfragen</w:t>
      </w:r>
      <w:r w:rsidR="00DA6BD7" w:rsidRPr="00AD6C7D">
        <w:rPr>
          <w:lang w:val="de-DE"/>
        </w:rPr>
        <w:t xml:space="preserve"> wurde vereinbart, dass die informelle Arbeitsgruppe die Beratungen über folgende Punkte wieder aufnimmt:</w:t>
      </w:r>
    </w:p>
    <w:p w14:paraId="66CCABFC" w14:textId="40567F1C" w:rsidR="00925F82" w:rsidRPr="00AD6C7D" w:rsidRDefault="00DA6BD7" w:rsidP="00E641B3">
      <w:pPr>
        <w:pStyle w:val="SingleTxtG"/>
        <w:tabs>
          <w:tab w:val="left" w:pos="1560"/>
        </w:tabs>
        <w:rPr>
          <w:lang w:val="de-DE"/>
        </w:rPr>
      </w:pPr>
      <w:r w:rsidRPr="00AD6C7D">
        <w:rPr>
          <w:lang w:val="de-DE"/>
        </w:rPr>
        <w:t>(i)</w:t>
      </w:r>
      <w:r w:rsidR="00925F82" w:rsidRPr="00AD6C7D">
        <w:rPr>
          <w:lang w:val="de-DE"/>
        </w:rPr>
        <w:tab/>
      </w:r>
      <w:r w:rsidRPr="00AD6C7D">
        <w:rPr>
          <w:lang w:val="de-DE"/>
        </w:rPr>
        <w:t>Beherrschungsgrad der Prüfungssprache;</w:t>
      </w:r>
    </w:p>
    <w:p w14:paraId="54EEC1B5" w14:textId="51573082" w:rsidR="00925F82" w:rsidRPr="00AD6C7D" w:rsidRDefault="00DA6BD7" w:rsidP="00E641B3">
      <w:pPr>
        <w:pStyle w:val="SingleTxtG"/>
        <w:tabs>
          <w:tab w:val="left" w:pos="1560"/>
        </w:tabs>
        <w:rPr>
          <w:lang w:val="de-DE"/>
        </w:rPr>
      </w:pPr>
      <w:r w:rsidRPr="00AD6C7D">
        <w:rPr>
          <w:lang w:val="de-DE"/>
        </w:rPr>
        <w:t>(ii)</w:t>
      </w:r>
      <w:r w:rsidR="00925F82" w:rsidRPr="00AD6C7D">
        <w:rPr>
          <w:lang w:val="de-DE"/>
        </w:rPr>
        <w:tab/>
      </w:r>
      <w:r w:rsidRPr="00AD6C7D">
        <w:rPr>
          <w:lang w:val="de-DE"/>
        </w:rPr>
        <w:t>Ausweitung der Prüfungszeit und</w:t>
      </w:r>
    </w:p>
    <w:p w14:paraId="668A2175" w14:textId="18ECD52E" w:rsidR="00925F82" w:rsidRPr="00AD6C7D" w:rsidRDefault="00B56822" w:rsidP="00E641B3">
      <w:pPr>
        <w:pStyle w:val="SingleTxtG"/>
        <w:tabs>
          <w:tab w:val="left" w:pos="1560"/>
        </w:tabs>
        <w:rPr>
          <w:lang w:val="de-DE"/>
        </w:rPr>
      </w:pPr>
      <w:r w:rsidRPr="00AD6C7D">
        <w:rPr>
          <w:lang w:val="de-DE"/>
        </w:rPr>
        <w:t>(iii)</w:t>
      </w:r>
      <w:r w:rsidR="00925F82" w:rsidRPr="00AD6C7D">
        <w:rPr>
          <w:lang w:val="de-DE"/>
        </w:rPr>
        <w:tab/>
      </w:r>
      <w:r w:rsidRPr="00AD6C7D">
        <w:rPr>
          <w:lang w:val="de-DE"/>
        </w:rPr>
        <w:t>Vereinfachung der Fragenformulierung durch Schemata oder Zahlen und Reduzierung der Anzahl der Antworten auf drei, darunter zwei plausible, aber falsche Antworten.</w:t>
      </w:r>
    </w:p>
    <w:p w14:paraId="5C326423" w14:textId="5D68BF05" w:rsidR="00925F82" w:rsidRPr="00AD6C7D" w:rsidRDefault="00925F82" w:rsidP="008E3621">
      <w:pPr>
        <w:pStyle w:val="SingleTxtG"/>
        <w:rPr>
          <w:lang w:val="de-DE"/>
        </w:rPr>
      </w:pPr>
      <w:r w:rsidRPr="00AD6C7D">
        <w:rPr>
          <w:lang w:val="de-DE"/>
        </w:rPr>
        <w:t>30.</w:t>
      </w:r>
      <w:r w:rsidRPr="00AD6C7D">
        <w:rPr>
          <w:lang w:val="de-DE"/>
        </w:rPr>
        <w:tab/>
      </w:r>
      <w:r w:rsidR="00E5230C" w:rsidRPr="00AD6C7D">
        <w:rPr>
          <w:lang w:val="de-DE"/>
        </w:rPr>
        <w:t>Der Sicherheitsausschuss stimmte der Auffassung der informellen Arbeitsgruppe zu, dass nach Ablauf der Übergangszeit für die Stabilitätsausbildung die Dauer des Widerholungskurses wieder zwei statt drei Tage betragen sollte.</w:t>
      </w:r>
      <w:r w:rsidRPr="00AD6C7D">
        <w:rPr>
          <w:lang w:val="de-DE"/>
        </w:rPr>
        <w:t xml:space="preserve"> </w:t>
      </w:r>
    </w:p>
    <w:p w14:paraId="14387C5E" w14:textId="4A7FC1E2" w:rsidR="00925F82" w:rsidRPr="00AD6C7D" w:rsidRDefault="00925F82" w:rsidP="00E21673">
      <w:pPr>
        <w:pStyle w:val="SingleTxtG"/>
        <w:rPr>
          <w:lang w:val="de-DE"/>
        </w:rPr>
      </w:pPr>
      <w:r w:rsidRPr="00AD6C7D">
        <w:rPr>
          <w:lang w:val="de-DE"/>
        </w:rPr>
        <w:t>31.</w:t>
      </w:r>
      <w:r w:rsidRPr="00AD6C7D">
        <w:rPr>
          <w:lang w:val="de-DE"/>
        </w:rPr>
        <w:tab/>
      </w:r>
      <w:r w:rsidR="00E5230C" w:rsidRPr="00AD6C7D">
        <w:rPr>
          <w:lang w:val="de-DE"/>
        </w:rPr>
        <w:t>Der Sicherheitsausschuss billigte den aktualisierten Arbeitsplan der informellen Arbeitsgruppe gemäß dem informellen Dokument INF.10.</w:t>
      </w:r>
      <w:r w:rsidRPr="00AD6C7D">
        <w:rPr>
          <w:lang w:val="de-DE"/>
        </w:rPr>
        <w:t xml:space="preserve"> </w:t>
      </w:r>
      <w:r w:rsidR="00E5230C" w:rsidRPr="00AD6C7D">
        <w:rPr>
          <w:lang w:val="de-DE"/>
        </w:rPr>
        <w:t>Es wurde darauf hingewiesen, dass die nächste Sitzung der informellen Arbeitsgruppe für den 24. bis 26. März 2020 geplant ist.</w:t>
      </w:r>
    </w:p>
    <w:p w14:paraId="5607D9F8" w14:textId="00FBADF0" w:rsidR="00925F82" w:rsidRPr="00AD6C7D" w:rsidRDefault="00925F82" w:rsidP="00925F82">
      <w:pPr>
        <w:pStyle w:val="H1G"/>
        <w:rPr>
          <w:lang w:val="de-DE"/>
        </w:rPr>
      </w:pPr>
      <w:r w:rsidRPr="00AD6C7D">
        <w:rPr>
          <w:lang w:val="de-DE"/>
        </w:rPr>
        <w:lastRenderedPageBreak/>
        <w:tab/>
        <w:t>E.</w:t>
      </w:r>
      <w:r w:rsidRPr="00AD6C7D">
        <w:rPr>
          <w:lang w:val="de-DE"/>
        </w:rPr>
        <w:tab/>
      </w:r>
      <w:r w:rsidR="00881607" w:rsidRPr="00AD6C7D">
        <w:rPr>
          <w:lang w:val="de-DE"/>
        </w:rPr>
        <w:t>Fragen im Zusammenhang mit den Klassifikationsgesellschaften</w:t>
      </w:r>
    </w:p>
    <w:p w14:paraId="0641E54D" w14:textId="28E59A0C" w:rsidR="00925F82" w:rsidRPr="00AD6C7D" w:rsidRDefault="00925F82" w:rsidP="00E5230C">
      <w:pPr>
        <w:pStyle w:val="H1G"/>
        <w:ind w:right="992"/>
        <w:rPr>
          <w:sz w:val="20"/>
          <w:lang w:val="de-DE"/>
        </w:rPr>
      </w:pPr>
      <w:r w:rsidRPr="00AD6C7D">
        <w:rPr>
          <w:sz w:val="20"/>
          <w:lang w:val="de-DE"/>
        </w:rPr>
        <w:tab/>
        <w:t>1.</w:t>
      </w:r>
      <w:r w:rsidRPr="00AD6C7D">
        <w:rPr>
          <w:sz w:val="20"/>
          <w:lang w:val="de-DE"/>
        </w:rPr>
        <w:tab/>
      </w:r>
      <w:bookmarkStart w:id="12" w:name="_Hlk22202972"/>
      <w:r w:rsidR="00E5230C" w:rsidRPr="00AD6C7D">
        <w:rPr>
          <w:sz w:val="20"/>
          <w:lang w:val="de-DE"/>
        </w:rPr>
        <w:t>Inhalt der Schiffsakte</w:t>
      </w:r>
      <w:bookmarkEnd w:id="12"/>
    </w:p>
    <w:p w14:paraId="29066529" w14:textId="02C6D9C1" w:rsidR="00925F82" w:rsidRPr="00AD6C7D" w:rsidRDefault="00925F82" w:rsidP="00925F82">
      <w:pPr>
        <w:pStyle w:val="H23G"/>
        <w:tabs>
          <w:tab w:val="left" w:pos="3402"/>
        </w:tabs>
        <w:rPr>
          <w:b w:val="0"/>
          <w:bCs/>
          <w:lang w:val="de-DE"/>
        </w:rPr>
      </w:pPr>
      <w:r w:rsidRPr="00AD6C7D">
        <w:rPr>
          <w:b w:val="0"/>
          <w:bCs/>
          <w:i/>
          <w:iCs/>
          <w:lang w:val="de-DE"/>
        </w:rPr>
        <w:tab/>
      </w:r>
      <w:r w:rsidRPr="00AD6C7D">
        <w:rPr>
          <w:b w:val="0"/>
          <w:bCs/>
          <w:i/>
          <w:iCs/>
          <w:lang w:val="de-DE"/>
        </w:rPr>
        <w:tab/>
      </w:r>
      <w:r w:rsidR="007540AC" w:rsidRPr="00AD6C7D">
        <w:rPr>
          <w:b w:val="0"/>
          <w:bCs/>
          <w:i/>
          <w:iCs/>
          <w:lang w:val="de-DE"/>
        </w:rPr>
        <w:t>Informelles Dokument</w:t>
      </w:r>
      <w:r w:rsidRPr="00AD6C7D">
        <w:rPr>
          <w:b w:val="0"/>
          <w:bCs/>
          <w:lang w:val="de-DE"/>
        </w:rPr>
        <w:t>:</w:t>
      </w:r>
      <w:r w:rsidRPr="00AD6C7D">
        <w:rPr>
          <w:b w:val="0"/>
          <w:bCs/>
          <w:lang w:val="de-DE"/>
        </w:rPr>
        <w:tab/>
        <w:t>INF.4 (</w:t>
      </w:r>
      <w:r w:rsidR="0076134A" w:rsidRPr="00AD6C7D">
        <w:rPr>
          <w:b w:val="0"/>
          <w:bCs/>
          <w:lang w:val="de-DE"/>
        </w:rPr>
        <w:t>Empfohlene ADN-Klassifikationsgesellschaften</w:t>
      </w:r>
      <w:r w:rsidRPr="00AD6C7D">
        <w:rPr>
          <w:b w:val="0"/>
          <w:bCs/>
          <w:lang w:val="de-DE"/>
        </w:rPr>
        <w:t>)</w:t>
      </w:r>
    </w:p>
    <w:p w14:paraId="7563937C" w14:textId="2A5F7FF2" w:rsidR="00925F82" w:rsidRPr="00AD6C7D" w:rsidRDefault="00925F82" w:rsidP="00746981">
      <w:pPr>
        <w:pStyle w:val="SingleTxtG"/>
        <w:rPr>
          <w:lang w:val="de-DE"/>
        </w:rPr>
      </w:pPr>
      <w:r w:rsidRPr="00AD6C7D">
        <w:rPr>
          <w:lang w:val="de-DE"/>
        </w:rPr>
        <w:t>32.</w:t>
      </w:r>
      <w:r w:rsidRPr="00AD6C7D">
        <w:rPr>
          <w:lang w:val="de-DE"/>
        </w:rPr>
        <w:tab/>
      </w:r>
      <w:r w:rsidR="00E5230C" w:rsidRPr="00AD6C7D">
        <w:rPr>
          <w:lang w:val="de-DE"/>
        </w:rPr>
        <w:t>Der Sicherheitsausschuss begrüßte den Vorschlag der informellen Arbeitsgruppe der Empfohlenen ADN-Klassifikationsgesellschaften und nahm mehrere Bemerkungen zum informellen Dokument INF.4 zur Kenntnis.</w:t>
      </w:r>
      <w:r w:rsidRPr="00AD6C7D">
        <w:rPr>
          <w:lang w:val="de-DE"/>
        </w:rPr>
        <w:t xml:space="preserve"> </w:t>
      </w:r>
      <w:r w:rsidR="002439E2" w:rsidRPr="00AD6C7D">
        <w:rPr>
          <w:lang w:val="de-DE"/>
        </w:rPr>
        <w:t>In der Frage, ob die Liste indikativ oder verbindlich sein sollte, sowie hinsichtlich des Kerninhalts der Schiffsakte waren die Meinungen geteilt.</w:t>
      </w:r>
      <w:r w:rsidRPr="00AD6C7D">
        <w:rPr>
          <w:lang w:val="de-DE"/>
        </w:rPr>
        <w:t xml:space="preserve"> </w:t>
      </w:r>
      <w:r w:rsidR="002439E2" w:rsidRPr="00AD6C7D">
        <w:rPr>
          <w:lang w:val="de-DE"/>
        </w:rPr>
        <w:t xml:space="preserve">Der Sicherheitsausschuss vereinbarte, dass die Schiffsakte grundsätzlich </w:t>
      </w:r>
      <w:r w:rsidR="00E21673" w:rsidRPr="00AD6C7D">
        <w:rPr>
          <w:lang w:val="de-DE"/>
        </w:rPr>
        <w:t>nicht kontrolliert</w:t>
      </w:r>
      <w:r w:rsidR="002439E2" w:rsidRPr="00AD6C7D">
        <w:rPr>
          <w:lang w:val="de-DE"/>
        </w:rPr>
        <w:t xml:space="preserve"> </w:t>
      </w:r>
      <w:r w:rsidR="00E21673" w:rsidRPr="00AD6C7D">
        <w:rPr>
          <w:lang w:val="de-DE"/>
        </w:rPr>
        <w:t xml:space="preserve">werden sollte </w:t>
      </w:r>
      <w:r w:rsidR="002439E2" w:rsidRPr="00AD6C7D">
        <w:rPr>
          <w:lang w:val="de-DE"/>
        </w:rPr>
        <w:t>und so umgestaltet werden sollte, dass sie nur den ADN-bezogenen Anforderungen entspricht.</w:t>
      </w:r>
    </w:p>
    <w:p w14:paraId="081DE1BA" w14:textId="2F205544" w:rsidR="00925F82" w:rsidRPr="00AD6C7D" w:rsidRDefault="00925F82" w:rsidP="0066607E">
      <w:pPr>
        <w:pStyle w:val="SingleTxtG"/>
        <w:rPr>
          <w:lang w:val="de-DE"/>
        </w:rPr>
      </w:pPr>
      <w:r w:rsidRPr="00AD6C7D">
        <w:rPr>
          <w:lang w:val="de-DE"/>
        </w:rPr>
        <w:t>33.</w:t>
      </w:r>
      <w:r w:rsidRPr="00AD6C7D">
        <w:rPr>
          <w:lang w:val="de-DE"/>
        </w:rPr>
        <w:tab/>
      </w:r>
      <w:r w:rsidR="002439E2" w:rsidRPr="00AD6C7D">
        <w:rPr>
          <w:lang w:val="de-DE"/>
        </w:rPr>
        <w:t>Der Sicherheitsausschuss ersuchte die informelle Arbeitsgruppe, ihre Arbeit unter Berücksichtigung der erhaltenen Bemerkungen fortzusetzen, da er die Annahme de</w:t>
      </w:r>
      <w:r w:rsidR="006229F2" w:rsidRPr="00AD6C7D">
        <w:rPr>
          <w:lang w:val="de-DE"/>
        </w:rPr>
        <w:t>r</w:t>
      </w:r>
      <w:r w:rsidR="002439E2" w:rsidRPr="00AD6C7D">
        <w:rPr>
          <w:lang w:val="de-DE"/>
        </w:rPr>
        <w:t xml:space="preserve"> </w:t>
      </w:r>
      <w:r w:rsidR="00746981" w:rsidRPr="00AD6C7D">
        <w:rPr>
          <w:lang w:val="de-DE"/>
        </w:rPr>
        <w:t>Inhalts</w:t>
      </w:r>
      <w:r w:rsidR="00511661" w:rsidRPr="00AD6C7D">
        <w:rPr>
          <w:lang w:val="de-DE"/>
        </w:rPr>
        <w:t>liste</w:t>
      </w:r>
      <w:r w:rsidR="002439E2" w:rsidRPr="00AD6C7D">
        <w:rPr>
          <w:lang w:val="de-DE"/>
        </w:rPr>
        <w:t xml:space="preserve"> </w:t>
      </w:r>
      <w:r w:rsidR="0066607E" w:rsidRPr="00AD6C7D">
        <w:rPr>
          <w:lang w:val="de-DE"/>
        </w:rPr>
        <w:t>für die</w:t>
      </w:r>
      <w:r w:rsidR="002439E2" w:rsidRPr="00AD6C7D">
        <w:rPr>
          <w:lang w:val="de-DE"/>
        </w:rPr>
        <w:t xml:space="preserve"> Schiffsakte für verfrüht hielt.</w:t>
      </w:r>
      <w:r w:rsidRPr="00AD6C7D">
        <w:rPr>
          <w:lang w:val="de-DE"/>
        </w:rPr>
        <w:t xml:space="preserve"> </w:t>
      </w:r>
      <w:r w:rsidR="002439E2" w:rsidRPr="00AD6C7D">
        <w:rPr>
          <w:lang w:val="de-DE"/>
        </w:rPr>
        <w:t xml:space="preserve">Der Sicherheitsausschuss ersuchte das Sekretariat, in der englischen Fassung des ADN das Datum in Absatz 1.6.7.2.2.5 </w:t>
      </w:r>
      <w:r w:rsidR="0066607E" w:rsidRPr="00AD6C7D">
        <w:rPr>
          <w:lang w:val="de-DE"/>
        </w:rPr>
        <w:t>in</w:t>
      </w:r>
      <w:r w:rsidR="002439E2" w:rsidRPr="00AD6C7D">
        <w:rPr>
          <w:lang w:val="de-DE"/>
        </w:rPr>
        <w:t xml:space="preserve"> „1.</w:t>
      </w:r>
      <w:r w:rsidR="00B45B12" w:rsidRPr="00AD6C7D">
        <w:rPr>
          <w:lang w:val="de-DE"/>
        </w:rPr>
        <w:t> </w:t>
      </w:r>
      <w:r w:rsidR="002439E2" w:rsidRPr="00AD6C7D">
        <w:rPr>
          <w:lang w:val="de-DE"/>
        </w:rPr>
        <w:t>Juli</w:t>
      </w:r>
      <w:r w:rsidR="00B45B12" w:rsidRPr="00AD6C7D">
        <w:rPr>
          <w:lang w:val="de-DE"/>
        </w:rPr>
        <w:t> </w:t>
      </w:r>
      <w:r w:rsidR="002439E2" w:rsidRPr="00AD6C7D">
        <w:rPr>
          <w:lang w:val="de-DE"/>
        </w:rPr>
        <w:t>2017“ z</w:t>
      </w:r>
      <w:r w:rsidR="0066607E" w:rsidRPr="00AD6C7D">
        <w:rPr>
          <w:lang w:val="de-DE"/>
        </w:rPr>
        <w:t xml:space="preserve">u </w:t>
      </w:r>
      <w:r w:rsidR="002439E2" w:rsidRPr="00AD6C7D">
        <w:rPr>
          <w:lang w:val="de-DE"/>
        </w:rPr>
        <w:t>korrigieren (siehe Anlage II).</w:t>
      </w:r>
      <w:r w:rsidRPr="00AD6C7D">
        <w:rPr>
          <w:lang w:val="de-DE"/>
        </w:rPr>
        <w:t xml:space="preserve"> </w:t>
      </w:r>
    </w:p>
    <w:p w14:paraId="7D6962C6" w14:textId="1D1FF3DC" w:rsidR="00925F82" w:rsidRPr="00AD6C7D" w:rsidRDefault="00925F82" w:rsidP="0066607E">
      <w:pPr>
        <w:pStyle w:val="H1G"/>
        <w:ind w:right="992"/>
        <w:rPr>
          <w:sz w:val="20"/>
          <w:lang w:val="de-DE"/>
        </w:rPr>
      </w:pPr>
      <w:bookmarkStart w:id="13" w:name="_Hlk17742638"/>
      <w:r w:rsidRPr="00AD6C7D">
        <w:rPr>
          <w:sz w:val="20"/>
          <w:lang w:val="de-DE"/>
        </w:rPr>
        <w:tab/>
        <w:t>2.</w:t>
      </w:r>
      <w:r w:rsidRPr="00AD6C7D">
        <w:rPr>
          <w:sz w:val="20"/>
          <w:lang w:val="de-DE"/>
        </w:rPr>
        <w:tab/>
      </w:r>
      <w:r w:rsidR="0081696F" w:rsidRPr="00AD6C7D">
        <w:rPr>
          <w:sz w:val="20"/>
          <w:lang w:val="de-DE"/>
        </w:rPr>
        <w:t>Bericht über</w:t>
      </w:r>
      <w:r w:rsidR="002439E2" w:rsidRPr="00AD6C7D">
        <w:rPr>
          <w:sz w:val="20"/>
          <w:lang w:val="de-DE"/>
        </w:rPr>
        <w:t xml:space="preserve"> d</w:t>
      </w:r>
      <w:r w:rsidR="0081696F" w:rsidRPr="00AD6C7D">
        <w:rPr>
          <w:sz w:val="20"/>
          <w:lang w:val="de-DE"/>
        </w:rPr>
        <w:t>i</w:t>
      </w:r>
      <w:r w:rsidR="002439E2" w:rsidRPr="00AD6C7D">
        <w:rPr>
          <w:sz w:val="20"/>
          <w:lang w:val="de-DE"/>
        </w:rPr>
        <w:t xml:space="preserve">e siebzehnte Sitzung der informellen Arbeitsgruppe </w:t>
      </w:r>
      <w:r w:rsidR="00AA14D8" w:rsidRPr="00AD6C7D">
        <w:rPr>
          <w:sz w:val="20"/>
          <w:lang w:val="de-DE"/>
        </w:rPr>
        <w:t xml:space="preserve">der </w:t>
      </w:r>
      <w:r w:rsidR="002439E2" w:rsidRPr="00AD6C7D">
        <w:rPr>
          <w:sz w:val="20"/>
          <w:lang w:val="de-DE"/>
        </w:rPr>
        <w:t>Empfohlene</w:t>
      </w:r>
      <w:r w:rsidR="00AA14D8" w:rsidRPr="00AD6C7D">
        <w:rPr>
          <w:sz w:val="20"/>
          <w:lang w:val="de-DE"/>
        </w:rPr>
        <w:t>n</w:t>
      </w:r>
      <w:r w:rsidR="002439E2" w:rsidRPr="00AD6C7D">
        <w:rPr>
          <w:sz w:val="20"/>
          <w:lang w:val="de-DE"/>
        </w:rPr>
        <w:t xml:space="preserve"> ADN-Klassifikationsgesellschaften</w:t>
      </w:r>
    </w:p>
    <w:p w14:paraId="4EFF4DB3" w14:textId="70D3B022" w:rsidR="00925F82" w:rsidRPr="00AD6C7D" w:rsidRDefault="00925F82" w:rsidP="00925F82">
      <w:pPr>
        <w:pStyle w:val="H23G"/>
        <w:tabs>
          <w:tab w:val="left" w:pos="1134"/>
          <w:tab w:val="left" w:pos="3402"/>
        </w:tabs>
        <w:ind w:left="3402" w:hanging="3402"/>
        <w:rPr>
          <w:b w:val="0"/>
          <w:bCs/>
          <w:lang w:val="de-DE"/>
        </w:rPr>
      </w:pPr>
      <w:r w:rsidRPr="00AD6C7D">
        <w:rPr>
          <w:b w:val="0"/>
          <w:bCs/>
          <w:i/>
          <w:iCs/>
          <w:lang w:val="de-DE"/>
        </w:rPr>
        <w:tab/>
      </w:r>
      <w:r w:rsidRPr="00AD6C7D">
        <w:rPr>
          <w:b w:val="0"/>
          <w:bCs/>
          <w:i/>
          <w:iCs/>
          <w:lang w:val="de-DE"/>
        </w:rPr>
        <w:tab/>
      </w:r>
      <w:r w:rsidR="007540AC" w:rsidRPr="00AD6C7D">
        <w:rPr>
          <w:b w:val="0"/>
          <w:bCs/>
          <w:i/>
          <w:iCs/>
          <w:lang w:val="de-DE"/>
        </w:rPr>
        <w:t>Informelle Dokumente</w:t>
      </w:r>
      <w:r w:rsidRPr="00AD6C7D">
        <w:rPr>
          <w:b w:val="0"/>
          <w:bCs/>
          <w:lang w:val="de-DE"/>
        </w:rPr>
        <w:t>:</w:t>
      </w:r>
      <w:r w:rsidRPr="00AD6C7D">
        <w:rPr>
          <w:b w:val="0"/>
          <w:bCs/>
          <w:lang w:val="de-DE"/>
        </w:rPr>
        <w:tab/>
        <w:t xml:space="preserve">INF.11 </w:t>
      </w:r>
      <w:r w:rsidR="0076134A" w:rsidRPr="00AD6C7D">
        <w:rPr>
          <w:b w:val="0"/>
          <w:bCs/>
          <w:lang w:val="de-DE"/>
        </w:rPr>
        <w:t>und</w:t>
      </w:r>
      <w:r w:rsidRPr="00AD6C7D">
        <w:rPr>
          <w:b w:val="0"/>
          <w:bCs/>
          <w:lang w:val="de-DE"/>
        </w:rPr>
        <w:t xml:space="preserve"> INF.22 (</w:t>
      </w:r>
      <w:r w:rsidR="0076134A" w:rsidRPr="00AD6C7D">
        <w:rPr>
          <w:b w:val="0"/>
          <w:bCs/>
          <w:lang w:val="de-DE"/>
        </w:rPr>
        <w:t>Empfohlene ADN-Klassifikationsgesellschaften</w:t>
      </w:r>
      <w:r w:rsidRPr="00AD6C7D">
        <w:rPr>
          <w:b w:val="0"/>
          <w:bCs/>
          <w:lang w:val="de-DE"/>
        </w:rPr>
        <w:t>)</w:t>
      </w:r>
    </w:p>
    <w:p w14:paraId="3354AAF6" w14:textId="1B128CCA" w:rsidR="00925F82" w:rsidRPr="00AD6C7D" w:rsidRDefault="00925F82" w:rsidP="00CD223D">
      <w:pPr>
        <w:pStyle w:val="SingleTxtG"/>
        <w:rPr>
          <w:lang w:val="de-DE"/>
        </w:rPr>
      </w:pPr>
      <w:r w:rsidRPr="00AD6C7D">
        <w:rPr>
          <w:lang w:val="de-DE"/>
        </w:rPr>
        <w:t>34.</w:t>
      </w:r>
      <w:r w:rsidRPr="00AD6C7D">
        <w:rPr>
          <w:lang w:val="de-DE"/>
        </w:rPr>
        <w:tab/>
      </w:r>
      <w:bookmarkEnd w:id="13"/>
      <w:r w:rsidR="002439E2" w:rsidRPr="00AD6C7D">
        <w:rPr>
          <w:lang w:val="de-DE"/>
        </w:rPr>
        <w:t>Der Sicherheitsausschuss nahm den Bericht der informellen Arbeitsgruppe im informellen Dokument INF.11 zur Kenntnis und befasste sich mit den Punkten 2 e), 4 b), 4</w:t>
      </w:r>
      <w:r w:rsidR="00AD6C7D" w:rsidRPr="00AD6C7D">
        <w:rPr>
          <w:lang w:val="de-DE"/>
        </w:rPr>
        <w:t> </w:t>
      </w:r>
      <w:r w:rsidR="002439E2" w:rsidRPr="00AD6C7D">
        <w:rPr>
          <w:lang w:val="de-DE"/>
        </w:rPr>
        <w:t>k) und 4 u) des Berichts, mit folgendem Ergebnis:</w:t>
      </w:r>
    </w:p>
    <w:p w14:paraId="55AC7D95" w14:textId="11F49EB3" w:rsidR="00CD223D" w:rsidRPr="00AD6C7D" w:rsidRDefault="00CD223D" w:rsidP="00CD223D">
      <w:pPr>
        <w:pStyle w:val="SingleTxtG"/>
        <w:numPr>
          <w:ilvl w:val="0"/>
          <w:numId w:val="14"/>
        </w:numPr>
        <w:tabs>
          <w:tab w:val="left" w:pos="1701"/>
        </w:tabs>
        <w:ind w:left="1701" w:hanging="283"/>
        <w:rPr>
          <w:lang w:val="de-DE"/>
        </w:rPr>
      </w:pPr>
      <w:r w:rsidRPr="00AD6C7D">
        <w:rPr>
          <w:lang w:val="de-DE"/>
        </w:rPr>
        <w:t xml:space="preserve">Zur Nutzung der </w:t>
      </w:r>
      <w:proofErr w:type="spellStart"/>
      <w:r w:rsidRPr="00AD6C7D">
        <w:rPr>
          <w:lang w:val="de-DE"/>
        </w:rPr>
        <w:t>Boil</w:t>
      </w:r>
      <w:proofErr w:type="spellEnd"/>
      <w:r w:rsidRPr="00AD6C7D">
        <w:rPr>
          <w:lang w:val="de-DE"/>
        </w:rPr>
        <w:t>-Off-Gase von LNG als Brennstoff (Punkt 2 e)): Der Sicherheitsausschuss erwartet, dass die informelle Arbeitsgruppe ihre Beratungen über einen neuen Vorschlag auf der Grundlage des Internationalen Codes für die Beförderung von Gasen (IGC-Code) der Internationalen Seeschifffahrtsorganisation wieder aufnimmt;</w:t>
      </w:r>
    </w:p>
    <w:p w14:paraId="2FB77ECB" w14:textId="3F0830D0" w:rsidR="00CD223D" w:rsidRPr="00AD6C7D" w:rsidRDefault="00CD223D" w:rsidP="00CD223D">
      <w:pPr>
        <w:pStyle w:val="SingleTxtG"/>
        <w:numPr>
          <w:ilvl w:val="0"/>
          <w:numId w:val="14"/>
        </w:numPr>
        <w:tabs>
          <w:tab w:val="left" w:pos="1701"/>
        </w:tabs>
        <w:ind w:left="1701" w:hanging="283"/>
        <w:rPr>
          <w:lang w:val="de-DE"/>
        </w:rPr>
      </w:pPr>
      <w:r w:rsidRPr="00AD6C7D">
        <w:rPr>
          <w:lang w:val="de-DE"/>
        </w:rPr>
        <w:t>Zu batteriebetriebenen Schiffen (Punkt 4 b)): Der Sicherheitsausschuss ersuchte das Sekretariat der ZKR, ihn über die technischen Entwicklungen in der Arbeitsgruppe für technische Vorschriften (CESNI-PT) auf dem Laufenden zu halten, um sie bei künftigen Änderungsvorschlägen berücksichtigen zu können;</w:t>
      </w:r>
    </w:p>
    <w:p w14:paraId="5A35F13A" w14:textId="66E3C5BE" w:rsidR="00CD223D" w:rsidRPr="00AD6C7D" w:rsidRDefault="00CD223D" w:rsidP="00CD223D">
      <w:pPr>
        <w:pStyle w:val="SingleTxtG"/>
        <w:numPr>
          <w:ilvl w:val="0"/>
          <w:numId w:val="14"/>
        </w:numPr>
        <w:tabs>
          <w:tab w:val="left" w:pos="1701"/>
        </w:tabs>
        <w:ind w:left="1701" w:hanging="283"/>
        <w:rPr>
          <w:lang w:val="de-DE"/>
        </w:rPr>
      </w:pPr>
      <w:r w:rsidRPr="00AD6C7D">
        <w:rPr>
          <w:lang w:val="de-DE"/>
        </w:rPr>
        <w:t>Zur Explosionsgruppe nicht-elektrischer Geräte (Punkt 4 k)): Der Sicherheitsausschuss ersuchte die informelle Arbeitsgruppe, eine detaillierte Untersuchung der praktischen Situation von Schiffen durchzuführen, die vor 1995 in Betrieb genommenen wurden;</w:t>
      </w:r>
    </w:p>
    <w:p w14:paraId="6599F561" w14:textId="6AE3495C" w:rsidR="00CD223D" w:rsidRPr="00AD6C7D" w:rsidRDefault="00CD223D" w:rsidP="00CD223D">
      <w:pPr>
        <w:pStyle w:val="SingleTxtG"/>
        <w:numPr>
          <w:ilvl w:val="0"/>
          <w:numId w:val="14"/>
        </w:numPr>
        <w:tabs>
          <w:tab w:val="left" w:pos="1701"/>
        </w:tabs>
        <w:ind w:left="1701" w:hanging="283"/>
        <w:rPr>
          <w:lang w:val="de-DE"/>
        </w:rPr>
      </w:pPr>
      <w:r w:rsidRPr="00AD6C7D">
        <w:rPr>
          <w:lang w:val="de-DE"/>
        </w:rPr>
        <w:t>Zu Deflagration, Detonation und Dauerbrand (Punkt 4 u)): Nach Prüfung des informellen Dokuments INF.22 bat der Sicherheitsausschuss die Empfohlenen ADN-Klassifikationsgesellschaften, ihren Vorschlag unter Berücksichtigung der Empfehlungen von Sprengstoffexperten zu überarbeiten und für die nächste Sitzung ein offizielles Dokument zur Prüfung vorzulegen.</w:t>
      </w:r>
    </w:p>
    <w:p w14:paraId="6296682B" w14:textId="15D42E19" w:rsidR="00925F82" w:rsidRPr="00AD6C7D" w:rsidRDefault="00925F82" w:rsidP="007F4DB7">
      <w:pPr>
        <w:pStyle w:val="H1G"/>
        <w:keepNext w:val="0"/>
        <w:keepLines w:val="0"/>
        <w:ind w:right="992"/>
        <w:rPr>
          <w:sz w:val="20"/>
          <w:lang w:val="de-DE"/>
        </w:rPr>
      </w:pPr>
      <w:r w:rsidRPr="00AD6C7D">
        <w:rPr>
          <w:sz w:val="20"/>
          <w:lang w:val="de-DE"/>
        </w:rPr>
        <w:tab/>
        <w:t>3.</w:t>
      </w:r>
      <w:r w:rsidRPr="00AD6C7D">
        <w:rPr>
          <w:sz w:val="20"/>
          <w:lang w:val="de-DE"/>
        </w:rPr>
        <w:tab/>
      </w:r>
      <w:r w:rsidR="00881607" w:rsidRPr="00AD6C7D">
        <w:rPr>
          <w:sz w:val="20"/>
          <w:lang w:val="de-DE"/>
        </w:rPr>
        <w:t>Aktueller Stand der Zulassung von Ladungsrechnern</w:t>
      </w:r>
    </w:p>
    <w:p w14:paraId="3F271DBA" w14:textId="075F9CC0" w:rsidR="00925F82" w:rsidRPr="00AD6C7D" w:rsidRDefault="00925F82" w:rsidP="00925F82">
      <w:pPr>
        <w:pStyle w:val="H23G"/>
        <w:keepNext w:val="0"/>
        <w:keepLines w:val="0"/>
        <w:tabs>
          <w:tab w:val="left" w:pos="1134"/>
          <w:tab w:val="left" w:pos="3402"/>
        </w:tabs>
        <w:ind w:left="3402" w:hanging="3402"/>
        <w:rPr>
          <w:b w:val="0"/>
          <w:bCs/>
          <w:lang w:val="de-DE"/>
        </w:rPr>
      </w:pPr>
      <w:r w:rsidRPr="00AD6C7D">
        <w:rPr>
          <w:lang w:val="de-DE"/>
        </w:rPr>
        <w:tab/>
      </w:r>
      <w:r w:rsidRPr="00AD6C7D">
        <w:rPr>
          <w:lang w:val="de-DE"/>
        </w:rPr>
        <w:tab/>
      </w:r>
      <w:r w:rsidR="007540AC" w:rsidRPr="00AD6C7D">
        <w:rPr>
          <w:b w:val="0"/>
          <w:bCs/>
          <w:i/>
          <w:iCs/>
          <w:lang w:val="de-DE"/>
        </w:rPr>
        <w:t>Informelles Dokument</w:t>
      </w:r>
      <w:r w:rsidRPr="00AD6C7D">
        <w:rPr>
          <w:b w:val="0"/>
          <w:bCs/>
          <w:lang w:val="de-DE"/>
        </w:rPr>
        <w:t>:</w:t>
      </w:r>
      <w:r w:rsidRPr="00AD6C7D">
        <w:rPr>
          <w:b w:val="0"/>
          <w:bCs/>
          <w:lang w:val="de-DE"/>
        </w:rPr>
        <w:tab/>
        <w:t>INF.12 (</w:t>
      </w:r>
      <w:r w:rsidR="0076134A" w:rsidRPr="00AD6C7D">
        <w:rPr>
          <w:b w:val="0"/>
          <w:bCs/>
          <w:lang w:val="de-DE"/>
        </w:rPr>
        <w:t>Empfohlene ADN-Klassifikationsgesellschaften</w:t>
      </w:r>
      <w:r w:rsidRPr="00AD6C7D">
        <w:rPr>
          <w:b w:val="0"/>
          <w:bCs/>
          <w:lang w:val="de-DE"/>
        </w:rPr>
        <w:t>)</w:t>
      </w:r>
    </w:p>
    <w:p w14:paraId="3511D187" w14:textId="15C3CD33" w:rsidR="00660988" w:rsidRDefault="00925F82" w:rsidP="00660988">
      <w:pPr>
        <w:pStyle w:val="SingleTxtG"/>
        <w:rPr>
          <w:lang w:val="de-DE"/>
        </w:rPr>
      </w:pPr>
      <w:r w:rsidRPr="00AD6C7D">
        <w:rPr>
          <w:lang w:val="de-DE"/>
        </w:rPr>
        <w:t>35.</w:t>
      </w:r>
      <w:r w:rsidRPr="00AD6C7D">
        <w:rPr>
          <w:lang w:val="de-DE"/>
        </w:rPr>
        <w:tab/>
      </w:r>
      <w:r w:rsidR="007F4DB7" w:rsidRPr="00AD6C7D">
        <w:rPr>
          <w:lang w:val="de-DE"/>
        </w:rPr>
        <w:t xml:space="preserve">Der Sicherheitsausschuss nahm die Fortschritte der informellen Arbeitsgruppe der Empfohlenen ADN-Klassifikationsgesellschaften bei der Zulassung von Ladungsrechnern zur Kenntnis und </w:t>
      </w:r>
      <w:r w:rsidR="00F544CE" w:rsidRPr="00AD6C7D">
        <w:rPr>
          <w:lang w:val="de-DE"/>
        </w:rPr>
        <w:t>bat die</w:t>
      </w:r>
      <w:r w:rsidR="007F4DB7" w:rsidRPr="00AD6C7D">
        <w:rPr>
          <w:lang w:val="de-DE"/>
        </w:rPr>
        <w:t xml:space="preserve"> Klassifikationsgesellschaften, ihre Aufgabe bis Ende des Jahres ab</w:t>
      </w:r>
      <w:r w:rsidR="00F544CE" w:rsidRPr="00AD6C7D">
        <w:rPr>
          <w:lang w:val="de-DE"/>
        </w:rPr>
        <w:t>zu</w:t>
      </w:r>
      <w:r w:rsidR="007F4DB7" w:rsidRPr="00AD6C7D">
        <w:rPr>
          <w:lang w:val="de-DE"/>
        </w:rPr>
        <w:t>schließen.</w:t>
      </w:r>
    </w:p>
    <w:p w14:paraId="1D337248" w14:textId="77777777" w:rsidR="00660988" w:rsidRDefault="00660988">
      <w:pPr>
        <w:suppressAutoHyphens w:val="0"/>
        <w:spacing w:after="200" w:line="276" w:lineRule="auto"/>
        <w:rPr>
          <w:b/>
          <w:lang w:val="de-DE"/>
        </w:rPr>
      </w:pPr>
      <w:r>
        <w:rPr>
          <w:lang w:val="de-DE"/>
        </w:rPr>
        <w:br w:type="page"/>
      </w:r>
    </w:p>
    <w:p w14:paraId="1B999D8C" w14:textId="13A3E05E" w:rsidR="00925F82" w:rsidRPr="00AD6C7D" w:rsidRDefault="00660988" w:rsidP="00AD6C7D">
      <w:pPr>
        <w:pStyle w:val="H1G"/>
        <w:keepNext w:val="0"/>
        <w:keepLines w:val="0"/>
        <w:spacing w:before="240" w:after="120"/>
        <w:ind w:right="992"/>
        <w:rPr>
          <w:sz w:val="20"/>
          <w:lang w:val="de-DE"/>
        </w:rPr>
      </w:pPr>
      <w:r>
        <w:rPr>
          <w:sz w:val="20"/>
          <w:lang w:val="de-DE"/>
        </w:rPr>
        <w:lastRenderedPageBreak/>
        <w:tab/>
      </w:r>
      <w:r w:rsidR="00925F82" w:rsidRPr="00AD6C7D">
        <w:rPr>
          <w:sz w:val="20"/>
          <w:lang w:val="de-DE"/>
        </w:rPr>
        <w:t>4.</w:t>
      </w:r>
      <w:r w:rsidR="00925F82" w:rsidRPr="00AD6C7D">
        <w:rPr>
          <w:sz w:val="20"/>
          <w:lang w:val="de-DE"/>
        </w:rPr>
        <w:tab/>
      </w:r>
      <w:r w:rsidR="00F544CE" w:rsidRPr="00AD6C7D">
        <w:rPr>
          <w:sz w:val="20"/>
          <w:lang w:val="de-DE"/>
        </w:rPr>
        <w:t>Absatz 7.2.2.19.3 – Schubverbände und gekuppelte Schiffe</w:t>
      </w:r>
    </w:p>
    <w:p w14:paraId="6F3DB8AE" w14:textId="11FB6389" w:rsidR="00925F82" w:rsidRPr="00AD6C7D" w:rsidRDefault="00925F82" w:rsidP="00AD6C7D">
      <w:pPr>
        <w:pStyle w:val="H23G"/>
        <w:keepNext w:val="0"/>
        <w:keepLines w:val="0"/>
        <w:tabs>
          <w:tab w:val="left" w:pos="1134"/>
          <w:tab w:val="left" w:pos="3402"/>
        </w:tabs>
        <w:spacing w:before="120"/>
        <w:ind w:left="3402" w:hanging="3402"/>
        <w:rPr>
          <w:b w:val="0"/>
          <w:bCs/>
          <w:lang w:val="de-DE"/>
        </w:rPr>
      </w:pPr>
      <w:r w:rsidRPr="00AD6C7D">
        <w:rPr>
          <w:lang w:val="de-DE"/>
        </w:rPr>
        <w:tab/>
      </w:r>
      <w:r w:rsidRPr="00AD6C7D">
        <w:rPr>
          <w:lang w:val="de-DE"/>
        </w:rPr>
        <w:tab/>
      </w:r>
      <w:r w:rsidR="007540AC" w:rsidRPr="00AD6C7D">
        <w:rPr>
          <w:b w:val="0"/>
          <w:bCs/>
          <w:i/>
          <w:iCs/>
          <w:lang w:val="de-DE"/>
        </w:rPr>
        <w:t>Informelle Dokumente</w:t>
      </w:r>
      <w:r w:rsidRPr="00AD6C7D">
        <w:rPr>
          <w:b w:val="0"/>
          <w:bCs/>
          <w:lang w:val="de-DE"/>
        </w:rPr>
        <w:t>:</w:t>
      </w:r>
      <w:r w:rsidRPr="00AD6C7D">
        <w:rPr>
          <w:b w:val="0"/>
          <w:bCs/>
          <w:lang w:val="de-DE"/>
        </w:rPr>
        <w:tab/>
        <w:t>INF. 6 (</w:t>
      </w:r>
      <w:r w:rsidR="0076134A" w:rsidRPr="00AD6C7D">
        <w:rPr>
          <w:b w:val="0"/>
          <w:bCs/>
          <w:lang w:val="de-DE"/>
        </w:rPr>
        <w:t>Frankreich</w:t>
      </w:r>
      <w:r w:rsidRPr="00AD6C7D">
        <w:rPr>
          <w:b w:val="0"/>
          <w:bCs/>
          <w:lang w:val="de-DE"/>
        </w:rPr>
        <w:t>)</w:t>
      </w:r>
      <w:r w:rsidRPr="00AD6C7D">
        <w:rPr>
          <w:b w:val="0"/>
          <w:bCs/>
          <w:lang w:val="de-DE"/>
        </w:rPr>
        <w:br/>
        <w:t>INF.13 (</w:t>
      </w:r>
      <w:r w:rsidR="0076134A" w:rsidRPr="00AD6C7D">
        <w:rPr>
          <w:b w:val="0"/>
          <w:bCs/>
          <w:lang w:val="de-DE"/>
        </w:rPr>
        <w:t>Empfohlene ADN-Klassifikationsgesellschaften</w:t>
      </w:r>
      <w:r w:rsidRPr="00AD6C7D">
        <w:rPr>
          <w:b w:val="0"/>
          <w:bCs/>
          <w:lang w:val="de-DE"/>
        </w:rPr>
        <w:t>)</w:t>
      </w:r>
    </w:p>
    <w:p w14:paraId="2DE2ED96" w14:textId="65E822DD" w:rsidR="00925F82" w:rsidRPr="00AD6C7D" w:rsidRDefault="00925F82" w:rsidP="007A0B67">
      <w:pPr>
        <w:pStyle w:val="SingleTxtG"/>
        <w:rPr>
          <w:lang w:val="de-DE"/>
        </w:rPr>
      </w:pPr>
      <w:r w:rsidRPr="00AD6C7D">
        <w:rPr>
          <w:lang w:val="de-DE"/>
        </w:rPr>
        <w:t>36.</w:t>
      </w:r>
      <w:r w:rsidRPr="00AD6C7D">
        <w:rPr>
          <w:lang w:val="de-DE"/>
        </w:rPr>
        <w:tab/>
      </w:r>
      <w:r w:rsidR="00F544CE" w:rsidRPr="00AD6C7D">
        <w:rPr>
          <w:lang w:val="de-DE"/>
        </w:rPr>
        <w:t>Der Sicherheitsausschuss prüfte das informelle Dokument INF.13 und nahm eine Reihe von Bemerkungen zur Kenntnis, die sich hauptsächlich auf die Grundsätze der Einführung geeigneter Übergangsvorschriften bezogen.</w:t>
      </w:r>
      <w:r w:rsidRPr="00AD6C7D">
        <w:rPr>
          <w:lang w:val="de-DE"/>
        </w:rPr>
        <w:t xml:space="preserve"> </w:t>
      </w:r>
      <w:r w:rsidR="00066874" w:rsidRPr="00AD6C7D">
        <w:rPr>
          <w:lang w:val="de-DE"/>
        </w:rPr>
        <w:t xml:space="preserve">Die Empfohlenen ADN-Klassifikationsgesellschaften wurden aufgefordert, </w:t>
      </w:r>
      <w:r w:rsidR="00FC0B51" w:rsidRPr="00AD6C7D">
        <w:rPr>
          <w:lang w:val="de-DE"/>
        </w:rPr>
        <w:t xml:space="preserve">rechtzeitig für die nächste Sitzung ein offizielles Dokument </w:t>
      </w:r>
      <w:r w:rsidR="00CE42AA" w:rsidRPr="00AD6C7D">
        <w:rPr>
          <w:lang w:val="de-DE"/>
        </w:rPr>
        <w:t xml:space="preserve">zur Prüfung durch den Ausschuss </w:t>
      </w:r>
      <w:r w:rsidR="00FC0B51" w:rsidRPr="00AD6C7D">
        <w:rPr>
          <w:lang w:val="de-DE"/>
        </w:rPr>
        <w:t>auszuarbeiten.</w:t>
      </w:r>
    </w:p>
    <w:p w14:paraId="75C16F6D" w14:textId="684882C0" w:rsidR="00925F82" w:rsidRPr="00AD6C7D" w:rsidRDefault="00925F82" w:rsidP="00AD6C7D">
      <w:pPr>
        <w:pStyle w:val="H1G"/>
        <w:keepNext w:val="0"/>
        <w:keepLines w:val="0"/>
        <w:spacing w:before="240"/>
        <w:ind w:right="992"/>
        <w:rPr>
          <w:sz w:val="20"/>
          <w:lang w:val="de-DE"/>
        </w:rPr>
      </w:pPr>
      <w:r w:rsidRPr="00AD6C7D">
        <w:rPr>
          <w:sz w:val="20"/>
          <w:lang w:val="de-DE"/>
        </w:rPr>
        <w:tab/>
        <w:t>5.</w:t>
      </w:r>
      <w:r w:rsidRPr="00AD6C7D">
        <w:rPr>
          <w:sz w:val="20"/>
          <w:lang w:val="de-DE"/>
        </w:rPr>
        <w:tab/>
      </w:r>
      <w:r w:rsidR="00FC0B51" w:rsidRPr="00AD6C7D">
        <w:rPr>
          <w:sz w:val="20"/>
          <w:lang w:val="de-DE"/>
        </w:rPr>
        <w:t>Übergangsvorschriften über die Explosionsgruppe / Untergruppe</w:t>
      </w:r>
    </w:p>
    <w:p w14:paraId="18DCA3EF" w14:textId="18454631" w:rsidR="00925F82" w:rsidRPr="00AD6C7D" w:rsidRDefault="00925F82" w:rsidP="00925F82">
      <w:pPr>
        <w:pStyle w:val="H23G"/>
        <w:keepNext w:val="0"/>
        <w:keepLines w:val="0"/>
        <w:tabs>
          <w:tab w:val="left" w:pos="1134"/>
          <w:tab w:val="left" w:pos="3402"/>
        </w:tabs>
        <w:ind w:left="3402" w:hanging="3402"/>
        <w:rPr>
          <w:b w:val="0"/>
          <w:bCs/>
          <w:lang w:val="de-DE"/>
        </w:rPr>
      </w:pPr>
      <w:r w:rsidRPr="00AD6C7D">
        <w:rPr>
          <w:lang w:val="de-DE"/>
        </w:rPr>
        <w:tab/>
      </w:r>
      <w:r w:rsidRPr="00AD6C7D">
        <w:rPr>
          <w:lang w:val="de-DE"/>
        </w:rPr>
        <w:tab/>
      </w:r>
      <w:r w:rsidR="007540AC" w:rsidRPr="00AD6C7D">
        <w:rPr>
          <w:b w:val="0"/>
          <w:bCs/>
          <w:i/>
          <w:iCs/>
          <w:lang w:val="de-DE"/>
        </w:rPr>
        <w:t>Informelles Dokument</w:t>
      </w:r>
      <w:r w:rsidRPr="00AD6C7D">
        <w:rPr>
          <w:b w:val="0"/>
          <w:bCs/>
          <w:lang w:val="de-DE"/>
        </w:rPr>
        <w:t>:</w:t>
      </w:r>
      <w:r w:rsidRPr="00AD6C7D">
        <w:rPr>
          <w:b w:val="0"/>
          <w:bCs/>
          <w:lang w:val="de-DE"/>
        </w:rPr>
        <w:tab/>
        <w:t>INF.24 (</w:t>
      </w:r>
      <w:r w:rsidR="0076134A" w:rsidRPr="00AD6C7D">
        <w:rPr>
          <w:b w:val="0"/>
          <w:bCs/>
          <w:lang w:val="de-DE"/>
        </w:rPr>
        <w:t>Empfohlene ADN-Klassifikationsgesellschaften</w:t>
      </w:r>
      <w:r w:rsidRPr="00AD6C7D">
        <w:rPr>
          <w:b w:val="0"/>
          <w:bCs/>
          <w:lang w:val="de-DE"/>
        </w:rPr>
        <w:t>)</w:t>
      </w:r>
    </w:p>
    <w:p w14:paraId="6389BAB3" w14:textId="106280D9" w:rsidR="00925F82" w:rsidRPr="00AD6C7D" w:rsidRDefault="00925F82" w:rsidP="007A0B67">
      <w:pPr>
        <w:pStyle w:val="SingleTxtG"/>
        <w:rPr>
          <w:lang w:val="de-DE"/>
        </w:rPr>
      </w:pPr>
      <w:r w:rsidRPr="00AD6C7D">
        <w:rPr>
          <w:lang w:val="de-DE"/>
        </w:rPr>
        <w:t>37.</w:t>
      </w:r>
      <w:r w:rsidRPr="00AD6C7D">
        <w:rPr>
          <w:lang w:val="de-DE"/>
        </w:rPr>
        <w:tab/>
      </w:r>
      <w:r w:rsidR="00FC0B51" w:rsidRPr="00AD6C7D">
        <w:rPr>
          <w:lang w:val="de-DE"/>
        </w:rPr>
        <w:t xml:space="preserve">Das Sekretariat teilte dem Sicherheitsausschuss mit, dass die vorgeschlagene Korrektur </w:t>
      </w:r>
      <w:r w:rsidR="0054502D" w:rsidRPr="00AD6C7D">
        <w:rPr>
          <w:lang w:val="de-DE"/>
        </w:rPr>
        <w:t>des Dokuments</w:t>
      </w:r>
      <w:r w:rsidR="00FC0B51" w:rsidRPr="00AD6C7D">
        <w:rPr>
          <w:lang w:val="de-DE"/>
        </w:rPr>
        <w:t xml:space="preserve"> ECE/TRANS/WP.15/AC.2/70 durch Herausgabe eines Korrigendums (ECE/TRANS/WP.15/AC.2/70/Corr.1) gelöst wurde.</w:t>
      </w:r>
      <w:r w:rsidRPr="00AD6C7D">
        <w:rPr>
          <w:lang w:val="de-DE"/>
        </w:rPr>
        <w:t xml:space="preserve"> </w:t>
      </w:r>
      <w:r w:rsidR="00A37D4B" w:rsidRPr="00AD6C7D">
        <w:rPr>
          <w:lang w:val="de-DE"/>
        </w:rPr>
        <w:t xml:space="preserve">Hinsichtlich der Anwendung von Übergangsvorschriften auf andere im informellen Dokument INF.24 aufgeführte Schutzsysteme erklärte sich der niederländische Vertreter bereit, </w:t>
      </w:r>
      <w:r w:rsidR="00047558" w:rsidRPr="00AD6C7D">
        <w:rPr>
          <w:lang w:val="de-DE"/>
        </w:rPr>
        <w:t>rechtzeitig für die nächste Sitzung</w:t>
      </w:r>
      <w:r w:rsidR="00A37D4B" w:rsidRPr="00AD6C7D">
        <w:rPr>
          <w:lang w:val="de-DE"/>
        </w:rPr>
        <w:t xml:space="preserve"> ein offizielles Dokument </w:t>
      </w:r>
      <w:r w:rsidR="00047558" w:rsidRPr="00AD6C7D">
        <w:rPr>
          <w:lang w:val="de-DE"/>
        </w:rPr>
        <w:t xml:space="preserve">zur Prüfung </w:t>
      </w:r>
      <w:r w:rsidR="003A3FE7" w:rsidRPr="00AD6C7D">
        <w:rPr>
          <w:lang w:val="de-DE"/>
        </w:rPr>
        <w:t>vorzulegen</w:t>
      </w:r>
      <w:r w:rsidR="00FF0A43" w:rsidRPr="00AD6C7D">
        <w:rPr>
          <w:lang w:val="de-DE"/>
        </w:rPr>
        <w:t>.</w:t>
      </w:r>
    </w:p>
    <w:p w14:paraId="35CC4BAE" w14:textId="0BCE5135" w:rsidR="00925F82" w:rsidRPr="00AD6C7D" w:rsidRDefault="00925F82" w:rsidP="00AD6C7D">
      <w:pPr>
        <w:pStyle w:val="H1G"/>
        <w:keepNext w:val="0"/>
        <w:keepLines w:val="0"/>
        <w:spacing w:before="240"/>
        <w:ind w:right="992"/>
        <w:rPr>
          <w:sz w:val="20"/>
          <w:lang w:val="de-DE"/>
        </w:rPr>
      </w:pPr>
      <w:r w:rsidRPr="00AD6C7D">
        <w:rPr>
          <w:sz w:val="20"/>
          <w:lang w:val="de-DE"/>
        </w:rPr>
        <w:tab/>
        <w:t>6.</w:t>
      </w:r>
      <w:r w:rsidRPr="00AD6C7D">
        <w:rPr>
          <w:sz w:val="20"/>
          <w:lang w:val="de-DE"/>
        </w:rPr>
        <w:tab/>
      </w:r>
      <w:r w:rsidR="00FF0A43" w:rsidRPr="00AD6C7D">
        <w:rPr>
          <w:sz w:val="20"/>
          <w:lang w:val="de-DE"/>
        </w:rPr>
        <w:t>Verweis auf die Einhaltung der ISO/IEC 17020:2012 (ECE/TRANS/WP.15/AC.2/68)</w:t>
      </w:r>
    </w:p>
    <w:p w14:paraId="79802634" w14:textId="60C4C288" w:rsidR="00925F82" w:rsidRPr="00AD6C7D" w:rsidRDefault="00925F82" w:rsidP="00925F82">
      <w:pPr>
        <w:pStyle w:val="H23G"/>
        <w:keepNext w:val="0"/>
        <w:keepLines w:val="0"/>
        <w:tabs>
          <w:tab w:val="left" w:pos="1134"/>
          <w:tab w:val="left" w:pos="3402"/>
        </w:tabs>
        <w:ind w:left="3402" w:hanging="3402"/>
        <w:rPr>
          <w:b w:val="0"/>
          <w:bCs/>
        </w:rPr>
      </w:pPr>
      <w:r w:rsidRPr="00AD6C7D">
        <w:rPr>
          <w:lang w:val="de-DE"/>
        </w:rPr>
        <w:tab/>
      </w:r>
      <w:r w:rsidRPr="00AD6C7D">
        <w:rPr>
          <w:lang w:val="de-DE"/>
        </w:rPr>
        <w:tab/>
      </w:r>
      <w:proofErr w:type="spellStart"/>
      <w:r w:rsidR="007540AC" w:rsidRPr="00AD6C7D">
        <w:rPr>
          <w:b w:val="0"/>
          <w:bCs/>
          <w:i/>
          <w:iCs/>
        </w:rPr>
        <w:t>Informelles</w:t>
      </w:r>
      <w:proofErr w:type="spellEnd"/>
      <w:r w:rsidR="007540AC" w:rsidRPr="00AD6C7D">
        <w:rPr>
          <w:b w:val="0"/>
          <w:bCs/>
          <w:i/>
          <w:iCs/>
        </w:rPr>
        <w:t xml:space="preserve"> </w:t>
      </w:r>
      <w:proofErr w:type="spellStart"/>
      <w:r w:rsidR="007540AC" w:rsidRPr="00AD6C7D">
        <w:rPr>
          <w:b w:val="0"/>
          <w:bCs/>
          <w:i/>
          <w:iCs/>
        </w:rPr>
        <w:t>Dokument</w:t>
      </w:r>
      <w:proofErr w:type="spellEnd"/>
      <w:r w:rsidRPr="00AD6C7D">
        <w:rPr>
          <w:b w:val="0"/>
          <w:bCs/>
        </w:rPr>
        <w:t>:</w:t>
      </w:r>
      <w:r w:rsidRPr="00AD6C7D">
        <w:rPr>
          <w:b w:val="0"/>
          <w:bCs/>
        </w:rPr>
        <w:tab/>
        <w:t>INF.34 (Russian Maritime Register of Shipping)</w:t>
      </w:r>
    </w:p>
    <w:p w14:paraId="44468A7B" w14:textId="0E324B25" w:rsidR="00925F82" w:rsidRPr="00AD6C7D" w:rsidRDefault="00925F82" w:rsidP="007A0B67">
      <w:pPr>
        <w:pStyle w:val="SingleTxtG"/>
        <w:rPr>
          <w:lang w:val="de-DE"/>
        </w:rPr>
      </w:pPr>
      <w:r w:rsidRPr="00AD6C7D">
        <w:rPr>
          <w:lang w:val="de-DE"/>
        </w:rPr>
        <w:t>38.</w:t>
      </w:r>
      <w:r w:rsidRPr="00AD6C7D">
        <w:rPr>
          <w:lang w:val="de-DE"/>
        </w:rPr>
        <w:tab/>
      </w:r>
      <w:r w:rsidR="00DD15A0" w:rsidRPr="00AD6C7D">
        <w:rPr>
          <w:lang w:val="de-DE"/>
        </w:rPr>
        <w:t>Der Sicherheitsausschuss begrüßte die Informationen im informellen Dokument INF.34 und stellte fest, dass diese Informationen auch auf die Tagesordnung des ADN-Verwaltungsausschusses gesetzt wurden.</w:t>
      </w:r>
    </w:p>
    <w:p w14:paraId="613B789C" w14:textId="7DCE9E6F" w:rsidR="00925F82" w:rsidRPr="00AD6C7D" w:rsidRDefault="00925F82" w:rsidP="00AD6C7D">
      <w:pPr>
        <w:pStyle w:val="HChG"/>
        <w:keepNext w:val="0"/>
        <w:keepLines w:val="0"/>
        <w:spacing w:before="240"/>
        <w:rPr>
          <w:lang w:val="de-DE"/>
        </w:rPr>
      </w:pPr>
      <w:r w:rsidRPr="00AD6C7D">
        <w:rPr>
          <w:lang w:val="de-DE"/>
        </w:rPr>
        <w:tab/>
        <w:t>VI.</w:t>
      </w:r>
      <w:r w:rsidRPr="00AD6C7D">
        <w:rPr>
          <w:lang w:val="de-DE"/>
        </w:rPr>
        <w:tab/>
      </w:r>
      <w:r w:rsidR="0047346C" w:rsidRPr="00AD6C7D">
        <w:rPr>
          <w:lang w:val="de-DE"/>
        </w:rPr>
        <w:t>Vorschläge für Änderungen der dem ADN beigefügten Verordnung (TOP 4)</w:t>
      </w:r>
    </w:p>
    <w:p w14:paraId="418ED00A" w14:textId="60E884AB" w:rsidR="00925F82" w:rsidRPr="00AD6C7D" w:rsidRDefault="00925F82" w:rsidP="00AD6C7D">
      <w:pPr>
        <w:pStyle w:val="H1G"/>
        <w:keepNext w:val="0"/>
        <w:keepLines w:val="0"/>
        <w:spacing w:before="240"/>
        <w:rPr>
          <w:lang w:val="de-DE"/>
        </w:rPr>
      </w:pPr>
      <w:r w:rsidRPr="00AD6C7D">
        <w:rPr>
          <w:lang w:val="de-DE"/>
        </w:rPr>
        <w:tab/>
        <w:t>A.</w:t>
      </w:r>
      <w:r w:rsidRPr="00AD6C7D">
        <w:rPr>
          <w:lang w:val="de-DE"/>
        </w:rPr>
        <w:tab/>
      </w:r>
      <w:r w:rsidR="0047346C" w:rsidRPr="00AD6C7D">
        <w:rPr>
          <w:lang w:val="de-DE"/>
        </w:rPr>
        <w:t>Arbeiten der Gemeinsamen RID/ADR/ADN-Tagung</w:t>
      </w:r>
    </w:p>
    <w:p w14:paraId="1ECFE188" w14:textId="0F88D5BB" w:rsidR="00925F82" w:rsidRPr="00AD6C7D" w:rsidRDefault="00925F82" w:rsidP="00925F82">
      <w:pPr>
        <w:pStyle w:val="SingleTxtG"/>
        <w:ind w:left="3402" w:hanging="2268"/>
        <w:jc w:val="left"/>
        <w:rPr>
          <w:lang w:val="de-DE"/>
        </w:rPr>
      </w:pPr>
      <w:r w:rsidRPr="00AD6C7D">
        <w:rPr>
          <w:i/>
          <w:lang w:val="de-DE"/>
        </w:rPr>
        <w:t>Do</w:t>
      </w:r>
      <w:r w:rsidR="0076134A" w:rsidRPr="00AD6C7D">
        <w:rPr>
          <w:i/>
          <w:lang w:val="de-DE"/>
        </w:rPr>
        <w:t>k</w:t>
      </w:r>
      <w:r w:rsidRPr="00AD6C7D">
        <w:rPr>
          <w:i/>
          <w:lang w:val="de-DE"/>
        </w:rPr>
        <w:t>ument</w:t>
      </w:r>
      <w:r w:rsidR="0076134A" w:rsidRPr="00AD6C7D">
        <w:rPr>
          <w:i/>
          <w:lang w:val="de-DE"/>
        </w:rPr>
        <w:t>e</w:t>
      </w:r>
      <w:r w:rsidRPr="00AD6C7D">
        <w:rPr>
          <w:lang w:val="de-DE"/>
        </w:rPr>
        <w:t>:</w:t>
      </w:r>
      <w:r w:rsidRPr="00AD6C7D">
        <w:rPr>
          <w:lang w:val="de-DE"/>
        </w:rPr>
        <w:tab/>
        <w:t xml:space="preserve">ECE/TRANS/WP.15/AC.1/150, </w:t>
      </w:r>
      <w:r w:rsidR="0076134A" w:rsidRPr="00AD6C7D">
        <w:rPr>
          <w:lang w:val="de-DE"/>
        </w:rPr>
        <w:t>Anlage</w:t>
      </w:r>
      <w:r w:rsidRPr="00AD6C7D">
        <w:rPr>
          <w:lang w:val="de-DE"/>
        </w:rPr>
        <w:t xml:space="preserve"> IV</w:t>
      </w:r>
      <w:r w:rsidRPr="00AD6C7D">
        <w:rPr>
          <w:lang w:val="de-DE"/>
        </w:rPr>
        <w:br/>
      </w:r>
      <w:r w:rsidRPr="00AD6C7D">
        <w:rPr>
          <w:lang w:val="de-DE"/>
        </w:rPr>
        <w:tab/>
        <w:t xml:space="preserve">ECE/TRANS/WP.15/AC.1/152, </w:t>
      </w:r>
      <w:r w:rsidR="0076134A" w:rsidRPr="00AD6C7D">
        <w:rPr>
          <w:lang w:val="de-DE"/>
        </w:rPr>
        <w:t>Anlage</w:t>
      </w:r>
      <w:r w:rsidRPr="00AD6C7D">
        <w:rPr>
          <w:lang w:val="de-DE"/>
        </w:rPr>
        <w:t xml:space="preserve"> II</w:t>
      </w:r>
      <w:r w:rsidRPr="00AD6C7D">
        <w:rPr>
          <w:lang w:val="de-DE"/>
        </w:rPr>
        <w:br/>
      </w:r>
      <w:r w:rsidRPr="00AD6C7D">
        <w:rPr>
          <w:lang w:val="de-DE"/>
        </w:rPr>
        <w:tab/>
        <w:t xml:space="preserve">ECE/TRANS/WP.15/AC.1/154, </w:t>
      </w:r>
      <w:r w:rsidR="0076134A" w:rsidRPr="00AD6C7D">
        <w:rPr>
          <w:lang w:val="de-DE"/>
        </w:rPr>
        <w:t>Anlage</w:t>
      </w:r>
      <w:r w:rsidRPr="00AD6C7D">
        <w:rPr>
          <w:lang w:val="de-DE"/>
        </w:rPr>
        <w:t xml:space="preserve"> II</w:t>
      </w:r>
      <w:r w:rsidRPr="00AD6C7D">
        <w:rPr>
          <w:lang w:val="de-DE"/>
        </w:rPr>
        <w:br/>
      </w:r>
      <w:r w:rsidRPr="00AD6C7D">
        <w:rPr>
          <w:lang w:val="de-DE"/>
        </w:rPr>
        <w:tab/>
        <w:t xml:space="preserve">ECE/TRANS/WP.15/244, </w:t>
      </w:r>
      <w:r w:rsidR="0076134A" w:rsidRPr="00AD6C7D">
        <w:rPr>
          <w:lang w:val="de-DE"/>
        </w:rPr>
        <w:t>Anlage</w:t>
      </w:r>
      <w:r w:rsidRPr="00AD6C7D">
        <w:rPr>
          <w:lang w:val="de-DE"/>
        </w:rPr>
        <w:t xml:space="preserve"> I</w:t>
      </w:r>
      <w:r w:rsidRPr="00AD6C7D">
        <w:rPr>
          <w:lang w:val="de-DE"/>
        </w:rPr>
        <w:br/>
      </w:r>
      <w:r w:rsidRPr="00AD6C7D">
        <w:rPr>
          <w:lang w:val="de-DE"/>
        </w:rPr>
        <w:tab/>
        <w:t xml:space="preserve">ECE/TRANS/WP.15/246, </w:t>
      </w:r>
      <w:r w:rsidR="0076134A" w:rsidRPr="00AD6C7D">
        <w:rPr>
          <w:lang w:val="de-DE"/>
        </w:rPr>
        <w:t>Anlage</w:t>
      </w:r>
    </w:p>
    <w:p w14:paraId="280BE657" w14:textId="139AD58A" w:rsidR="00925F82" w:rsidRPr="00AD6C7D" w:rsidRDefault="00925F82" w:rsidP="005C753D">
      <w:pPr>
        <w:pStyle w:val="SingleTxtG"/>
        <w:rPr>
          <w:lang w:val="de-DE"/>
        </w:rPr>
      </w:pPr>
      <w:r w:rsidRPr="00AD6C7D">
        <w:rPr>
          <w:lang w:val="de-DE"/>
        </w:rPr>
        <w:t>39.</w:t>
      </w:r>
      <w:r w:rsidRPr="00AD6C7D">
        <w:rPr>
          <w:lang w:val="de-DE"/>
        </w:rPr>
        <w:tab/>
      </w:r>
      <w:r w:rsidR="00DD15A0" w:rsidRPr="00AD6C7D">
        <w:rPr>
          <w:lang w:val="de-DE"/>
        </w:rPr>
        <w:t>Das Sekretariat wurde gebeten, alle von der Gemeinsamen Tagung und der Arbeitsgruppe WP.15 2018 und 2019 angenommenen Änderungen, die auch in der dem ADN beigefügten Verordnung Berücksichtigung finden soll</w:t>
      </w:r>
      <w:r w:rsidR="007A0B67" w:rsidRPr="00AD6C7D">
        <w:rPr>
          <w:lang w:val="de-DE"/>
        </w:rPr>
        <w:t>t</w:t>
      </w:r>
      <w:r w:rsidR="00DD15A0" w:rsidRPr="00AD6C7D">
        <w:rPr>
          <w:lang w:val="de-DE"/>
        </w:rPr>
        <w:t>en und noch nicht angenommenen wurden, in einem Dokument zusammenzustellen und in der nächsten Sitzung zur Prüfung vorzulegen.</w:t>
      </w:r>
    </w:p>
    <w:p w14:paraId="6B905977" w14:textId="1ADC6584" w:rsidR="00925F82" w:rsidRPr="00AD6C7D" w:rsidRDefault="007540AC" w:rsidP="00DD15A0">
      <w:pPr>
        <w:pStyle w:val="H23G"/>
        <w:keepNext w:val="0"/>
        <w:keepLines w:val="0"/>
        <w:tabs>
          <w:tab w:val="left" w:pos="1134"/>
          <w:tab w:val="left" w:pos="3402"/>
        </w:tabs>
        <w:ind w:firstLine="0"/>
        <w:rPr>
          <w:b w:val="0"/>
          <w:bCs/>
          <w:lang w:val="de-DE"/>
        </w:rPr>
      </w:pPr>
      <w:r w:rsidRPr="00AD6C7D">
        <w:rPr>
          <w:b w:val="0"/>
          <w:bCs/>
          <w:i/>
          <w:iCs/>
          <w:lang w:val="de-DE"/>
        </w:rPr>
        <w:t>Informelle Dokumente</w:t>
      </w:r>
      <w:r w:rsidR="00925F82" w:rsidRPr="00AD6C7D">
        <w:rPr>
          <w:b w:val="0"/>
          <w:bCs/>
          <w:lang w:val="de-DE"/>
        </w:rPr>
        <w:t>:</w:t>
      </w:r>
      <w:r w:rsidR="00925F82" w:rsidRPr="00AD6C7D">
        <w:rPr>
          <w:b w:val="0"/>
          <w:bCs/>
          <w:lang w:val="de-DE"/>
        </w:rPr>
        <w:tab/>
        <w:t xml:space="preserve">INF.15 </w:t>
      </w:r>
      <w:r w:rsidR="0076134A" w:rsidRPr="00AD6C7D">
        <w:rPr>
          <w:b w:val="0"/>
          <w:bCs/>
          <w:lang w:val="de-DE"/>
        </w:rPr>
        <w:t>und</w:t>
      </w:r>
      <w:r w:rsidR="00925F82" w:rsidRPr="00AD6C7D">
        <w:rPr>
          <w:b w:val="0"/>
          <w:bCs/>
          <w:lang w:val="de-DE"/>
        </w:rPr>
        <w:t xml:space="preserve"> 27 (Se</w:t>
      </w:r>
      <w:r w:rsidR="0076134A" w:rsidRPr="00AD6C7D">
        <w:rPr>
          <w:b w:val="0"/>
          <w:bCs/>
          <w:lang w:val="de-DE"/>
        </w:rPr>
        <w:t>k</w:t>
      </w:r>
      <w:r w:rsidR="00925F82" w:rsidRPr="00AD6C7D">
        <w:rPr>
          <w:b w:val="0"/>
          <w:bCs/>
          <w:lang w:val="de-DE"/>
        </w:rPr>
        <w:t>retariat)</w:t>
      </w:r>
    </w:p>
    <w:p w14:paraId="1BC51D79" w14:textId="6D754C06" w:rsidR="00925F82" w:rsidRPr="00AD6C7D" w:rsidRDefault="00925F82" w:rsidP="007A0B67">
      <w:pPr>
        <w:pStyle w:val="SingleTxtG"/>
        <w:rPr>
          <w:lang w:val="de-DE"/>
        </w:rPr>
      </w:pPr>
      <w:r w:rsidRPr="00AD6C7D">
        <w:rPr>
          <w:lang w:val="de-DE"/>
        </w:rPr>
        <w:t>40.</w:t>
      </w:r>
      <w:r w:rsidRPr="00AD6C7D">
        <w:rPr>
          <w:lang w:val="de-DE"/>
        </w:rPr>
        <w:tab/>
      </w:r>
      <w:r w:rsidR="00BB6A91" w:rsidRPr="00AD6C7D">
        <w:rPr>
          <w:lang w:val="de-DE"/>
        </w:rPr>
        <w:t>Der Sicherheitsausschuss begrüßte den konsolidierten Vorschlag des Sekretariats, der alle von der Gemeinsamen Tagung im Herbst 2019 zu beschließenden Änderungen enthält, die auch in der dem ADN beigefügten Verordnung übernommen werden sollten.</w:t>
      </w:r>
      <w:r w:rsidRPr="00AD6C7D">
        <w:rPr>
          <w:lang w:val="de-DE"/>
        </w:rPr>
        <w:t xml:space="preserve"> </w:t>
      </w:r>
      <w:r w:rsidR="00BB6A91" w:rsidRPr="00AD6C7D">
        <w:rPr>
          <w:lang w:val="de-DE"/>
        </w:rPr>
        <w:t>Er nahm die Bemerkungen des Sekretariats zur Kenntnis und einigte sich auf folgende Maßnahmen:</w:t>
      </w:r>
    </w:p>
    <w:p w14:paraId="160DF7C9" w14:textId="17349ECE" w:rsidR="007A0B67" w:rsidRPr="00AD6C7D" w:rsidRDefault="007A0B67" w:rsidP="00AD6C7D">
      <w:pPr>
        <w:pStyle w:val="SingleTxtG"/>
        <w:numPr>
          <w:ilvl w:val="0"/>
          <w:numId w:val="17"/>
        </w:numPr>
        <w:ind w:left="1418" w:hanging="284"/>
        <w:rPr>
          <w:lang w:val="de-DE"/>
        </w:rPr>
      </w:pPr>
      <w:r w:rsidRPr="00AD6C7D">
        <w:rPr>
          <w:lang w:val="de-DE"/>
        </w:rPr>
        <w:t>Zu Abschnitt 5.4.1. wurde beschlossen, auf die Ergebnisse der Sitzung der Redaktions- und Technikgruppe (E&amp;T) des Unterausschusses für Güter- und Containerbeförderung (CCC) der IMO im September 2019 zu warten und zu einem späteren Zeitpunkt zu entscheiden, ob Änderungen am Beförderungspapier für das ADN erforderlich sind;</w:t>
      </w:r>
    </w:p>
    <w:p w14:paraId="5755407A" w14:textId="41A93447" w:rsidR="007A0B67" w:rsidRPr="00AD6C7D" w:rsidRDefault="007A0B67" w:rsidP="00AD6C7D">
      <w:pPr>
        <w:pStyle w:val="SingleTxtG"/>
        <w:numPr>
          <w:ilvl w:val="0"/>
          <w:numId w:val="17"/>
        </w:numPr>
        <w:ind w:left="1418" w:hanging="284"/>
        <w:rPr>
          <w:lang w:val="de-DE"/>
        </w:rPr>
      </w:pPr>
      <w:r w:rsidRPr="00AD6C7D">
        <w:rPr>
          <w:lang w:val="de-DE"/>
        </w:rPr>
        <w:t>Zu Abschnitt 5.5.4 wurde empfohlen, auf die Ergebnisse der Sitzung der E&amp;T-Gruppe im September 2019 zu warten, da die Aufnahme eines neuen Unterabschnitts 5.5.4.1 d) für das ADN von Bedeutung sein könnte;</w:t>
      </w:r>
    </w:p>
    <w:p w14:paraId="313B5B94" w14:textId="32F8C99E" w:rsidR="007A0B67" w:rsidRPr="00AD6C7D" w:rsidRDefault="007A0B67" w:rsidP="00660988">
      <w:pPr>
        <w:pStyle w:val="SingleTxtG"/>
        <w:numPr>
          <w:ilvl w:val="0"/>
          <w:numId w:val="17"/>
        </w:numPr>
        <w:ind w:left="1418" w:hanging="284"/>
        <w:rPr>
          <w:lang w:val="de-DE"/>
        </w:rPr>
      </w:pPr>
      <w:r w:rsidRPr="00AD6C7D">
        <w:rPr>
          <w:lang w:val="de-DE"/>
        </w:rPr>
        <w:lastRenderedPageBreak/>
        <w:t>Zu Kapitel 7.1 wurden die Vertreter der Vertragsparteien ersucht, ihre zuständigen nationalen Behörden zum Thema radioaktive Stoffe zu konsultieren, um zu sondieren, welche der vorgeschlagenen Optionen in das ADN aufgenommen werden könnten. Der Sicherheitsausschuss nahm den im informellen Dokument INF.15 enthaltenen Antrag des Sekretariats der OTIF zur Kenntnis, die Verwendung des Begriffs „Beförderungsmittel“ im gesamten ADN zu überprüfen, und vereinbarte, sich mit den Ergebnissen der Beratungen in der Herbstsitzung 2019 der Gemeinsamen Tagung zu befassen.</w:t>
      </w:r>
    </w:p>
    <w:p w14:paraId="19AB71A2" w14:textId="4E35F685" w:rsidR="00925F82" w:rsidRPr="00AD6C7D" w:rsidRDefault="00925F82" w:rsidP="007A0B67">
      <w:pPr>
        <w:pStyle w:val="SingleTxtG"/>
        <w:rPr>
          <w:lang w:val="de-DE"/>
        </w:rPr>
      </w:pPr>
      <w:r w:rsidRPr="00AD6C7D">
        <w:rPr>
          <w:lang w:val="de-DE"/>
        </w:rPr>
        <w:t>41.</w:t>
      </w:r>
      <w:r w:rsidRPr="00AD6C7D">
        <w:rPr>
          <w:lang w:val="de-DE"/>
        </w:rPr>
        <w:tab/>
      </w:r>
      <w:r w:rsidR="001E19FE" w:rsidRPr="00AD6C7D">
        <w:rPr>
          <w:lang w:val="de-DE"/>
        </w:rPr>
        <w:t>Der Sicherheitsausschuss wurde darüber informiert, dass am 3. Oktober 2019 in Brüssel eine informelle Sitzung der Arbeitsgruppe zur Verbesserung der Unfallberichte stattfinden soll. Alle Delegierten wurden eingeladen, an dieser Sitzung teilzunehmen.</w:t>
      </w:r>
    </w:p>
    <w:p w14:paraId="61332479" w14:textId="014373D7" w:rsidR="00925F82" w:rsidRPr="00AD6C7D" w:rsidRDefault="00925F82" w:rsidP="00AD6C7D">
      <w:pPr>
        <w:pStyle w:val="H1G"/>
        <w:keepNext w:val="0"/>
        <w:keepLines w:val="0"/>
        <w:spacing w:before="240" w:after="120"/>
        <w:rPr>
          <w:lang w:val="de-DE"/>
        </w:rPr>
      </w:pPr>
      <w:r w:rsidRPr="00AD6C7D">
        <w:rPr>
          <w:lang w:val="de-DE"/>
        </w:rPr>
        <w:tab/>
      </w:r>
      <w:r w:rsidR="001E19FE" w:rsidRPr="00AD6C7D">
        <w:rPr>
          <w:lang w:val="de-DE"/>
        </w:rPr>
        <w:t>B.</w:t>
      </w:r>
      <w:r w:rsidRPr="00AD6C7D">
        <w:rPr>
          <w:lang w:val="de-DE"/>
        </w:rPr>
        <w:tab/>
      </w:r>
      <w:r w:rsidR="001E19FE" w:rsidRPr="00AD6C7D">
        <w:rPr>
          <w:lang w:val="de-DE"/>
        </w:rPr>
        <w:t>Weitere Vorschläge</w:t>
      </w:r>
    </w:p>
    <w:p w14:paraId="020B20E2" w14:textId="7A5BE79D" w:rsidR="00925F82" w:rsidRPr="00AD6C7D" w:rsidRDefault="00925F82" w:rsidP="00AD6C7D">
      <w:pPr>
        <w:pStyle w:val="H1G"/>
        <w:keepNext w:val="0"/>
        <w:keepLines w:val="0"/>
        <w:spacing w:before="120"/>
        <w:ind w:right="992"/>
        <w:rPr>
          <w:sz w:val="20"/>
          <w:lang w:val="de-DE"/>
        </w:rPr>
      </w:pPr>
      <w:r w:rsidRPr="00AD6C7D">
        <w:rPr>
          <w:sz w:val="20"/>
          <w:lang w:val="de-DE"/>
        </w:rPr>
        <w:tab/>
        <w:t>1.</w:t>
      </w:r>
      <w:r w:rsidRPr="00AD6C7D">
        <w:rPr>
          <w:sz w:val="20"/>
          <w:lang w:val="de-DE"/>
        </w:rPr>
        <w:tab/>
      </w:r>
      <w:r w:rsidR="001E19FE" w:rsidRPr="00AD6C7D">
        <w:rPr>
          <w:sz w:val="20"/>
          <w:lang w:val="de-DE"/>
        </w:rPr>
        <w:t>Änderungsvorschlag zu UN-Nr. 2057 (</w:t>
      </w:r>
      <w:proofErr w:type="spellStart"/>
      <w:r w:rsidR="001E19FE" w:rsidRPr="00AD6C7D">
        <w:rPr>
          <w:sz w:val="20"/>
          <w:lang w:val="de-DE"/>
        </w:rPr>
        <w:t>Tripropylen</w:t>
      </w:r>
      <w:proofErr w:type="spellEnd"/>
      <w:r w:rsidR="001E19FE" w:rsidRPr="00AD6C7D">
        <w:rPr>
          <w:sz w:val="20"/>
          <w:lang w:val="de-DE"/>
        </w:rPr>
        <w:t>) in Tabelle C</w:t>
      </w:r>
    </w:p>
    <w:p w14:paraId="7FF9394B" w14:textId="306DB0FD" w:rsidR="00925F82" w:rsidRPr="00917B35" w:rsidRDefault="00925F82" w:rsidP="00925F82">
      <w:pPr>
        <w:pStyle w:val="H23G"/>
        <w:keepNext w:val="0"/>
        <w:keepLines w:val="0"/>
        <w:tabs>
          <w:tab w:val="left" w:pos="1134"/>
          <w:tab w:val="left" w:pos="3402"/>
        </w:tabs>
        <w:ind w:firstLine="0"/>
        <w:rPr>
          <w:b w:val="0"/>
          <w:bCs/>
          <w:lang w:val="de-DE"/>
        </w:rPr>
      </w:pPr>
      <w:r w:rsidRPr="00917B35">
        <w:rPr>
          <w:b w:val="0"/>
          <w:bCs/>
          <w:i/>
          <w:iCs/>
          <w:lang w:val="de-DE"/>
        </w:rPr>
        <w:t>Do</w:t>
      </w:r>
      <w:r w:rsidR="0076134A" w:rsidRPr="00917B35">
        <w:rPr>
          <w:b w:val="0"/>
          <w:bCs/>
          <w:i/>
          <w:iCs/>
          <w:lang w:val="de-DE"/>
        </w:rPr>
        <w:t>k</w:t>
      </w:r>
      <w:r w:rsidRPr="00917B35">
        <w:rPr>
          <w:b w:val="0"/>
          <w:bCs/>
          <w:i/>
          <w:iCs/>
          <w:lang w:val="de-DE"/>
        </w:rPr>
        <w:t>ument</w:t>
      </w:r>
      <w:r w:rsidRPr="00917B35">
        <w:rPr>
          <w:b w:val="0"/>
          <w:bCs/>
          <w:lang w:val="de-DE"/>
        </w:rPr>
        <w:t>:</w:t>
      </w:r>
      <w:r w:rsidRPr="00917B35">
        <w:rPr>
          <w:b w:val="0"/>
          <w:bCs/>
          <w:lang w:val="de-DE"/>
        </w:rPr>
        <w:tab/>
        <w:t>ECE/TRANS/WP.15/AC.2/2019/27 (CEFIC)</w:t>
      </w:r>
      <w:r w:rsidRPr="00917B35">
        <w:rPr>
          <w:b w:val="0"/>
          <w:bCs/>
          <w:lang w:val="de-DE"/>
        </w:rPr>
        <w:br/>
      </w:r>
      <w:r w:rsidR="007540AC" w:rsidRPr="00917B35">
        <w:rPr>
          <w:b w:val="0"/>
          <w:bCs/>
          <w:i/>
          <w:iCs/>
          <w:lang w:val="de-DE"/>
        </w:rPr>
        <w:t>Informelles Dokument</w:t>
      </w:r>
      <w:r w:rsidRPr="00917B35">
        <w:rPr>
          <w:b w:val="0"/>
          <w:bCs/>
          <w:lang w:val="de-DE"/>
        </w:rPr>
        <w:t>:</w:t>
      </w:r>
      <w:r w:rsidRPr="00917B35">
        <w:rPr>
          <w:b w:val="0"/>
          <w:bCs/>
          <w:lang w:val="de-DE"/>
        </w:rPr>
        <w:tab/>
        <w:t>INF.37 (CEFIC)</w:t>
      </w:r>
    </w:p>
    <w:p w14:paraId="1717DF1F" w14:textId="4740F51F" w:rsidR="00925F82" w:rsidRPr="00AD6C7D" w:rsidRDefault="00925F82" w:rsidP="00F65A2F">
      <w:pPr>
        <w:pStyle w:val="SingleTxtG"/>
        <w:rPr>
          <w:lang w:val="de-DE"/>
        </w:rPr>
      </w:pPr>
      <w:r w:rsidRPr="00AD6C7D">
        <w:rPr>
          <w:lang w:val="de-DE"/>
        </w:rPr>
        <w:t>42.</w:t>
      </w:r>
      <w:r w:rsidRPr="00AD6C7D">
        <w:rPr>
          <w:lang w:val="de-DE"/>
        </w:rPr>
        <w:tab/>
      </w:r>
      <w:r w:rsidR="001E19FE" w:rsidRPr="00AD6C7D">
        <w:rPr>
          <w:lang w:val="de-DE"/>
        </w:rPr>
        <w:t>Auf Antrag der Niederlande legte der CEFIC-Vertreter das Sicherheitsdatenblatt für UN-Nr. 2057 (</w:t>
      </w:r>
      <w:proofErr w:type="spellStart"/>
      <w:r w:rsidR="001E19FE" w:rsidRPr="00AD6C7D">
        <w:rPr>
          <w:lang w:val="de-DE"/>
        </w:rPr>
        <w:t>Tripropylen</w:t>
      </w:r>
      <w:proofErr w:type="spellEnd"/>
      <w:r w:rsidR="001E19FE" w:rsidRPr="00AD6C7D">
        <w:rPr>
          <w:lang w:val="de-DE"/>
        </w:rPr>
        <w:t xml:space="preserve">) vor, </w:t>
      </w:r>
      <w:proofErr w:type="gramStart"/>
      <w:r w:rsidR="001E19FE" w:rsidRPr="00AD6C7D">
        <w:rPr>
          <w:lang w:val="de-DE"/>
        </w:rPr>
        <w:t>das</w:t>
      </w:r>
      <w:proofErr w:type="gramEnd"/>
      <w:r w:rsidR="001E19FE" w:rsidRPr="00AD6C7D">
        <w:rPr>
          <w:lang w:val="de-DE"/>
        </w:rPr>
        <w:t xml:space="preserve"> im informellen Dokument INF.37 enthalten ist.</w:t>
      </w:r>
      <w:r w:rsidRPr="00AD6C7D">
        <w:rPr>
          <w:lang w:val="de-DE"/>
        </w:rPr>
        <w:t xml:space="preserve"> </w:t>
      </w:r>
      <w:r w:rsidR="00DA2477" w:rsidRPr="00AD6C7D">
        <w:rPr>
          <w:lang w:val="de-DE"/>
        </w:rPr>
        <w:t xml:space="preserve">Er bot an, </w:t>
      </w:r>
      <w:r w:rsidR="0092314D" w:rsidRPr="00AD6C7D">
        <w:rPr>
          <w:lang w:val="de-DE"/>
        </w:rPr>
        <w:t xml:space="preserve">dem Sicherheitsausschusses </w:t>
      </w:r>
      <w:r w:rsidR="00DA2477" w:rsidRPr="00AD6C7D">
        <w:rPr>
          <w:lang w:val="de-DE"/>
        </w:rPr>
        <w:t xml:space="preserve">den Änderungsvorschlag in </w:t>
      </w:r>
      <w:r w:rsidR="0092314D" w:rsidRPr="00AD6C7D">
        <w:rPr>
          <w:lang w:val="de-DE"/>
        </w:rPr>
        <w:t>seiner</w:t>
      </w:r>
      <w:r w:rsidR="00DA2477" w:rsidRPr="00AD6C7D">
        <w:rPr>
          <w:lang w:val="de-DE"/>
        </w:rPr>
        <w:t xml:space="preserve"> nächste</w:t>
      </w:r>
      <w:r w:rsidR="00C93BA3" w:rsidRPr="00AD6C7D">
        <w:rPr>
          <w:lang w:val="de-DE"/>
        </w:rPr>
        <w:t>n</w:t>
      </w:r>
      <w:r w:rsidR="00DA2477" w:rsidRPr="00AD6C7D">
        <w:rPr>
          <w:lang w:val="de-DE"/>
        </w:rPr>
        <w:t xml:space="preserve"> Sitzung </w:t>
      </w:r>
      <w:r w:rsidR="00F65A2F" w:rsidRPr="00AD6C7D">
        <w:rPr>
          <w:lang w:val="de-DE"/>
        </w:rPr>
        <w:t xml:space="preserve">nochmals </w:t>
      </w:r>
      <w:r w:rsidR="0092314D" w:rsidRPr="00AD6C7D">
        <w:rPr>
          <w:lang w:val="de-DE"/>
        </w:rPr>
        <w:t>zu einer</w:t>
      </w:r>
      <w:r w:rsidR="00DA2477" w:rsidRPr="00AD6C7D">
        <w:rPr>
          <w:lang w:val="de-DE"/>
        </w:rPr>
        <w:t xml:space="preserve"> abschließende</w:t>
      </w:r>
      <w:r w:rsidR="0092314D" w:rsidRPr="00AD6C7D">
        <w:rPr>
          <w:lang w:val="de-DE"/>
        </w:rPr>
        <w:t>n</w:t>
      </w:r>
      <w:r w:rsidR="00DA2477" w:rsidRPr="00AD6C7D">
        <w:rPr>
          <w:lang w:val="de-DE"/>
        </w:rPr>
        <w:t xml:space="preserve"> Überprüfung vorzulegen.</w:t>
      </w:r>
    </w:p>
    <w:p w14:paraId="09D76FD2" w14:textId="74985924" w:rsidR="00925F82" w:rsidRPr="00AD6C7D" w:rsidRDefault="00925F82" w:rsidP="00AD6C7D">
      <w:pPr>
        <w:pStyle w:val="H1G"/>
        <w:keepNext w:val="0"/>
        <w:keepLines w:val="0"/>
        <w:spacing w:before="240"/>
        <w:ind w:right="992"/>
        <w:rPr>
          <w:sz w:val="20"/>
          <w:lang w:val="de-DE"/>
        </w:rPr>
      </w:pPr>
      <w:r w:rsidRPr="00AD6C7D">
        <w:rPr>
          <w:sz w:val="20"/>
          <w:lang w:val="de-DE"/>
        </w:rPr>
        <w:tab/>
        <w:t>2.</w:t>
      </w:r>
      <w:r w:rsidRPr="00AD6C7D">
        <w:rPr>
          <w:sz w:val="20"/>
          <w:lang w:val="de-DE"/>
        </w:rPr>
        <w:tab/>
      </w:r>
      <w:r w:rsidR="0092314D" w:rsidRPr="00AD6C7D">
        <w:rPr>
          <w:sz w:val="20"/>
          <w:lang w:val="de-DE"/>
        </w:rPr>
        <w:t>Begriffsbestimmung für Gasrückfuhrleitung (an Land) in Abschnitt 1.2.1 ADN</w:t>
      </w:r>
    </w:p>
    <w:p w14:paraId="28E990AD" w14:textId="56C0FCBD" w:rsidR="00925F82" w:rsidRPr="00660988" w:rsidRDefault="00925F82" w:rsidP="00925F82">
      <w:pPr>
        <w:pStyle w:val="H23G"/>
        <w:keepNext w:val="0"/>
        <w:keepLines w:val="0"/>
        <w:tabs>
          <w:tab w:val="left" w:pos="1134"/>
          <w:tab w:val="left" w:pos="3402"/>
        </w:tabs>
        <w:ind w:firstLine="0"/>
        <w:rPr>
          <w:b w:val="0"/>
          <w:bCs/>
          <w:lang w:val="de-DE"/>
        </w:rPr>
      </w:pPr>
      <w:r w:rsidRPr="00660988">
        <w:rPr>
          <w:b w:val="0"/>
          <w:bCs/>
          <w:i/>
          <w:iCs/>
          <w:lang w:val="de-DE"/>
        </w:rPr>
        <w:t>Do</w:t>
      </w:r>
      <w:r w:rsidR="0076134A" w:rsidRPr="00660988">
        <w:rPr>
          <w:b w:val="0"/>
          <w:bCs/>
          <w:i/>
          <w:iCs/>
          <w:lang w:val="de-DE"/>
        </w:rPr>
        <w:t>k</w:t>
      </w:r>
      <w:r w:rsidRPr="00660988">
        <w:rPr>
          <w:b w:val="0"/>
          <w:bCs/>
          <w:i/>
          <w:iCs/>
          <w:lang w:val="de-DE"/>
        </w:rPr>
        <w:t>ument</w:t>
      </w:r>
      <w:r w:rsidRPr="00660988">
        <w:rPr>
          <w:b w:val="0"/>
          <w:bCs/>
          <w:lang w:val="de-DE"/>
        </w:rPr>
        <w:t>:</w:t>
      </w:r>
      <w:r w:rsidRPr="00660988">
        <w:rPr>
          <w:b w:val="0"/>
          <w:bCs/>
          <w:lang w:val="de-DE"/>
        </w:rPr>
        <w:tab/>
        <w:t>ECE/TRANS/WP.15/AC.2/2019/33 (CEFIC)</w:t>
      </w:r>
    </w:p>
    <w:p w14:paraId="235FF7F8" w14:textId="47109F83" w:rsidR="00925F82" w:rsidRPr="00AD6C7D" w:rsidRDefault="00925F82" w:rsidP="007838C6">
      <w:pPr>
        <w:pStyle w:val="SingleTxtG"/>
        <w:rPr>
          <w:lang w:val="de-DE"/>
        </w:rPr>
      </w:pPr>
      <w:r w:rsidRPr="00AD6C7D">
        <w:rPr>
          <w:lang w:val="de-DE"/>
        </w:rPr>
        <w:t>43.</w:t>
      </w:r>
      <w:r w:rsidRPr="00AD6C7D">
        <w:rPr>
          <w:lang w:val="de-DE"/>
        </w:rPr>
        <w:tab/>
      </w:r>
      <w:r w:rsidR="0092314D" w:rsidRPr="00AD6C7D">
        <w:rPr>
          <w:lang w:val="de-DE"/>
        </w:rPr>
        <w:t xml:space="preserve">Der Sicherheitsausschuss nahm den Vorschlag zur Änderung der Begriffsbestimmung </w:t>
      </w:r>
      <w:r w:rsidR="007838C6" w:rsidRPr="00AD6C7D">
        <w:rPr>
          <w:lang w:val="de-DE"/>
        </w:rPr>
        <w:t>für „Gasrückfuhrleitung</w:t>
      </w:r>
      <w:r w:rsidR="00F65A2F" w:rsidRPr="00AD6C7D">
        <w:rPr>
          <w:lang w:val="de-DE"/>
        </w:rPr>
        <w:t>[en]</w:t>
      </w:r>
      <w:r w:rsidR="007838C6" w:rsidRPr="00AD6C7D">
        <w:rPr>
          <w:lang w:val="de-DE"/>
        </w:rPr>
        <w:t xml:space="preserve"> (an Land)“ </w:t>
      </w:r>
      <w:r w:rsidR="0092314D" w:rsidRPr="00AD6C7D">
        <w:rPr>
          <w:lang w:val="de-DE"/>
        </w:rPr>
        <w:t xml:space="preserve">in </w:t>
      </w:r>
      <w:r w:rsidR="00D00623" w:rsidRPr="00AD6C7D">
        <w:rPr>
          <w:lang w:val="de-DE"/>
        </w:rPr>
        <w:t xml:space="preserve">Abschnitt </w:t>
      </w:r>
      <w:r w:rsidR="0092314D" w:rsidRPr="00AD6C7D">
        <w:rPr>
          <w:lang w:val="de-DE"/>
        </w:rPr>
        <w:t>1.2.1 ADN an (siehe An</w:t>
      </w:r>
      <w:r w:rsidR="002963D8" w:rsidRPr="00AD6C7D">
        <w:rPr>
          <w:lang w:val="de-DE"/>
        </w:rPr>
        <w:t>l</w:t>
      </w:r>
      <w:r w:rsidR="0092314D" w:rsidRPr="00AD6C7D">
        <w:rPr>
          <w:lang w:val="de-DE"/>
        </w:rPr>
        <w:t>ag</w:t>
      </w:r>
      <w:r w:rsidR="002963D8" w:rsidRPr="00AD6C7D">
        <w:rPr>
          <w:lang w:val="de-DE"/>
        </w:rPr>
        <w:t>e</w:t>
      </w:r>
      <w:r w:rsidR="0092314D" w:rsidRPr="00AD6C7D">
        <w:rPr>
          <w:lang w:val="de-DE"/>
        </w:rPr>
        <w:t xml:space="preserve"> I).</w:t>
      </w:r>
    </w:p>
    <w:p w14:paraId="33B8A4A2" w14:textId="6A85F375" w:rsidR="00925F82" w:rsidRPr="00AD6C7D" w:rsidRDefault="00925F82" w:rsidP="00AD6C7D">
      <w:pPr>
        <w:pStyle w:val="H1G"/>
        <w:keepNext w:val="0"/>
        <w:keepLines w:val="0"/>
        <w:spacing w:before="120"/>
        <w:ind w:right="992"/>
        <w:rPr>
          <w:sz w:val="20"/>
          <w:lang w:val="de-DE"/>
        </w:rPr>
      </w:pPr>
      <w:r w:rsidRPr="00AD6C7D">
        <w:rPr>
          <w:sz w:val="20"/>
          <w:lang w:val="de-DE"/>
        </w:rPr>
        <w:tab/>
        <w:t>3.</w:t>
      </w:r>
      <w:r w:rsidRPr="00AD6C7D">
        <w:rPr>
          <w:sz w:val="20"/>
          <w:lang w:val="de-DE"/>
        </w:rPr>
        <w:tab/>
      </w:r>
      <w:r w:rsidR="007838C6" w:rsidRPr="00AD6C7D">
        <w:rPr>
          <w:sz w:val="20"/>
          <w:lang w:val="de-DE"/>
        </w:rPr>
        <w:t>Antrag auf Diskussion der Einträge in Tabelle C mit Bemerkung 44</w:t>
      </w:r>
    </w:p>
    <w:p w14:paraId="4D90B5E4" w14:textId="19D013BE" w:rsidR="00925F82" w:rsidRPr="00AD6C7D" w:rsidRDefault="007540AC" w:rsidP="00925F82">
      <w:pPr>
        <w:pStyle w:val="H23G"/>
        <w:keepNext w:val="0"/>
        <w:keepLines w:val="0"/>
        <w:tabs>
          <w:tab w:val="left" w:pos="1134"/>
          <w:tab w:val="left" w:pos="3402"/>
        </w:tabs>
        <w:ind w:firstLine="0"/>
        <w:rPr>
          <w:b w:val="0"/>
          <w:bCs/>
          <w:lang w:val="de-DE"/>
        </w:rPr>
      </w:pPr>
      <w:r w:rsidRPr="00AD6C7D">
        <w:rPr>
          <w:b w:val="0"/>
          <w:bCs/>
          <w:i/>
          <w:iCs/>
          <w:lang w:val="de-DE"/>
        </w:rPr>
        <w:t>Informelles Dokument</w:t>
      </w:r>
      <w:r w:rsidR="00925F82" w:rsidRPr="00AD6C7D">
        <w:rPr>
          <w:b w:val="0"/>
          <w:bCs/>
          <w:lang w:val="de-DE"/>
        </w:rPr>
        <w:t>:</w:t>
      </w:r>
      <w:r w:rsidR="00925F82" w:rsidRPr="00AD6C7D">
        <w:rPr>
          <w:b w:val="0"/>
          <w:bCs/>
          <w:lang w:val="de-DE"/>
        </w:rPr>
        <w:tab/>
        <w:t xml:space="preserve">INF.31 (CEFIC </w:t>
      </w:r>
      <w:r w:rsidR="0076134A" w:rsidRPr="00AD6C7D">
        <w:rPr>
          <w:b w:val="0"/>
          <w:bCs/>
          <w:lang w:val="de-DE"/>
        </w:rPr>
        <w:t>und</w:t>
      </w:r>
      <w:r w:rsidR="00925F82" w:rsidRPr="00AD6C7D">
        <w:rPr>
          <w:b w:val="0"/>
          <w:bCs/>
          <w:lang w:val="de-DE"/>
        </w:rPr>
        <w:t xml:space="preserve"> </w:t>
      </w:r>
      <w:proofErr w:type="spellStart"/>
      <w:r w:rsidR="00925F82" w:rsidRPr="00AD6C7D">
        <w:rPr>
          <w:b w:val="0"/>
          <w:bCs/>
          <w:lang w:val="de-DE"/>
        </w:rPr>
        <w:t>FuelsEurope</w:t>
      </w:r>
      <w:proofErr w:type="spellEnd"/>
      <w:r w:rsidR="00925F82" w:rsidRPr="00AD6C7D">
        <w:rPr>
          <w:b w:val="0"/>
          <w:bCs/>
          <w:lang w:val="de-DE"/>
        </w:rPr>
        <w:t>)</w:t>
      </w:r>
    </w:p>
    <w:p w14:paraId="439EB9E7" w14:textId="3AC62FAF" w:rsidR="00925F82" w:rsidRPr="00AD6C7D" w:rsidRDefault="00925F82" w:rsidP="00F65A2F">
      <w:pPr>
        <w:pStyle w:val="SingleTxtG"/>
        <w:rPr>
          <w:lang w:val="de-DE"/>
        </w:rPr>
      </w:pPr>
      <w:r w:rsidRPr="00AD6C7D">
        <w:rPr>
          <w:lang w:val="de-DE"/>
        </w:rPr>
        <w:t>44.</w:t>
      </w:r>
      <w:r w:rsidRPr="00AD6C7D">
        <w:rPr>
          <w:lang w:val="de-DE"/>
        </w:rPr>
        <w:tab/>
      </w:r>
      <w:r w:rsidR="007838C6" w:rsidRPr="00AD6C7D">
        <w:rPr>
          <w:lang w:val="de-DE"/>
        </w:rPr>
        <w:t xml:space="preserve">Der Sicherheitsausschuss unterstützte die Absicht von CEFIC und </w:t>
      </w:r>
      <w:proofErr w:type="spellStart"/>
      <w:r w:rsidR="007838C6" w:rsidRPr="00AD6C7D">
        <w:rPr>
          <w:lang w:val="de-DE"/>
        </w:rPr>
        <w:t>FuelsEurope</w:t>
      </w:r>
      <w:proofErr w:type="spellEnd"/>
      <w:r w:rsidR="007838C6" w:rsidRPr="00AD6C7D">
        <w:rPr>
          <w:lang w:val="de-DE"/>
        </w:rPr>
        <w:t>, die Tabelle C des ADN zu vereinfachen.</w:t>
      </w:r>
      <w:r w:rsidRPr="00AD6C7D">
        <w:rPr>
          <w:lang w:val="de-DE"/>
        </w:rPr>
        <w:t xml:space="preserve"> </w:t>
      </w:r>
      <w:r w:rsidR="007838C6" w:rsidRPr="00AD6C7D">
        <w:rPr>
          <w:lang w:val="de-DE"/>
        </w:rPr>
        <w:t xml:space="preserve">Der Vertreter von </w:t>
      </w:r>
      <w:proofErr w:type="spellStart"/>
      <w:r w:rsidR="007838C6" w:rsidRPr="00AD6C7D">
        <w:rPr>
          <w:lang w:val="de-DE"/>
        </w:rPr>
        <w:t>FuelsEurope</w:t>
      </w:r>
      <w:proofErr w:type="spellEnd"/>
      <w:r w:rsidR="007838C6" w:rsidRPr="00AD6C7D">
        <w:rPr>
          <w:lang w:val="de-DE"/>
        </w:rPr>
        <w:t xml:space="preserve"> bot an, für die nächste Sitzung ein detailliertes Dokument zur weiteren Prüfung vorzulegen.</w:t>
      </w:r>
      <w:r w:rsidRPr="00AD6C7D">
        <w:rPr>
          <w:lang w:val="de-DE"/>
        </w:rPr>
        <w:t xml:space="preserve"> </w:t>
      </w:r>
      <w:r w:rsidR="009A4750" w:rsidRPr="00AD6C7D">
        <w:rPr>
          <w:lang w:val="de-DE"/>
        </w:rPr>
        <w:t>Der Sicherheitsausschuss verwies das informelle Dokument INF.31 an die informelle Arbeitsgruppe „Stoffe“ mit der Bitte, es auf ihrer nächsten Sitzung weiter zu prüfen.</w:t>
      </w:r>
    </w:p>
    <w:p w14:paraId="3B4EB719" w14:textId="486BDC2A" w:rsidR="00925F82" w:rsidRPr="00AD6C7D" w:rsidRDefault="00925F82" w:rsidP="00AD6C7D">
      <w:pPr>
        <w:pStyle w:val="H1G"/>
        <w:spacing w:before="240"/>
        <w:ind w:right="992"/>
        <w:rPr>
          <w:sz w:val="20"/>
          <w:lang w:val="de-DE"/>
        </w:rPr>
      </w:pPr>
      <w:r w:rsidRPr="00AD6C7D">
        <w:rPr>
          <w:sz w:val="20"/>
          <w:lang w:val="de-DE"/>
        </w:rPr>
        <w:tab/>
        <w:t>4.</w:t>
      </w:r>
      <w:r w:rsidRPr="00AD6C7D">
        <w:rPr>
          <w:sz w:val="20"/>
          <w:lang w:val="de-DE"/>
        </w:rPr>
        <w:tab/>
      </w:r>
      <w:r w:rsidR="009A4750" w:rsidRPr="00AD6C7D">
        <w:rPr>
          <w:sz w:val="20"/>
          <w:lang w:val="de-DE"/>
        </w:rPr>
        <w:t>Antrag auf Diskussion der Einträge in Tabelle C mit mehr als 10 % Benzol und der mit einem Stern gekennzeichneten Einträge</w:t>
      </w:r>
    </w:p>
    <w:p w14:paraId="55D30E4D" w14:textId="24E35D8C" w:rsidR="00925F82" w:rsidRPr="00AD6C7D" w:rsidRDefault="007540AC" w:rsidP="00925F82">
      <w:pPr>
        <w:pStyle w:val="H23G"/>
        <w:tabs>
          <w:tab w:val="left" w:pos="1134"/>
          <w:tab w:val="left" w:pos="3402"/>
        </w:tabs>
        <w:ind w:firstLine="0"/>
        <w:rPr>
          <w:b w:val="0"/>
          <w:bCs/>
          <w:lang w:val="de-DE"/>
        </w:rPr>
      </w:pPr>
      <w:r w:rsidRPr="00AD6C7D">
        <w:rPr>
          <w:b w:val="0"/>
          <w:bCs/>
          <w:i/>
          <w:iCs/>
          <w:lang w:val="de-DE"/>
        </w:rPr>
        <w:t>Informelles Dokument</w:t>
      </w:r>
      <w:r w:rsidR="00925F82" w:rsidRPr="00AD6C7D">
        <w:rPr>
          <w:b w:val="0"/>
          <w:bCs/>
          <w:lang w:val="de-DE"/>
        </w:rPr>
        <w:t>:</w:t>
      </w:r>
      <w:r w:rsidR="00925F82" w:rsidRPr="00AD6C7D">
        <w:rPr>
          <w:b w:val="0"/>
          <w:bCs/>
          <w:lang w:val="de-DE"/>
        </w:rPr>
        <w:tab/>
        <w:t xml:space="preserve">INF.32 (CEFIC </w:t>
      </w:r>
      <w:r w:rsidR="0076134A" w:rsidRPr="00AD6C7D">
        <w:rPr>
          <w:b w:val="0"/>
          <w:bCs/>
          <w:lang w:val="de-DE"/>
        </w:rPr>
        <w:t>und</w:t>
      </w:r>
      <w:r w:rsidR="00925F82" w:rsidRPr="00AD6C7D">
        <w:rPr>
          <w:b w:val="0"/>
          <w:bCs/>
          <w:lang w:val="de-DE"/>
        </w:rPr>
        <w:t xml:space="preserve"> </w:t>
      </w:r>
      <w:proofErr w:type="spellStart"/>
      <w:r w:rsidR="00925F82" w:rsidRPr="00AD6C7D">
        <w:rPr>
          <w:b w:val="0"/>
          <w:bCs/>
          <w:lang w:val="de-DE"/>
        </w:rPr>
        <w:t>FuelsEurope</w:t>
      </w:r>
      <w:proofErr w:type="spellEnd"/>
      <w:r w:rsidR="00925F82" w:rsidRPr="00AD6C7D">
        <w:rPr>
          <w:b w:val="0"/>
          <w:bCs/>
          <w:lang w:val="de-DE"/>
        </w:rPr>
        <w:t>)</w:t>
      </w:r>
    </w:p>
    <w:p w14:paraId="1CD8801C" w14:textId="41888220" w:rsidR="00925F82" w:rsidRPr="00AD6C7D" w:rsidRDefault="00925F82" w:rsidP="00F65A2F">
      <w:pPr>
        <w:pStyle w:val="SingleTxtG"/>
        <w:rPr>
          <w:lang w:val="de-DE"/>
        </w:rPr>
      </w:pPr>
      <w:r w:rsidRPr="00AD6C7D">
        <w:rPr>
          <w:lang w:val="de-DE"/>
        </w:rPr>
        <w:t>45.</w:t>
      </w:r>
      <w:r w:rsidRPr="00AD6C7D">
        <w:rPr>
          <w:lang w:val="de-DE"/>
        </w:rPr>
        <w:tab/>
      </w:r>
      <w:r w:rsidR="009A4750" w:rsidRPr="00AD6C7D">
        <w:rPr>
          <w:lang w:val="de-DE"/>
        </w:rPr>
        <w:t xml:space="preserve">Auf Vorschlag von CEFIC und </w:t>
      </w:r>
      <w:proofErr w:type="spellStart"/>
      <w:r w:rsidR="009A4750" w:rsidRPr="00AD6C7D">
        <w:rPr>
          <w:lang w:val="de-DE"/>
        </w:rPr>
        <w:t>FuelsEurope</w:t>
      </w:r>
      <w:proofErr w:type="spellEnd"/>
      <w:r w:rsidR="009A4750" w:rsidRPr="00AD6C7D">
        <w:rPr>
          <w:lang w:val="de-DE"/>
        </w:rPr>
        <w:t>, die Tabelle C des ADN in Bezug auf Stoffe mit mehr als 10 % Benzol zu vereinfachen, schlug der Sicherheitsausschuss vor, wie beim informellen Dokument INF.31 vorzugehen.</w:t>
      </w:r>
    </w:p>
    <w:p w14:paraId="38B7675F" w14:textId="122967E8" w:rsidR="00925F82" w:rsidRPr="00AD6C7D" w:rsidRDefault="00925F82" w:rsidP="00AD6C7D">
      <w:pPr>
        <w:pStyle w:val="H1G"/>
        <w:spacing w:before="240"/>
        <w:ind w:right="992"/>
        <w:rPr>
          <w:sz w:val="20"/>
          <w:lang w:val="de-DE"/>
        </w:rPr>
      </w:pPr>
      <w:r w:rsidRPr="00AD6C7D">
        <w:rPr>
          <w:sz w:val="20"/>
          <w:lang w:val="de-DE"/>
        </w:rPr>
        <w:tab/>
        <w:t>5.</w:t>
      </w:r>
      <w:r w:rsidRPr="00AD6C7D">
        <w:rPr>
          <w:sz w:val="20"/>
          <w:lang w:val="de-DE"/>
        </w:rPr>
        <w:tab/>
      </w:r>
      <w:r w:rsidR="00D6108F" w:rsidRPr="00AD6C7D">
        <w:rPr>
          <w:sz w:val="20"/>
          <w:lang w:val="de-DE"/>
        </w:rPr>
        <w:t>Korrekturen zum ADN 2019</w:t>
      </w:r>
    </w:p>
    <w:p w14:paraId="6F058000" w14:textId="2956208D" w:rsidR="00925F82" w:rsidRPr="00AD6C7D" w:rsidRDefault="00925F82" w:rsidP="00925F82">
      <w:pPr>
        <w:pStyle w:val="H23G"/>
        <w:keepNext w:val="0"/>
        <w:keepLines w:val="0"/>
        <w:tabs>
          <w:tab w:val="left" w:pos="1134"/>
          <w:tab w:val="left" w:pos="3402"/>
        </w:tabs>
        <w:ind w:firstLine="0"/>
        <w:rPr>
          <w:b w:val="0"/>
          <w:bCs/>
          <w:lang w:val="de-DE"/>
        </w:rPr>
      </w:pPr>
      <w:r w:rsidRPr="00AD6C7D">
        <w:rPr>
          <w:b w:val="0"/>
          <w:bCs/>
          <w:i/>
          <w:iCs/>
          <w:lang w:val="de-DE"/>
        </w:rPr>
        <w:t>Do</w:t>
      </w:r>
      <w:r w:rsidR="0076134A" w:rsidRPr="00AD6C7D">
        <w:rPr>
          <w:b w:val="0"/>
          <w:bCs/>
          <w:i/>
          <w:iCs/>
          <w:lang w:val="de-DE"/>
        </w:rPr>
        <w:t>k</w:t>
      </w:r>
      <w:r w:rsidRPr="00AD6C7D">
        <w:rPr>
          <w:b w:val="0"/>
          <w:bCs/>
          <w:i/>
          <w:iCs/>
          <w:lang w:val="de-DE"/>
        </w:rPr>
        <w:t>ument</w:t>
      </w:r>
      <w:r w:rsidR="0076134A" w:rsidRPr="00AD6C7D">
        <w:rPr>
          <w:b w:val="0"/>
          <w:bCs/>
          <w:i/>
          <w:iCs/>
          <w:lang w:val="de-DE"/>
        </w:rPr>
        <w:t>e</w:t>
      </w:r>
      <w:r w:rsidRPr="00AD6C7D">
        <w:rPr>
          <w:b w:val="0"/>
          <w:bCs/>
          <w:lang w:val="de-DE"/>
        </w:rPr>
        <w:t>:</w:t>
      </w:r>
      <w:r w:rsidRPr="00AD6C7D">
        <w:rPr>
          <w:b w:val="0"/>
          <w:bCs/>
          <w:lang w:val="de-DE"/>
        </w:rPr>
        <w:tab/>
        <w:t>ECE/TRANS/WP.15/AC.2/2019/18 (</w:t>
      </w:r>
      <w:r w:rsidR="0076134A" w:rsidRPr="00AD6C7D">
        <w:rPr>
          <w:b w:val="0"/>
          <w:bCs/>
          <w:lang w:val="de-DE"/>
        </w:rPr>
        <w:t>Österreich</w:t>
      </w:r>
      <w:r w:rsidRPr="00AD6C7D">
        <w:rPr>
          <w:b w:val="0"/>
          <w:bCs/>
          <w:lang w:val="de-DE"/>
        </w:rPr>
        <w:t>)</w:t>
      </w:r>
      <w:r w:rsidRPr="00AD6C7D">
        <w:rPr>
          <w:b w:val="0"/>
          <w:bCs/>
          <w:lang w:val="de-DE"/>
        </w:rPr>
        <w:br/>
      </w:r>
      <w:r w:rsidRPr="00AD6C7D">
        <w:rPr>
          <w:b w:val="0"/>
          <w:bCs/>
          <w:lang w:val="de-DE"/>
        </w:rPr>
        <w:tab/>
        <w:t>ECE/TRANS/WP.15/AC.2/2019/21 (</w:t>
      </w:r>
      <w:r w:rsidR="007540AC" w:rsidRPr="00AD6C7D">
        <w:rPr>
          <w:b w:val="0"/>
          <w:bCs/>
          <w:lang w:val="de-DE"/>
        </w:rPr>
        <w:t>ZKR</w:t>
      </w:r>
      <w:r w:rsidRPr="00AD6C7D">
        <w:rPr>
          <w:b w:val="0"/>
          <w:bCs/>
          <w:lang w:val="de-DE"/>
        </w:rPr>
        <w:t>)</w:t>
      </w:r>
    </w:p>
    <w:p w14:paraId="410C6DB2" w14:textId="08EB1128" w:rsidR="00925F82" w:rsidRPr="00AD6C7D" w:rsidRDefault="00925F82" w:rsidP="002963D8">
      <w:pPr>
        <w:pStyle w:val="SingleTxtG"/>
        <w:rPr>
          <w:lang w:val="de-DE"/>
        </w:rPr>
      </w:pPr>
      <w:r w:rsidRPr="00AD6C7D">
        <w:rPr>
          <w:lang w:val="de-DE"/>
        </w:rPr>
        <w:t>46.</w:t>
      </w:r>
      <w:r w:rsidRPr="00AD6C7D">
        <w:rPr>
          <w:lang w:val="de-DE"/>
        </w:rPr>
        <w:tab/>
      </w:r>
      <w:r w:rsidR="00D6108F" w:rsidRPr="00AD6C7D">
        <w:rPr>
          <w:lang w:val="de-DE"/>
        </w:rPr>
        <w:t xml:space="preserve">Auf </w:t>
      </w:r>
      <w:r w:rsidR="00F65A2F" w:rsidRPr="00AD6C7D">
        <w:rPr>
          <w:lang w:val="de-DE"/>
        </w:rPr>
        <w:t xml:space="preserve">den in Dokument ECE/TRANS/WP.15/AC.2/2019/18 enthaltenen </w:t>
      </w:r>
      <w:r w:rsidR="00D6108F" w:rsidRPr="00AD6C7D">
        <w:rPr>
          <w:lang w:val="de-DE"/>
        </w:rPr>
        <w:t xml:space="preserve">Vorschlag </w:t>
      </w:r>
      <w:r w:rsidR="00F65A2F" w:rsidRPr="00AD6C7D">
        <w:rPr>
          <w:lang w:val="de-DE"/>
        </w:rPr>
        <w:t xml:space="preserve">des österreichischen Vertreters </w:t>
      </w:r>
      <w:r w:rsidR="00D6108F" w:rsidRPr="00AD6C7D">
        <w:rPr>
          <w:lang w:val="de-DE"/>
        </w:rPr>
        <w:t xml:space="preserve">nahm der Sicherheitsausschuss die Änderung des </w:t>
      </w:r>
      <w:r w:rsidR="007859C6" w:rsidRPr="00AD6C7D">
        <w:rPr>
          <w:lang w:val="de-DE"/>
        </w:rPr>
        <w:t>Unterabschnitts</w:t>
      </w:r>
      <w:r w:rsidR="00D6108F" w:rsidRPr="00AD6C7D">
        <w:rPr>
          <w:lang w:val="de-DE"/>
        </w:rPr>
        <w:t xml:space="preserve"> 8.1.2.3 f) (siehe An</w:t>
      </w:r>
      <w:r w:rsidR="00F65A2F" w:rsidRPr="00AD6C7D">
        <w:rPr>
          <w:lang w:val="de-DE"/>
        </w:rPr>
        <w:t>l</w:t>
      </w:r>
      <w:r w:rsidR="00D6108F" w:rsidRPr="00AD6C7D">
        <w:rPr>
          <w:lang w:val="de-DE"/>
        </w:rPr>
        <w:t>ag</w:t>
      </w:r>
      <w:r w:rsidR="00F65A2F" w:rsidRPr="00AD6C7D">
        <w:rPr>
          <w:lang w:val="de-DE"/>
        </w:rPr>
        <w:t>e</w:t>
      </w:r>
      <w:r w:rsidR="00D6108F" w:rsidRPr="00AD6C7D">
        <w:rPr>
          <w:lang w:val="de-DE"/>
        </w:rPr>
        <w:t xml:space="preserve"> I) und die Berichtigung des Absatzes 7.2.3.1.6 (nur französische Fassung) an, um darauf hinzuweisen, dass diese Vorschriften für leere Ladetanks gelten (siehe An</w:t>
      </w:r>
      <w:r w:rsidR="00F65A2F" w:rsidRPr="00AD6C7D">
        <w:rPr>
          <w:lang w:val="de-DE"/>
        </w:rPr>
        <w:t>l</w:t>
      </w:r>
      <w:r w:rsidR="00D6108F" w:rsidRPr="00AD6C7D">
        <w:rPr>
          <w:lang w:val="de-DE"/>
        </w:rPr>
        <w:t>ag</w:t>
      </w:r>
      <w:r w:rsidR="00F65A2F" w:rsidRPr="00AD6C7D">
        <w:rPr>
          <w:lang w:val="de-DE"/>
        </w:rPr>
        <w:t>e</w:t>
      </w:r>
      <w:r w:rsidR="00D6108F" w:rsidRPr="00AD6C7D">
        <w:rPr>
          <w:lang w:val="de-DE"/>
        </w:rPr>
        <w:t xml:space="preserve"> III).</w:t>
      </w:r>
    </w:p>
    <w:p w14:paraId="51C7E9FA" w14:textId="77777777" w:rsidR="00660988" w:rsidRDefault="00660988">
      <w:pPr>
        <w:suppressAutoHyphens w:val="0"/>
        <w:spacing w:after="200" w:line="276" w:lineRule="auto"/>
        <w:rPr>
          <w:rFonts w:eastAsia="SimSun"/>
          <w:lang w:val="de-DE" w:eastAsia="zh-CN"/>
        </w:rPr>
      </w:pPr>
      <w:r>
        <w:rPr>
          <w:lang w:val="de-DE"/>
        </w:rPr>
        <w:br w:type="page"/>
      </w:r>
    </w:p>
    <w:p w14:paraId="14D91C82" w14:textId="4C396AED" w:rsidR="00925F82" w:rsidRPr="00AD6C7D" w:rsidRDefault="00925F82" w:rsidP="005D4986">
      <w:pPr>
        <w:pStyle w:val="SingleTxtG"/>
        <w:rPr>
          <w:lang w:val="de-DE"/>
        </w:rPr>
      </w:pPr>
      <w:r w:rsidRPr="00AD6C7D">
        <w:rPr>
          <w:lang w:val="de-DE"/>
        </w:rPr>
        <w:lastRenderedPageBreak/>
        <w:t>47.</w:t>
      </w:r>
      <w:r w:rsidRPr="00AD6C7D">
        <w:rPr>
          <w:lang w:val="de-DE"/>
        </w:rPr>
        <w:tab/>
      </w:r>
      <w:r w:rsidR="006074B7" w:rsidRPr="00AD6C7D">
        <w:rPr>
          <w:lang w:val="de-DE"/>
        </w:rPr>
        <w:t>Der Sicherheitsausschuss begrüßte den Vorschlag der ZKR in Dokument ECE/TRANS/WP.15/AC.2/2019/21 und nahm die Korrektur des Inhaltsverzeichnisses (siehe Anlage II) und die Änderungen zu den Absätzen 1.6.7.2.1.3, 1.6.7.2.2.2 (mit Ausnahme der Änderungsvorschläge in Absatz 5), 1.6.7.2.2.3.1, 2.2.61.1.4 und 2.2.9.1.10.3 sowie zu Unterabschnitt 8.1.2.1 b) (siehe Anlage I) an.</w:t>
      </w:r>
      <w:r w:rsidRPr="00AD6C7D">
        <w:rPr>
          <w:lang w:val="de-DE"/>
        </w:rPr>
        <w:t xml:space="preserve"> </w:t>
      </w:r>
      <w:r w:rsidR="005D4986" w:rsidRPr="00AD6C7D">
        <w:rPr>
          <w:lang w:val="de-DE"/>
        </w:rPr>
        <w:t>Im Hinblick auf</w:t>
      </w:r>
      <w:r w:rsidR="006074B7" w:rsidRPr="00AD6C7D">
        <w:rPr>
          <w:lang w:val="de-DE"/>
        </w:rPr>
        <w:t xml:space="preserve"> die vorgeschlagene Korrektur in </w:t>
      </w:r>
      <w:r w:rsidR="00170A81" w:rsidRPr="00AD6C7D">
        <w:rPr>
          <w:lang w:val="de-DE"/>
        </w:rPr>
        <w:t xml:space="preserve">Abschnitt </w:t>
      </w:r>
      <w:r w:rsidR="006074B7" w:rsidRPr="00AD6C7D">
        <w:rPr>
          <w:lang w:val="de-DE"/>
        </w:rPr>
        <w:t>3.3.1 Sondervorschrift 241 wurde das Sekretariat gebeten, eine Korrektur der Modellv</w:t>
      </w:r>
      <w:r w:rsidR="00170A81" w:rsidRPr="00AD6C7D">
        <w:rPr>
          <w:lang w:val="de-DE"/>
        </w:rPr>
        <w:t>orschriften</w:t>
      </w:r>
      <w:r w:rsidR="006074B7" w:rsidRPr="00AD6C7D">
        <w:rPr>
          <w:lang w:val="de-DE"/>
        </w:rPr>
        <w:t xml:space="preserve"> zur Prüfung durch den TDG-Unterausschuss vorzulegen, einschließlich entsprechende</w:t>
      </w:r>
      <w:r w:rsidR="00170A81" w:rsidRPr="00AD6C7D">
        <w:rPr>
          <w:lang w:val="de-DE"/>
        </w:rPr>
        <w:t>r</w:t>
      </w:r>
      <w:r w:rsidR="006074B7" w:rsidRPr="00AD6C7D">
        <w:rPr>
          <w:lang w:val="de-DE"/>
        </w:rPr>
        <w:t xml:space="preserve"> Korrektur des Verweises auf die Prüfnummer N. 1 und die Partikelgröße.</w:t>
      </w:r>
    </w:p>
    <w:p w14:paraId="68276EB5" w14:textId="154BCBA6" w:rsidR="00925F82" w:rsidRPr="00AD6C7D" w:rsidRDefault="00925F82" w:rsidP="005D4986">
      <w:pPr>
        <w:pStyle w:val="H1G"/>
        <w:ind w:right="992"/>
        <w:rPr>
          <w:sz w:val="20"/>
          <w:lang w:val="de-DE"/>
        </w:rPr>
      </w:pPr>
      <w:r w:rsidRPr="00AD6C7D">
        <w:rPr>
          <w:sz w:val="20"/>
          <w:lang w:val="de-DE"/>
        </w:rPr>
        <w:tab/>
        <w:t>6.</w:t>
      </w:r>
      <w:r w:rsidRPr="00AD6C7D">
        <w:rPr>
          <w:sz w:val="20"/>
          <w:lang w:val="de-DE"/>
        </w:rPr>
        <w:tab/>
      </w:r>
      <w:r w:rsidR="00170A81" w:rsidRPr="00AD6C7D">
        <w:rPr>
          <w:sz w:val="20"/>
          <w:lang w:val="de-DE"/>
        </w:rPr>
        <w:t>Unterabschnitt 1.1.3.6 und Abschnitt 1.10.4 ADN – Freistellungen im Zusammenhang mit der Beförderung von gefährlichen Gütern der Klasse 7</w:t>
      </w:r>
    </w:p>
    <w:p w14:paraId="4BCEFA88" w14:textId="1F2EB570" w:rsidR="00925F82" w:rsidRPr="00AD6C7D" w:rsidRDefault="00925F82" w:rsidP="005C7A71">
      <w:pPr>
        <w:pStyle w:val="H23G"/>
        <w:keepNext w:val="0"/>
        <w:keepLines w:val="0"/>
        <w:tabs>
          <w:tab w:val="left" w:pos="3402"/>
        </w:tabs>
        <w:ind w:left="3261" w:hanging="2127"/>
        <w:rPr>
          <w:b w:val="0"/>
          <w:bCs/>
          <w:lang w:val="de-DE"/>
        </w:rPr>
      </w:pPr>
      <w:r w:rsidRPr="00AD6C7D">
        <w:rPr>
          <w:b w:val="0"/>
          <w:bCs/>
          <w:i/>
          <w:iCs/>
          <w:lang w:val="de-DE"/>
        </w:rPr>
        <w:t>Do</w:t>
      </w:r>
      <w:r w:rsidR="005C7A71" w:rsidRPr="00AD6C7D">
        <w:rPr>
          <w:b w:val="0"/>
          <w:bCs/>
          <w:i/>
          <w:iCs/>
          <w:lang w:val="de-DE"/>
        </w:rPr>
        <w:t>k</w:t>
      </w:r>
      <w:r w:rsidRPr="00AD6C7D">
        <w:rPr>
          <w:b w:val="0"/>
          <w:bCs/>
          <w:i/>
          <w:iCs/>
          <w:lang w:val="de-DE"/>
        </w:rPr>
        <w:t>ument</w:t>
      </w:r>
      <w:r w:rsidRPr="00AD6C7D">
        <w:rPr>
          <w:b w:val="0"/>
          <w:bCs/>
          <w:lang w:val="de-DE"/>
        </w:rPr>
        <w:t>:</w:t>
      </w:r>
      <w:r w:rsidRPr="00AD6C7D">
        <w:rPr>
          <w:b w:val="0"/>
          <w:bCs/>
          <w:lang w:val="de-DE"/>
        </w:rPr>
        <w:tab/>
        <w:t>ECE/TRANS/WP.15/AC.2/2019/19 (</w:t>
      </w:r>
      <w:r w:rsidR="005C7A71" w:rsidRPr="00AD6C7D">
        <w:rPr>
          <w:b w:val="0"/>
          <w:bCs/>
          <w:lang w:val="de-DE"/>
        </w:rPr>
        <w:t>Frankreich und Deutschland</w:t>
      </w:r>
      <w:r w:rsidRPr="00AD6C7D">
        <w:rPr>
          <w:b w:val="0"/>
          <w:bCs/>
          <w:lang w:val="de-DE"/>
        </w:rPr>
        <w:t>)</w:t>
      </w:r>
    </w:p>
    <w:p w14:paraId="5E6E1902" w14:textId="0E49AA92" w:rsidR="00925F82" w:rsidRPr="00AD6C7D" w:rsidRDefault="00925F82" w:rsidP="00C510A2">
      <w:pPr>
        <w:pStyle w:val="SingleTxtG"/>
        <w:rPr>
          <w:lang w:val="de-DE"/>
        </w:rPr>
      </w:pPr>
      <w:r w:rsidRPr="00AD6C7D">
        <w:rPr>
          <w:lang w:val="de-DE"/>
        </w:rPr>
        <w:t>48.</w:t>
      </w:r>
      <w:r w:rsidRPr="00AD6C7D">
        <w:rPr>
          <w:lang w:val="de-DE"/>
        </w:rPr>
        <w:tab/>
      </w:r>
      <w:r w:rsidR="00170A81" w:rsidRPr="00AD6C7D">
        <w:rPr>
          <w:lang w:val="de-DE"/>
        </w:rPr>
        <w:t>Der Sicherheitsausschuss nahm den Vorschlag</w:t>
      </w:r>
      <w:r w:rsidR="00C510A2" w:rsidRPr="00AD6C7D">
        <w:rPr>
          <w:lang w:val="de-DE"/>
        </w:rPr>
        <w:t xml:space="preserve"> Frankreichs und Deutschlands</w:t>
      </w:r>
      <w:r w:rsidR="00170A81" w:rsidRPr="00AD6C7D">
        <w:rPr>
          <w:lang w:val="de-DE"/>
        </w:rPr>
        <w:t xml:space="preserve"> </w:t>
      </w:r>
      <w:r w:rsidR="00C510A2" w:rsidRPr="00AD6C7D">
        <w:rPr>
          <w:lang w:val="de-DE"/>
        </w:rPr>
        <w:t>in</w:t>
      </w:r>
      <w:r w:rsidR="00170A81" w:rsidRPr="00AD6C7D">
        <w:rPr>
          <w:lang w:val="de-DE"/>
        </w:rPr>
        <w:t xml:space="preserve"> den </w:t>
      </w:r>
      <w:r w:rsidR="00C510A2" w:rsidRPr="00AD6C7D">
        <w:rPr>
          <w:lang w:val="de-DE"/>
        </w:rPr>
        <w:t>Absätzen</w:t>
      </w:r>
      <w:r w:rsidR="00170A81" w:rsidRPr="00AD6C7D">
        <w:rPr>
          <w:lang w:val="de-DE"/>
        </w:rPr>
        <w:t xml:space="preserve"> 12 und 13 </w:t>
      </w:r>
      <w:r w:rsidR="00C510A2" w:rsidRPr="00AD6C7D">
        <w:rPr>
          <w:lang w:val="de-DE"/>
        </w:rPr>
        <w:t>an</w:t>
      </w:r>
      <w:r w:rsidR="007A4AA8" w:rsidRPr="00AD6C7D">
        <w:rPr>
          <w:lang w:val="de-DE"/>
        </w:rPr>
        <w:t xml:space="preserve"> und</w:t>
      </w:r>
      <w:r w:rsidR="00C510A2" w:rsidRPr="00AD6C7D">
        <w:rPr>
          <w:lang w:val="de-DE"/>
        </w:rPr>
        <w:t xml:space="preserve"> vereinbarte, die Unterabschnitte</w:t>
      </w:r>
      <w:r w:rsidR="00170A81" w:rsidRPr="00AD6C7D">
        <w:rPr>
          <w:lang w:val="de-DE"/>
        </w:rPr>
        <w:t xml:space="preserve"> 1.1.3.6 und 1.10.4 </w:t>
      </w:r>
      <w:r w:rsidR="00C510A2" w:rsidRPr="00AD6C7D">
        <w:rPr>
          <w:lang w:val="de-DE"/>
        </w:rPr>
        <w:t>ADN</w:t>
      </w:r>
      <w:r w:rsidR="00170A81" w:rsidRPr="00AD6C7D">
        <w:rPr>
          <w:lang w:val="de-DE"/>
        </w:rPr>
        <w:t xml:space="preserve"> </w:t>
      </w:r>
      <w:r w:rsidR="00C510A2" w:rsidRPr="00AD6C7D">
        <w:rPr>
          <w:lang w:val="de-DE"/>
        </w:rPr>
        <w:t xml:space="preserve">zu ändern </w:t>
      </w:r>
      <w:r w:rsidR="00170A81" w:rsidRPr="00AD6C7D">
        <w:rPr>
          <w:lang w:val="de-DE"/>
        </w:rPr>
        <w:t>(siehe Anlage I).</w:t>
      </w:r>
    </w:p>
    <w:p w14:paraId="40C24741" w14:textId="72AF5ABE" w:rsidR="00925F82" w:rsidRPr="00AD6C7D" w:rsidRDefault="00925F82" w:rsidP="00A968CA">
      <w:pPr>
        <w:pStyle w:val="H1G"/>
        <w:keepNext w:val="0"/>
        <w:keepLines w:val="0"/>
        <w:ind w:right="992"/>
        <w:rPr>
          <w:sz w:val="20"/>
          <w:lang w:val="de-DE"/>
        </w:rPr>
      </w:pPr>
      <w:r w:rsidRPr="00AD6C7D">
        <w:rPr>
          <w:sz w:val="20"/>
          <w:lang w:val="de-DE"/>
        </w:rPr>
        <w:tab/>
        <w:t>7.</w:t>
      </w:r>
      <w:r w:rsidRPr="00AD6C7D">
        <w:rPr>
          <w:sz w:val="20"/>
          <w:lang w:val="de-DE"/>
        </w:rPr>
        <w:tab/>
      </w:r>
      <w:r w:rsidR="00C510A2" w:rsidRPr="00AD6C7D">
        <w:rPr>
          <w:sz w:val="20"/>
          <w:lang w:val="de-DE"/>
        </w:rPr>
        <w:t xml:space="preserve">Feuerlöscheinrichtung an Bord eines Verbandes (schiebendes Fahrzeug oder nicht motorisierter Leichter) oder an Bord eines einzelnen (nicht motorisierten) </w:t>
      </w:r>
      <w:proofErr w:type="spellStart"/>
      <w:r w:rsidR="00C510A2" w:rsidRPr="00AD6C7D">
        <w:rPr>
          <w:sz w:val="20"/>
          <w:lang w:val="de-DE"/>
        </w:rPr>
        <w:t>Leichters</w:t>
      </w:r>
      <w:proofErr w:type="spellEnd"/>
    </w:p>
    <w:p w14:paraId="7834672B" w14:textId="780571FF" w:rsidR="00925F82" w:rsidRPr="00AD6C7D" w:rsidRDefault="00925F82" w:rsidP="00925F82">
      <w:pPr>
        <w:pStyle w:val="H23G"/>
        <w:keepNext w:val="0"/>
        <w:keepLines w:val="0"/>
        <w:tabs>
          <w:tab w:val="left" w:pos="1134"/>
          <w:tab w:val="left" w:pos="3402"/>
        </w:tabs>
        <w:ind w:firstLine="0"/>
        <w:rPr>
          <w:b w:val="0"/>
          <w:bCs/>
          <w:lang w:val="de-DE"/>
        </w:rPr>
      </w:pPr>
      <w:r w:rsidRPr="00AD6C7D">
        <w:rPr>
          <w:b w:val="0"/>
          <w:bCs/>
          <w:i/>
          <w:iCs/>
          <w:lang w:val="de-DE"/>
        </w:rPr>
        <w:t>Do</w:t>
      </w:r>
      <w:r w:rsidR="005C7A71" w:rsidRPr="00AD6C7D">
        <w:rPr>
          <w:b w:val="0"/>
          <w:bCs/>
          <w:i/>
          <w:iCs/>
          <w:lang w:val="de-DE"/>
        </w:rPr>
        <w:t>k</w:t>
      </w:r>
      <w:r w:rsidRPr="00AD6C7D">
        <w:rPr>
          <w:b w:val="0"/>
          <w:bCs/>
          <w:i/>
          <w:iCs/>
          <w:lang w:val="de-DE"/>
        </w:rPr>
        <w:t>ument</w:t>
      </w:r>
      <w:r w:rsidRPr="00AD6C7D">
        <w:rPr>
          <w:b w:val="0"/>
          <w:bCs/>
          <w:lang w:val="de-DE"/>
        </w:rPr>
        <w:t>:</w:t>
      </w:r>
      <w:r w:rsidRPr="00AD6C7D">
        <w:rPr>
          <w:b w:val="0"/>
          <w:bCs/>
          <w:lang w:val="de-DE"/>
        </w:rPr>
        <w:tab/>
        <w:t>ECE/TRANS/WP.15/AC.2/2019/20 (</w:t>
      </w:r>
      <w:r w:rsidR="005C7A71" w:rsidRPr="00AD6C7D">
        <w:rPr>
          <w:b w:val="0"/>
          <w:bCs/>
          <w:lang w:val="de-DE"/>
        </w:rPr>
        <w:t>Frankreich</w:t>
      </w:r>
      <w:r w:rsidRPr="00AD6C7D">
        <w:rPr>
          <w:b w:val="0"/>
          <w:bCs/>
          <w:lang w:val="de-DE"/>
        </w:rPr>
        <w:t>)</w:t>
      </w:r>
    </w:p>
    <w:p w14:paraId="0D66E5AB" w14:textId="4CD23244" w:rsidR="00925F82" w:rsidRPr="00AD6C7D" w:rsidRDefault="00925F82" w:rsidP="007A4AA8">
      <w:pPr>
        <w:pStyle w:val="SingleTxtG"/>
        <w:rPr>
          <w:lang w:val="de-DE"/>
        </w:rPr>
      </w:pPr>
      <w:r w:rsidRPr="00AD6C7D">
        <w:rPr>
          <w:lang w:val="de-DE"/>
        </w:rPr>
        <w:t>49.</w:t>
      </w:r>
      <w:r w:rsidRPr="00AD6C7D">
        <w:rPr>
          <w:lang w:val="de-DE"/>
        </w:rPr>
        <w:tab/>
      </w:r>
      <w:r w:rsidR="00A968CA" w:rsidRPr="00AD6C7D">
        <w:rPr>
          <w:lang w:val="de-DE"/>
        </w:rPr>
        <w:t>Der Sicherheitsausschuss billigte den Vorschlag Frankreichs, die Diskussion über dieses Thema abzuschließen.</w:t>
      </w:r>
      <w:r w:rsidRPr="00AD6C7D">
        <w:rPr>
          <w:lang w:val="de-DE"/>
        </w:rPr>
        <w:t xml:space="preserve"> </w:t>
      </w:r>
      <w:r w:rsidR="00A968CA" w:rsidRPr="00AD6C7D">
        <w:rPr>
          <w:lang w:val="de-DE"/>
        </w:rPr>
        <w:t xml:space="preserve">Der Sicherheitsausschuss kam gleichwohl zu dem Schluss, dass weitere Untersuchungen über unbemannte, nicht motorisierte Leichter, </w:t>
      </w:r>
      <w:r w:rsidR="002F206D" w:rsidRPr="00AD6C7D">
        <w:rPr>
          <w:lang w:val="de-DE"/>
        </w:rPr>
        <w:t xml:space="preserve">die </w:t>
      </w:r>
      <w:r w:rsidR="00A968CA" w:rsidRPr="00AD6C7D">
        <w:rPr>
          <w:lang w:val="de-DE"/>
        </w:rPr>
        <w:t xml:space="preserve">Energiequellen und elektrischen Anlagen für die Pumpen auf solchen Leichtern und die Auslegung von </w:t>
      </w:r>
      <w:r w:rsidR="002F206D" w:rsidRPr="00AD6C7D">
        <w:rPr>
          <w:lang w:val="de-DE"/>
        </w:rPr>
        <w:t>„</w:t>
      </w:r>
      <w:r w:rsidR="00A968CA" w:rsidRPr="00AD6C7D">
        <w:rPr>
          <w:lang w:val="de-DE"/>
        </w:rPr>
        <w:t>nicht i</w:t>
      </w:r>
      <w:r w:rsidR="002F206D" w:rsidRPr="00AD6C7D">
        <w:rPr>
          <w:lang w:val="de-DE"/>
        </w:rPr>
        <w:t>n demselben</w:t>
      </w:r>
      <w:r w:rsidR="00A968CA" w:rsidRPr="00AD6C7D">
        <w:rPr>
          <w:lang w:val="de-DE"/>
        </w:rPr>
        <w:t xml:space="preserve"> Raum</w:t>
      </w:r>
      <w:r w:rsidR="002F206D" w:rsidRPr="00AD6C7D">
        <w:rPr>
          <w:lang w:val="de-DE"/>
        </w:rPr>
        <w:t>“</w:t>
      </w:r>
      <w:r w:rsidR="00A968CA" w:rsidRPr="00AD6C7D">
        <w:rPr>
          <w:lang w:val="de-DE"/>
        </w:rPr>
        <w:t xml:space="preserve"> durch die verschiedenen Klassifikationsgesellschaften erforderlich sind.</w:t>
      </w:r>
      <w:r w:rsidRPr="00AD6C7D">
        <w:rPr>
          <w:lang w:val="de-DE"/>
        </w:rPr>
        <w:t xml:space="preserve"> </w:t>
      </w:r>
      <w:r w:rsidR="002F206D" w:rsidRPr="00AD6C7D">
        <w:rPr>
          <w:lang w:val="de-DE"/>
        </w:rPr>
        <w:t xml:space="preserve">Er </w:t>
      </w:r>
      <w:r w:rsidR="007A4AA8" w:rsidRPr="00AD6C7D">
        <w:rPr>
          <w:lang w:val="de-DE"/>
        </w:rPr>
        <w:t>bat</w:t>
      </w:r>
      <w:r w:rsidR="002F206D" w:rsidRPr="00AD6C7D">
        <w:rPr>
          <w:lang w:val="de-DE"/>
        </w:rPr>
        <w:t xml:space="preserve"> die informelle Arbeitsgruppe </w:t>
      </w:r>
      <w:r w:rsidR="007A4AA8" w:rsidRPr="00AD6C7D">
        <w:rPr>
          <w:lang w:val="de-DE"/>
        </w:rPr>
        <w:t xml:space="preserve">der </w:t>
      </w:r>
      <w:r w:rsidR="002F206D" w:rsidRPr="00AD6C7D">
        <w:rPr>
          <w:lang w:val="de-DE"/>
        </w:rPr>
        <w:t>Empfohlene</w:t>
      </w:r>
      <w:r w:rsidR="007A4AA8" w:rsidRPr="00AD6C7D">
        <w:rPr>
          <w:lang w:val="de-DE"/>
        </w:rPr>
        <w:t>n</w:t>
      </w:r>
      <w:r w:rsidR="002F206D" w:rsidRPr="00AD6C7D">
        <w:rPr>
          <w:lang w:val="de-DE"/>
        </w:rPr>
        <w:t xml:space="preserve"> Klassifikationsgesellschaften, diese Themen zu erörtern.</w:t>
      </w:r>
    </w:p>
    <w:p w14:paraId="3F858D24" w14:textId="1F17F896" w:rsidR="00925F82" w:rsidRPr="00AD6C7D" w:rsidRDefault="00925F82" w:rsidP="002F206D">
      <w:pPr>
        <w:pStyle w:val="H1G"/>
        <w:ind w:right="992"/>
        <w:rPr>
          <w:sz w:val="20"/>
          <w:lang w:val="de-DE"/>
        </w:rPr>
      </w:pPr>
      <w:r w:rsidRPr="00AD6C7D">
        <w:rPr>
          <w:sz w:val="20"/>
          <w:lang w:val="de-DE"/>
        </w:rPr>
        <w:tab/>
        <w:t>8.</w:t>
      </w:r>
      <w:r w:rsidRPr="00AD6C7D">
        <w:rPr>
          <w:sz w:val="20"/>
          <w:lang w:val="de-DE"/>
        </w:rPr>
        <w:tab/>
      </w:r>
      <w:r w:rsidR="002F206D" w:rsidRPr="00AD6C7D">
        <w:rPr>
          <w:sz w:val="20"/>
          <w:lang w:val="de-DE"/>
        </w:rPr>
        <w:t>Unterabsatz 1.1.3.6 ADN – Freistellungen in Zusammenhang mit an Bord von Schiffen beförderten Mengen</w:t>
      </w:r>
    </w:p>
    <w:p w14:paraId="01846484" w14:textId="35899BC4" w:rsidR="00925F82" w:rsidRPr="00AD6C7D" w:rsidRDefault="00925F82" w:rsidP="00925F82">
      <w:pPr>
        <w:pStyle w:val="H23G"/>
        <w:keepNext w:val="0"/>
        <w:keepLines w:val="0"/>
        <w:tabs>
          <w:tab w:val="left" w:pos="1134"/>
          <w:tab w:val="left" w:pos="3402"/>
        </w:tabs>
        <w:ind w:firstLine="0"/>
        <w:rPr>
          <w:b w:val="0"/>
          <w:bCs/>
          <w:lang w:val="de-DE"/>
        </w:rPr>
      </w:pPr>
      <w:r w:rsidRPr="00AD6C7D">
        <w:rPr>
          <w:b w:val="0"/>
          <w:bCs/>
          <w:i/>
          <w:iCs/>
          <w:lang w:val="de-DE"/>
        </w:rPr>
        <w:t>Do</w:t>
      </w:r>
      <w:r w:rsidR="003F084C" w:rsidRPr="00AD6C7D">
        <w:rPr>
          <w:b w:val="0"/>
          <w:bCs/>
          <w:i/>
          <w:iCs/>
          <w:lang w:val="de-DE"/>
        </w:rPr>
        <w:t>k</w:t>
      </w:r>
      <w:r w:rsidRPr="00AD6C7D">
        <w:rPr>
          <w:b w:val="0"/>
          <w:bCs/>
          <w:i/>
          <w:iCs/>
          <w:lang w:val="de-DE"/>
        </w:rPr>
        <w:t>ument</w:t>
      </w:r>
      <w:r w:rsidRPr="00AD6C7D">
        <w:rPr>
          <w:b w:val="0"/>
          <w:bCs/>
          <w:lang w:val="de-DE"/>
        </w:rPr>
        <w:t>:</w:t>
      </w:r>
      <w:r w:rsidRPr="00AD6C7D">
        <w:rPr>
          <w:b w:val="0"/>
          <w:bCs/>
          <w:lang w:val="de-DE"/>
        </w:rPr>
        <w:tab/>
        <w:t xml:space="preserve">ECE/TRANS/WP.15/AC.2/2019/23 </w:t>
      </w:r>
      <w:r w:rsidR="007540AC" w:rsidRPr="00AD6C7D">
        <w:rPr>
          <w:b w:val="0"/>
          <w:bCs/>
          <w:lang w:val="de-DE"/>
        </w:rPr>
        <w:t>(Deutschland)</w:t>
      </w:r>
    </w:p>
    <w:p w14:paraId="4F10C58A" w14:textId="1DEBA171" w:rsidR="00925F82" w:rsidRPr="00AD6C7D" w:rsidRDefault="00925F82" w:rsidP="002F206D">
      <w:pPr>
        <w:pStyle w:val="SingleTxtG"/>
        <w:rPr>
          <w:lang w:val="de-DE"/>
        </w:rPr>
      </w:pPr>
      <w:r w:rsidRPr="00AD6C7D">
        <w:rPr>
          <w:lang w:val="de-DE"/>
        </w:rPr>
        <w:t>50.</w:t>
      </w:r>
      <w:r w:rsidRPr="00AD6C7D">
        <w:rPr>
          <w:lang w:val="de-DE"/>
        </w:rPr>
        <w:tab/>
      </w:r>
      <w:r w:rsidR="002F206D" w:rsidRPr="00AD6C7D">
        <w:rPr>
          <w:lang w:val="de-DE"/>
        </w:rPr>
        <w:t>Der Sicherheitsausschuss nahm die Änderungsvorschläge Deutschlands an (siehe Anlage I).</w:t>
      </w:r>
    </w:p>
    <w:p w14:paraId="517711B4" w14:textId="1FB8CB8F" w:rsidR="00925F82" w:rsidRPr="00AD6C7D" w:rsidRDefault="00925F82" w:rsidP="002F206D">
      <w:pPr>
        <w:pStyle w:val="H1G"/>
        <w:ind w:right="992"/>
        <w:rPr>
          <w:sz w:val="20"/>
          <w:lang w:val="de-DE"/>
        </w:rPr>
      </w:pPr>
      <w:r w:rsidRPr="00AD6C7D">
        <w:rPr>
          <w:sz w:val="20"/>
          <w:lang w:val="de-DE"/>
        </w:rPr>
        <w:tab/>
        <w:t>9.</w:t>
      </w:r>
      <w:r w:rsidRPr="00AD6C7D">
        <w:rPr>
          <w:sz w:val="20"/>
          <w:lang w:val="de-DE"/>
        </w:rPr>
        <w:tab/>
      </w:r>
      <w:r w:rsidR="002F206D" w:rsidRPr="00AD6C7D">
        <w:rPr>
          <w:sz w:val="20"/>
          <w:lang w:val="de-DE"/>
        </w:rPr>
        <w:t>Berichtigung von Unstimmigkeiten in den Mustern der Zulassungszeugnisse</w:t>
      </w:r>
    </w:p>
    <w:p w14:paraId="5FEF1223" w14:textId="41284A2F" w:rsidR="00925F82" w:rsidRPr="00AD6C7D" w:rsidRDefault="00925F82" w:rsidP="00925F82">
      <w:pPr>
        <w:pStyle w:val="H23G"/>
        <w:tabs>
          <w:tab w:val="left" w:pos="3402"/>
        </w:tabs>
        <w:spacing w:after="0"/>
        <w:ind w:left="3402" w:hanging="2268"/>
        <w:rPr>
          <w:b w:val="0"/>
          <w:bCs/>
          <w:lang w:val="de-DE"/>
        </w:rPr>
      </w:pPr>
      <w:r w:rsidRPr="00AD6C7D">
        <w:rPr>
          <w:b w:val="0"/>
          <w:bCs/>
          <w:i/>
          <w:iCs/>
          <w:lang w:val="de-DE"/>
        </w:rPr>
        <w:t>Do</w:t>
      </w:r>
      <w:r w:rsidR="003F084C" w:rsidRPr="00AD6C7D">
        <w:rPr>
          <w:b w:val="0"/>
          <w:bCs/>
          <w:i/>
          <w:iCs/>
          <w:lang w:val="de-DE"/>
        </w:rPr>
        <w:t>k</w:t>
      </w:r>
      <w:r w:rsidRPr="00AD6C7D">
        <w:rPr>
          <w:b w:val="0"/>
          <w:bCs/>
          <w:i/>
          <w:iCs/>
          <w:lang w:val="de-DE"/>
        </w:rPr>
        <w:t>ument</w:t>
      </w:r>
      <w:r w:rsidRPr="00AD6C7D">
        <w:rPr>
          <w:b w:val="0"/>
          <w:bCs/>
          <w:lang w:val="de-DE"/>
        </w:rPr>
        <w:t>:</w:t>
      </w:r>
      <w:r w:rsidRPr="00AD6C7D">
        <w:rPr>
          <w:b w:val="0"/>
          <w:bCs/>
          <w:lang w:val="de-DE"/>
        </w:rPr>
        <w:tab/>
        <w:t>ECE/TRANS/WP.15/AC.2/2019/24 (</w:t>
      </w:r>
      <w:r w:rsidR="003F084C" w:rsidRPr="00AD6C7D">
        <w:rPr>
          <w:b w:val="0"/>
          <w:bCs/>
          <w:lang w:val="de-DE"/>
        </w:rPr>
        <w:t>Frankreich</w:t>
      </w:r>
      <w:r w:rsidRPr="00AD6C7D">
        <w:rPr>
          <w:b w:val="0"/>
          <w:bCs/>
          <w:lang w:val="de-DE"/>
        </w:rPr>
        <w:t>)</w:t>
      </w:r>
    </w:p>
    <w:p w14:paraId="7197AA32" w14:textId="6A4D275F" w:rsidR="00925F82" w:rsidRPr="00AD6C7D" w:rsidRDefault="007540AC" w:rsidP="00925F82">
      <w:pPr>
        <w:pStyle w:val="H23G"/>
        <w:tabs>
          <w:tab w:val="left" w:pos="3402"/>
        </w:tabs>
        <w:spacing w:before="0"/>
        <w:ind w:left="3402" w:hanging="2268"/>
        <w:rPr>
          <w:b w:val="0"/>
          <w:bCs/>
          <w:lang w:val="de-DE"/>
        </w:rPr>
      </w:pPr>
      <w:r w:rsidRPr="00AD6C7D">
        <w:rPr>
          <w:b w:val="0"/>
          <w:bCs/>
          <w:i/>
          <w:iCs/>
          <w:lang w:val="de-DE"/>
        </w:rPr>
        <w:t>Informelle Dokumente</w:t>
      </w:r>
      <w:r w:rsidR="00925F82" w:rsidRPr="00AD6C7D">
        <w:rPr>
          <w:b w:val="0"/>
          <w:bCs/>
          <w:i/>
          <w:iCs/>
          <w:lang w:val="de-DE"/>
        </w:rPr>
        <w:t>:</w:t>
      </w:r>
      <w:r w:rsidR="00925F82" w:rsidRPr="00AD6C7D">
        <w:rPr>
          <w:b w:val="0"/>
          <w:bCs/>
          <w:lang w:val="de-DE"/>
        </w:rPr>
        <w:tab/>
        <w:t>INF.3 (</w:t>
      </w:r>
      <w:r w:rsidR="003F084C" w:rsidRPr="00AD6C7D">
        <w:rPr>
          <w:b w:val="0"/>
          <w:bCs/>
          <w:lang w:val="de-DE"/>
        </w:rPr>
        <w:t>Frankreich</w:t>
      </w:r>
      <w:r w:rsidR="00925F82" w:rsidRPr="00AD6C7D">
        <w:rPr>
          <w:b w:val="0"/>
          <w:bCs/>
          <w:lang w:val="de-DE"/>
        </w:rPr>
        <w:t xml:space="preserve">) </w:t>
      </w:r>
      <w:r w:rsidR="003F084C" w:rsidRPr="00AD6C7D">
        <w:rPr>
          <w:b w:val="0"/>
          <w:bCs/>
          <w:lang w:val="de-DE"/>
        </w:rPr>
        <w:t>und</w:t>
      </w:r>
      <w:r w:rsidR="00925F82" w:rsidRPr="00AD6C7D">
        <w:rPr>
          <w:b w:val="0"/>
          <w:bCs/>
          <w:lang w:val="de-DE"/>
        </w:rPr>
        <w:t xml:space="preserve"> INF.19 </w:t>
      </w:r>
      <w:r w:rsidR="00925F82" w:rsidRPr="00AD6C7D">
        <w:rPr>
          <w:b w:val="0"/>
          <w:bCs/>
          <w:lang w:val="de-DE"/>
        </w:rPr>
        <w:br/>
      </w:r>
      <w:r w:rsidR="00925F82" w:rsidRPr="00AD6C7D">
        <w:rPr>
          <w:rFonts w:asciiTheme="majorBidi" w:hAnsiTheme="majorBidi" w:cstheme="majorBidi"/>
          <w:b w:val="0"/>
          <w:bCs/>
          <w:spacing w:val="-3"/>
          <w:shd w:val="clear" w:color="auto" w:fill="FFFFFF"/>
          <w:lang w:val="de-DE"/>
        </w:rPr>
        <w:t>(</w:t>
      </w:r>
      <w:r w:rsidR="003F084C" w:rsidRPr="00AD6C7D">
        <w:rPr>
          <w:rFonts w:asciiTheme="majorBidi" w:hAnsiTheme="majorBidi" w:cstheme="majorBidi"/>
          <w:b w:val="0"/>
          <w:bCs/>
          <w:spacing w:val="-3"/>
          <w:shd w:val="clear" w:color="auto" w:fill="FFFFFF"/>
          <w:lang w:val="de-DE"/>
        </w:rPr>
        <w:t>Empfohlene ADN-Klassifikationsgesellschaften</w:t>
      </w:r>
      <w:r w:rsidR="00925F82" w:rsidRPr="00AD6C7D">
        <w:rPr>
          <w:rFonts w:asciiTheme="majorBidi" w:hAnsiTheme="majorBidi" w:cstheme="majorBidi"/>
          <w:b w:val="0"/>
          <w:bCs/>
          <w:spacing w:val="-3"/>
          <w:shd w:val="clear" w:color="auto" w:fill="FFFFFF"/>
          <w:lang w:val="de-DE"/>
        </w:rPr>
        <w:t>)</w:t>
      </w:r>
    </w:p>
    <w:p w14:paraId="62692611" w14:textId="3C1F571F" w:rsidR="00925F82" w:rsidRPr="00AD6C7D" w:rsidRDefault="00925F82" w:rsidP="00F00722">
      <w:pPr>
        <w:pStyle w:val="SingleTxtG"/>
        <w:rPr>
          <w:lang w:val="de-DE"/>
        </w:rPr>
      </w:pPr>
      <w:r w:rsidRPr="00AD6C7D">
        <w:rPr>
          <w:lang w:val="de-DE"/>
        </w:rPr>
        <w:t>51.</w:t>
      </w:r>
      <w:r w:rsidRPr="00AD6C7D">
        <w:rPr>
          <w:lang w:val="de-DE"/>
        </w:rPr>
        <w:tab/>
      </w:r>
      <w:r w:rsidR="002F206D" w:rsidRPr="00AD6C7D">
        <w:rPr>
          <w:lang w:val="de-DE"/>
        </w:rPr>
        <w:t>Der Sicherheitsausschuss nahm die von Frankreich in Dokument ECE/TRANS/WP.15/AC.2/2019/24 und dem informellen Dokument INF.3 vorgeschlagenen Änderungen grundsätzlich an. Was die Vorschläge zum informellen Dokument INF.19 betrifft, so sprachen sich in Bezug auf Vorschlag A einige Delegierte dafür aus, die Punkte 8 und 13 des Musters unverändert zu lassen.</w:t>
      </w:r>
      <w:r w:rsidRPr="00AD6C7D">
        <w:rPr>
          <w:lang w:val="de-DE"/>
        </w:rPr>
        <w:t xml:space="preserve"> </w:t>
      </w:r>
      <w:r w:rsidR="00164392" w:rsidRPr="00AD6C7D">
        <w:rPr>
          <w:lang w:val="de-DE"/>
        </w:rPr>
        <w:t>Im Hinblick auf Vorschlag B billigte der Sicherheitsausschuss die vorgeschlagene Korrektur der französischen Fassung des Zeugnisses und empfahl, in der gesamten Tabelle eine Zeilennummerierung einzufügen.</w:t>
      </w:r>
    </w:p>
    <w:p w14:paraId="76E63536" w14:textId="3D7A41F9" w:rsidR="00925F82" w:rsidRPr="00AD6C7D" w:rsidRDefault="00925F82" w:rsidP="00F00722">
      <w:pPr>
        <w:pStyle w:val="SingleTxtG"/>
        <w:rPr>
          <w:lang w:val="de-DE"/>
        </w:rPr>
      </w:pPr>
      <w:r w:rsidRPr="00AD6C7D">
        <w:rPr>
          <w:lang w:val="de-DE"/>
        </w:rPr>
        <w:t>52.</w:t>
      </w:r>
      <w:r w:rsidRPr="00AD6C7D">
        <w:rPr>
          <w:lang w:val="de-DE"/>
        </w:rPr>
        <w:tab/>
      </w:r>
      <w:r w:rsidR="00550315" w:rsidRPr="00AD6C7D">
        <w:rPr>
          <w:lang w:val="de-DE"/>
        </w:rPr>
        <w:t>Der Vertreter Frankreichs bot an, die vorgeschlagenen Änderungen zu überprüfen und fristgerecht für die nächste Sitzung ein neues Dokument zur Prüfung vorzulegen.</w:t>
      </w:r>
    </w:p>
    <w:p w14:paraId="78944D0D" w14:textId="7DFAE5ED" w:rsidR="00925F82" w:rsidRPr="00AD6C7D" w:rsidRDefault="00925F82" w:rsidP="00F00722">
      <w:pPr>
        <w:pStyle w:val="H1G"/>
        <w:ind w:right="992"/>
        <w:rPr>
          <w:sz w:val="20"/>
          <w:lang w:val="de-DE"/>
        </w:rPr>
      </w:pPr>
      <w:r w:rsidRPr="00AD6C7D">
        <w:rPr>
          <w:sz w:val="20"/>
          <w:lang w:val="de-DE"/>
        </w:rPr>
        <w:lastRenderedPageBreak/>
        <w:tab/>
        <w:t>10.</w:t>
      </w:r>
      <w:r w:rsidRPr="00AD6C7D">
        <w:rPr>
          <w:sz w:val="20"/>
          <w:lang w:val="de-DE"/>
        </w:rPr>
        <w:tab/>
      </w:r>
      <w:r w:rsidR="00336183" w:rsidRPr="00AD6C7D">
        <w:rPr>
          <w:sz w:val="20"/>
          <w:lang w:val="de-DE"/>
        </w:rPr>
        <w:t>Aktualisierung der Schiffskontrolllisten gemäß Absatz 1.8.1.2.1</w:t>
      </w:r>
    </w:p>
    <w:p w14:paraId="6C5CF66A" w14:textId="2C8AEBDC" w:rsidR="00925F82" w:rsidRPr="00AD6C7D" w:rsidRDefault="00925F82" w:rsidP="00925F82">
      <w:pPr>
        <w:pStyle w:val="H23G"/>
        <w:tabs>
          <w:tab w:val="left" w:pos="1134"/>
          <w:tab w:val="left" w:pos="3402"/>
        </w:tabs>
        <w:ind w:firstLine="0"/>
        <w:rPr>
          <w:b w:val="0"/>
          <w:bCs/>
          <w:lang w:val="de-DE"/>
        </w:rPr>
      </w:pPr>
      <w:r w:rsidRPr="00AD6C7D">
        <w:rPr>
          <w:b w:val="0"/>
          <w:bCs/>
          <w:i/>
          <w:iCs/>
          <w:lang w:val="de-DE"/>
        </w:rPr>
        <w:t>Do</w:t>
      </w:r>
      <w:r w:rsidR="00785275" w:rsidRPr="00AD6C7D">
        <w:rPr>
          <w:b w:val="0"/>
          <w:bCs/>
          <w:i/>
          <w:iCs/>
          <w:lang w:val="de-DE"/>
        </w:rPr>
        <w:t>k</w:t>
      </w:r>
      <w:r w:rsidRPr="00AD6C7D">
        <w:rPr>
          <w:b w:val="0"/>
          <w:bCs/>
          <w:i/>
          <w:iCs/>
          <w:lang w:val="de-DE"/>
        </w:rPr>
        <w:t>ument</w:t>
      </w:r>
      <w:r w:rsidRPr="00AD6C7D">
        <w:rPr>
          <w:b w:val="0"/>
          <w:bCs/>
          <w:lang w:val="de-DE"/>
        </w:rPr>
        <w:t>:</w:t>
      </w:r>
      <w:r w:rsidRPr="00AD6C7D">
        <w:rPr>
          <w:b w:val="0"/>
          <w:bCs/>
          <w:lang w:val="de-DE"/>
        </w:rPr>
        <w:tab/>
        <w:t>ECE/TRANS/WP.15/AC.2/2019/26 (</w:t>
      </w:r>
      <w:r w:rsidR="00785275" w:rsidRPr="00AD6C7D">
        <w:rPr>
          <w:b w:val="0"/>
          <w:bCs/>
          <w:lang w:val="de-DE"/>
        </w:rPr>
        <w:t>Frankreich</w:t>
      </w:r>
      <w:r w:rsidRPr="00AD6C7D">
        <w:rPr>
          <w:b w:val="0"/>
          <w:bCs/>
          <w:lang w:val="de-DE"/>
        </w:rPr>
        <w:t>)</w:t>
      </w:r>
      <w:r w:rsidRPr="00AD6C7D">
        <w:rPr>
          <w:b w:val="0"/>
          <w:bCs/>
          <w:lang w:val="de-DE"/>
        </w:rPr>
        <w:br/>
      </w:r>
      <w:r w:rsidR="007540AC" w:rsidRPr="00AD6C7D">
        <w:rPr>
          <w:b w:val="0"/>
          <w:bCs/>
          <w:i/>
          <w:iCs/>
          <w:lang w:val="de-DE"/>
        </w:rPr>
        <w:t>Informelles Dokument</w:t>
      </w:r>
      <w:r w:rsidRPr="00AD6C7D">
        <w:rPr>
          <w:b w:val="0"/>
          <w:bCs/>
          <w:lang w:val="de-DE"/>
        </w:rPr>
        <w:t>:</w:t>
      </w:r>
      <w:r w:rsidRPr="00AD6C7D">
        <w:rPr>
          <w:b w:val="0"/>
          <w:bCs/>
          <w:lang w:val="de-DE"/>
        </w:rPr>
        <w:tab/>
        <w:t xml:space="preserve">INF.23 </w:t>
      </w:r>
      <w:r w:rsidR="007540AC" w:rsidRPr="00AD6C7D">
        <w:rPr>
          <w:b w:val="0"/>
          <w:bCs/>
          <w:lang w:val="de-DE"/>
        </w:rPr>
        <w:t>(Deutschland)</w:t>
      </w:r>
    </w:p>
    <w:p w14:paraId="456622BD" w14:textId="53C0B1E1" w:rsidR="00925F82" w:rsidRPr="00AD6C7D" w:rsidRDefault="00925F82" w:rsidP="00F00722">
      <w:pPr>
        <w:pStyle w:val="SingleTxtG"/>
        <w:rPr>
          <w:lang w:val="de-DE"/>
        </w:rPr>
      </w:pPr>
      <w:r w:rsidRPr="00AD6C7D">
        <w:rPr>
          <w:lang w:val="de-DE"/>
        </w:rPr>
        <w:t>53.</w:t>
      </w:r>
      <w:r w:rsidRPr="00AD6C7D">
        <w:rPr>
          <w:lang w:val="de-DE"/>
        </w:rPr>
        <w:tab/>
      </w:r>
      <w:r w:rsidR="00336183" w:rsidRPr="00AD6C7D">
        <w:rPr>
          <w:lang w:val="de-DE"/>
        </w:rPr>
        <w:t xml:space="preserve">Der Sicherheitsausschuss begrüßte die Änderungen Frankreichs in Dokument ECE/TRANS/WP.15/AC.2/2019/26 und nahm den Vorschlag zur Aufnahme eines neuen Absatzes in </w:t>
      </w:r>
      <w:r w:rsidR="00F6239C" w:rsidRPr="00AD6C7D">
        <w:rPr>
          <w:lang w:val="de-DE"/>
        </w:rPr>
        <w:t>Unterabschnitt</w:t>
      </w:r>
      <w:r w:rsidR="00336183" w:rsidRPr="00AD6C7D">
        <w:rPr>
          <w:lang w:val="de-DE"/>
        </w:rPr>
        <w:t xml:space="preserve"> 1.8.1.2 ADN an (siehe Anlage I).</w:t>
      </w:r>
    </w:p>
    <w:p w14:paraId="7A4F8B97" w14:textId="12E01287" w:rsidR="00925F82" w:rsidRPr="00AD6C7D" w:rsidRDefault="00925F82" w:rsidP="00F00722">
      <w:pPr>
        <w:pStyle w:val="SingleTxtG"/>
        <w:rPr>
          <w:lang w:val="de-DE"/>
        </w:rPr>
      </w:pPr>
      <w:r w:rsidRPr="00AD6C7D">
        <w:rPr>
          <w:lang w:val="de-DE"/>
        </w:rPr>
        <w:t>54.</w:t>
      </w:r>
      <w:r w:rsidRPr="00AD6C7D">
        <w:rPr>
          <w:lang w:val="de-DE"/>
        </w:rPr>
        <w:tab/>
      </w:r>
      <w:r w:rsidR="00DE4563" w:rsidRPr="00AD6C7D">
        <w:rPr>
          <w:lang w:val="de-DE"/>
        </w:rPr>
        <w:t>Zur vorgeschlagenen Aktualisierung der standardisierten Schiffskontrollliste in den Anlagen 1 und 2 schlug der Vertreter Deutschlands vor, die im informellen Dokument INF.23 vorgeschlagenen Änderungen zu berücksichtigen.</w:t>
      </w:r>
      <w:r w:rsidRPr="00AD6C7D">
        <w:rPr>
          <w:lang w:val="de-DE"/>
        </w:rPr>
        <w:t xml:space="preserve"> </w:t>
      </w:r>
      <w:r w:rsidR="00DE4563" w:rsidRPr="00AD6C7D">
        <w:rPr>
          <w:lang w:val="de-DE"/>
        </w:rPr>
        <w:t>Der Sicherheitsausschuss dankte den Vertretern Frankreichs, Deutschlands und Österreichs für die Arbeit an der Kontrollliste.</w:t>
      </w:r>
      <w:r w:rsidRPr="00AD6C7D">
        <w:rPr>
          <w:lang w:val="de-DE"/>
        </w:rPr>
        <w:t xml:space="preserve"> </w:t>
      </w:r>
      <w:r w:rsidR="00F00722" w:rsidRPr="00AD6C7D">
        <w:rPr>
          <w:lang w:val="de-DE"/>
        </w:rPr>
        <w:t>D</w:t>
      </w:r>
      <w:r w:rsidR="00DE4563" w:rsidRPr="00AD6C7D">
        <w:rPr>
          <w:lang w:val="de-DE"/>
        </w:rPr>
        <w:t>ie</w:t>
      </w:r>
      <w:r w:rsidR="00F00722" w:rsidRPr="00AD6C7D">
        <w:rPr>
          <w:lang w:val="de-DE"/>
        </w:rPr>
        <w:t>se</w:t>
      </w:r>
      <w:r w:rsidR="00DE4563" w:rsidRPr="00AD6C7D">
        <w:rPr>
          <w:lang w:val="de-DE"/>
        </w:rPr>
        <w:t xml:space="preserve"> erboten sich, ein konsolidiertes Dokument </w:t>
      </w:r>
      <w:r w:rsidR="00F00722" w:rsidRPr="00AD6C7D">
        <w:rPr>
          <w:lang w:val="de-DE"/>
        </w:rPr>
        <w:t xml:space="preserve">zu </w:t>
      </w:r>
      <w:r w:rsidR="00DE4563" w:rsidRPr="00AD6C7D">
        <w:rPr>
          <w:lang w:val="de-DE"/>
        </w:rPr>
        <w:t>erstellen, das in der nächsten Sitzung geprüft werden soll.</w:t>
      </w:r>
      <w:r w:rsidRPr="00AD6C7D">
        <w:rPr>
          <w:lang w:val="de-DE"/>
        </w:rPr>
        <w:t xml:space="preserve"> </w:t>
      </w:r>
      <w:r w:rsidR="00DE4563" w:rsidRPr="00AD6C7D">
        <w:rPr>
          <w:lang w:val="de-DE"/>
        </w:rPr>
        <w:t>Der Vertreter der Russischen Föderation bot seine Unterstützung für die russische Sprache an.</w:t>
      </w:r>
    </w:p>
    <w:p w14:paraId="58AB2560" w14:textId="6831DD0C" w:rsidR="00925F82" w:rsidRPr="00AD6C7D" w:rsidRDefault="00925F82" w:rsidP="00DE4563">
      <w:pPr>
        <w:pStyle w:val="H1G"/>
        <w:ind w:right="992"/>
        <w:rPr>
          <w:sz w:val="20"/>
          <w:lang w:val="de-DE"/>
        </w:rPr>
      </w:pPr>
      <w:r w:rsidRPr="00AD6C7D">
        <w:rPr>
          <w:sz w:val="20"/>
          <w:lang w:val="de-DE"/>
        </w:rPr>
        <w:tab/>
        <w:t>11.</w:t>
      </w:r>
      <w:r w:rsidRPr="00AD6C7D">
        <w:rPr>
          <w:sz w:val="20"/>
          <w:lang w:val="de-DE"/>
        </w:rPr>
        <w:tab/>
      </w:r>
      <w:r w:rsidR="00DE4563" w:rsidRPr="00AD6C7D">
        <w:rPr>
          <w:sz w:val="20"/>
          <w:lang w:val="de-DE"/>
        </w:rPr>
        <w:t>Änderung des Unterabschnitts 8.1.2.3: Mitführen von Dokumenten (Tankschifffahrt) – Übergangsvorschriften</w:t>
      </w:r>
    </w:p>
    <w:p w14:paraId="38C5C817" w14:textId="3732CB25" w:rsidR="00925F82" w:rsidRPr="00AD6C7D" w:rsidRDefault="00925F82" w:rsidP="00925F82">
      <w:pPr>
        <w:pStyle w:val="H23G"/>
        <w:tabs>
          <w:tab w:val="left" w:pos="1134"/>
          <w:tab w:val="left" w:pos="3402"/>
        </w:tabs>
        <w:ind w:firstLine="0"/>
        <w:rPr>
          <w:b w:val="0"/>
          <w:bCs/>
          <w:lang w:val="de-DE"/>
        </w:rPr>
      </w:pPr>
      <w:r w:rsidRPr="00AD6C7D">
        <w:rPr>
          <w:b w:val="0"/>
          <w:bCs/>
          <w:i/>
          <w:iCs/>
          <w:lang w:val="de-DE"/>
        </w:rPr>
        <w:t>Do</w:t>
      </w:r>
      <w:r w:rsidR="00785275" w:rsidRPr="00AD6C7D">
        <w:rPr>
          <w:b w:val="0"/>
          <w:bCs/>
          <w:i/>
          <w:iCs/>
          <w:lang w:val="de-DE"/>
        </w:rPr>
        <w:t>k</w:t>
      </w:r>
      <w:r w:rsidRPr="00AD6C7D">
        <w:rPr>
          <w:b w:val="0"/>
          <w:bCs/>
          <w:i/>
          <w:iCs/>
          <w:lang w:val="de-DE"/>
        </w:rPr>
        <w:t>ument</w:t>
      </w:r>
      <w:r w:rsidRPr="00AD6C7D">
        <w:rPr>
          <w:b w:val="0"/>
          <w:bCs/>
          <w:lang w:val="de-DE"/>
        </w:rPr>
        <w:t>:</w:t>
      </w:r>
      <w:r w:rsidRPr="00AD6C7D">
        <w:rPr>
          <w:b w:val="0"/>
          <w:bCs/>
          <w:lang w:val="de-DE"/>
        </w:rPr>
        <w:tab/>
        <w:t xml:space="preserve">ECE/TRANS/WP.15/AC.2/2019/28 (EBU </w:t>
      </w:r>
      <w:r w:rsidR="00785275" w:rsidRPr="00AD6C7D">
        <w:rPr>
          <w:b w:val="0"/>
          <w:bCs/>
          <w:lang w:val="de-DE"/>
        </w:rPr>
        <w:t>und</w:t>
      </w:r>
      <w:r w:rsidRPr="00AD6C7D">
        <w:rPr>
          <w:b w:val="0"/>
          <w:bCs/>
          <w:lang w:val="de-DE"/>
        </w:rPr>
        <w:t xml:space="preserve"> ESO)</w:t>
      </w:r>
    </w:p>
    <w:p w14:paraId="1699E9A2" w14:textId="6385A1F9" w:rsidR="00925F82" w:rsidRPr="00AD6C7D" w:rsidRDefault="00925F82" w:rsidP="00F00722">
      <w:pPr>
        <w:pStyle w:val="SingleTxtG"/>
        <w:rPr>
          <w:lang w:val="de-DE"/>
        </w:rPr>
      </w:pPr>
      <w:r w:rsidRPr="00AD6C7D">
        <w:rPr>
          <w:lang w:val="de-DE"/>
        </w:rPr>
        <w:t>55.</w:t>
      </w:r>
      <w:r w:rsidRPr="00AD6C7D">
        <w:rPr>
          <w:lang w:val="de-DE"/>
        </w:rPr>
        <w:tab/>
      </w:r>
      <w:r w:rsidR="00747C45" w:rsidRPr="00AD6C7D">
        <w:rPr>
          <w:lang w:val="de-DE"/>
        </w:rPr>
        <w:t>Einige Delegierte äußerten Bedenken hinsichtlich der in Absatz 2 vorgeschlagenen Neuordnung der Übergangsvorschriften für das Mitführen des Plans mit Zoneneinteilung erst nach dem 31. Dezember 2034.</w:t>
      </w:r>
      <w:r w:rsidRPr="00AD6C7D">
        <w:rPr>
          <w:lang w:val="de-DE"/>
        </w:rPr>
        <w:t xml:space="preserve"> </w:t>
      </w:r>
      <w:r w:rsidR="00DD7FF3" w:rsidRPr="00AD6C7D">
        <w:rPr>
          <w:lang w:val="de-DE"/>
        </w:rPr>
        <w:t>Es wurde ferner festgestellt, dass die derzeitigen rechtlichen Anforderungen geklärt werden müssen und zur Vermeidung von Fehlinterpretationen der Vorschriften ein umfassenderer Ansatz erforderlich ist.</w:t>
      </w:r>
      <w:r w:rsidRPr="00AD6C7D">
        <w:rPr>
          <w:lang w:val="de-DE"/>
        </w:rPr>
        <w:t xml:space="preserve"> </w:t>
      </w:r>
      <w:r w:rsidR="00F84A05" w:rsidRPr="00AD6C7D">
        <w:rPr>
          <w:lang w:val="de-DE"/>
        </w:rPr>
        <w:t xml:space="preserve">Der Sicherheitsausschuss vereinbarte, die Prüfung </w:t>
      </w:r>
      <w:r w:rsidR="00D45929" w:rsidRPr="00AD6C7D">
        <w:rPr>
          <w:lang w:val="de-DE"/>
        </w:rPr>
        <w:t>dieser Frage</w:t>
      </w:r>
      <w:r w:rsidR="00F84A05" w:rsidRPr="00AD6C7D">
        <w:rPr>
          <w:lang w:val="de-DE"/>
        </w:rPr>
        <w:t xml:space="preserve"> </w:t>
      </w:r>
      <w:r w:rsidR="00D45929" w:rsidRPr="00AD6C7D">
        <w:rPr>
          <w:lang w:val="de-DE"/>
        </w:rPr>
        <w:t>in</w:t>
      </w:r>
      <w:r w:rsidR="00F84A05" w:rsidRPr="00AD6C7D">
        <w:rPr>
          <w:lang w:val="de-DE"/>
        </w:rPr>
        <w:t xml:space="preserve"> seiner nächsten </w:t>
      </w:r>
      <w:r w:rsidR="00D45929" w:rsidRPr="00AD6C7D">
        <w:rPr>
          <w:lang w:val="de-DE"/>
        </w:rPr>
        <w:t>Sitzung</w:t>
      </w:r>
      <w:r w:rsidR="00F84A05" w:rsidRPr="00AD6C7D">
        <w:rPr>
          <w:lang w:val="de-DE"/>
        </w:rPr>
        <w:t xml:space="preserve"> wieder aufzunehmen, und ersuchte die Vertreter </w:t>
      </w:r>
      <w:r w:rsidR="00D45929" w:rsidRPr="00AD6C7D">
        <w:rPr>
          <w:lang w:val="de-DE"/>
        </w:rPr>
        <w:t>von</w:t>
      </w:r>
      <w:r w:rsidR="00F84A05" w:rsidRPr="00AD6C7D">
        <w:rPr>
          <w:lang w:val="de-DE"/>
        </w:rPr>
        <w:t xml:space="preserve"> EBU/ESO, für die kommende </w:t>
      </w:r>
      <w:r w:rsidR="00D45929" w:rsidRPr="00AD6C7D">
        <w:rPr>
          <w:lang w:val="de-DE"/>
        </w:rPr>
        <w:t>Sitzung</w:t>
      </w:r>
      <w:r w:rsidR="00F84A05" w:rsidRPr="00AD6C7D">
        <w:rPr>
          <w:lang w:val="de-DE"/>
        </w:rPr>
        <w:t xml:space="preserve"> </w:t>
      </w:r>
      <w:r w:rsidR="00F00722" w:rsidRPr="00AD6C7D">
        <w:rPr>
          <w:lang w:val="de-DE"/>
        </w:rPr>
        <w:t xml:space="preserve">einen neuen Vorschlag </w:t>
      </w:r>
      <w:r w:rsidR="00F84A05" w:rsidRPr="00AD6C7D">
        <w:rPr>
          <w:lang w:val="de-DE"/>
        </w:rPr>
        <w:t>auszuarbeiten.</w:t>
      </w:r>
    </w:p>
    <w:p w14:paraId="29A4A613" w14:textId="074653CB" w:rsidR="00925F82" w:rsidRPr="00AD6C7D" w:rsidRDefault="00925F82" w:rsidP="00D45929">
      <w:pPr>
        <w:pStyle w:val="H1G"/>
        <w:ind w:right="992"/>
        <w:rPr>
          <w:sz w:val="20"/>
          <w:lang w:val="de-DE"/>
        </w:rPr>
      </w:pPr>
      <w:r w:rsidRPr="00AD6C7D">
        <w:rPr>
          <w:sz w:val="20"/>
          <w:lang w:val="de-DE"/>
        </w:rPr>
        <w:tab/>
        <w:t>12.</w:t>
      </w:r>
      <w:r w:rsidRPr="00AD6C7D">
        <w:rPr>
          <w:sz w:val="20"/>
          <w:lang w:val="de-DE"/>
        </w:rPr>
        <w:tab/>
      </w:r>
      <w:r w:rsidR="00D45929" w:rsidRPr="00AD6C7D">
        <w:rPr>
          <w:sz w:val="20"/>
          <w:lang w:val="de-DE"/>
        </w:rPr>
        <w:t>Schlauchleitungen für LNG</w:t>
      </w:r>
    </w:p>
    <w:p w14:paraId="2C83DF8D" w14:textId="183A895A" w:rsidR="00925F82" w:rsidRPr="00AD6C7D" w:rsidRDefault="00925F82" w:rsidP="00925F82">
      <w:pPr>
        <w:pStyle w:val="H23G"/>
        <w:tabs>
          <w:tab w:val="left" w:pos="1134"/>
          <w:tab w:val="left" w:pos="3402"/>
        </w:tabs>
        <w:ind w:firstLine="0"/>
        <w:rPr>
          <w:b w:val="0"/>
          <w:bCs/>
          <w:lang w:val="de-DE"/>
        </w:rPr>
      </w:pPr>
      <w:r w:rsidRPr="00AD6C7D">
        <w:rPr>
          <w:b w:val="0"/>
          <w:bCs/>
          <w:i/>
          <w:iCs/>
          <w:lang w:val="de-DE"/>
        </w:rPr>
        <w:t>Do</w:t>
      </w:r>
      <w:r w:rsidR="00785275" w:rsidRPr="00AD6C7D">
        <w:rPr>
          <w:b w:val="0"/>
          <w:bCs/>
          <w:i/>
          <w:iCs/>
          <w:lang w:val="de-DE"/>
        </w:rPr>
        <w:t>k</w:t>
      </w:r>
      <w:r w:rsidRPr="00AD6C7D">
        <w:rPr>
          <w:b w:val="0"/>
          <w:bCs/>
          <w:i/>
          <w:iCs/>
          <w:lang w:val="de-DE"/>
        </w:rPr>
        <w:t>ument</w:t>
      </w:r>
      <w:r w:rsidRPr="00AD6C7D">
        <w:rPr>
          <w:b w:val="0"/>
          <w:bCs/>
          <w:lang w:val="de-DE"/>
        </w:rPr>
        <w:t>:</w:t>
      </w:r>
      <w:r w:rsidRPr="00AD6C7D">
        <w:rPr>
          <w:b w:val="0"/>
          <w:bCs/>
          <w:lang w:val="de-DE"/>
        </w:rPr>
        <w:tab/>
        <w:t>ECE/TRANS/WP.15/AC.2/2019/29 (</w:t>
      </w:r>
      <w:r w:rsidR="00785275" w:rsidRPr="00AD6C7D">
        <w:rPr>
          <w:b w:val="0"/>
          <w:bCs/>
          <w:lang w:val="de-DE"/>
        </w:rPr>
        <w:t>Niederlande</w:t>
      </w:r>
      <w:r w:rsidRPr="00AD6C7D">
        <w:rPr>
          <w:b w:val="0"/>
          <w:bCs/>
          <w:lang w:val="de-DE"/>
        </w:rPr>
        <w:t>)</w:t>
      </w:r>
    </w:p>
    <w:p w14:paraId="5A23E3FC" w14:textId="0329F312" w:rsidR="00925F82" w:rsidRPr="00AD6C7D" w:rsidRDefault="00925F82" w:rsidP="00221FD6">
      <w:pPr>
        <w:pStyle w:val="SingleTxtG"/>
        <w:rPr>
          <w:lang w:val="de-DE"/>
        </w:rPr>
      </w:pPr>
      <w:r w:rsidRPr="00AD6C7D">
        <w:rPr>
          <w:lang w:val="de-DE"/>
        </w:rPr>
        <w:t>56.</w:t>
      </w:r>
      <w:r w:rsidRPr="00AD6C7D">
        <w:rPr>
          <w:lang w:val="de-DE"/>
        </w:rPr>
        <w:tab/>
      </w:r>
      <w:r w:rsidR="00D45929" w:rsidRPr="00AD6C7D">
        <w:rPr>
          <w:lang w:val="de-DE"/>
        </w:rPr>
        <w:t>Das Dokument erhielt e</w:t>
      </w:r>
      <w:r w:rsidR="00F00722" w:rsidRPr="00AD6C7D">
        <w:rPr>
          <w:lang w:val="de-DE"/>
        </w:rPr>
        <w:t>ine gewisse</w:t>
      </w:r>
      <w:r w:rsidR="00D45929" w:rsidRPr="00AD6C7D">
        <w:rPr>
          <w:lang w:val="de-DE"/>
        </w:rPr>
        <w:t xml:space="preserve"> </w:t>
      </w:r>
      <w:r w:rsidR="00221FD6" w:rsidRPr="00AD6C7D">
        <w:rPr>
          <w:lang w:val="de-DE"/>
        </w:rPr>
        <w:t xml:space="preserve">allgemeine </w:t>
      </w:r>
      <w:r w:rsidR="00D45929" w:rsidRPr="00AD6C7D">
        <w:rPr>
          <w:lang w:val="de-DE"/>
        </w:rPr>
        <w:t xml:space="preserve">Unterstützung, </w:t>
      </w:r>
      <w:r w:rsidR="009D5CBC" w:rsidRPr="00AD6C7D">
        <w:rPr>
          <w:lang w:val="de-DE"/>
        </w:rPr>
        <w:t>gleichwohl sind</w:t>
      </w:r>
      <w:r w:rsidR="00D45929" w:rsidRPr="00AD6C7D">
        <w:rPr>
          <w:lang w:val="de-DE"/>
        </w:rPr>
        <w:t xml:space="preserve"> einige Klarstellungen in Bezug auf die </w:t>
      </w:r>
      <w:r w:rsidR="00221FD6" w:rsidRPr="00AD6C7D">
        <w:rPr>
          <w:lang w:val="de-DE"/>
        </w:rPr>
        <w:t>Aufgaben</w:t>
      </w:r>
      <w:r w:rsidR="00A87462" w:rsidRPr="00AD6C7D">
        <w:rPr>
          <w:lang w:val="de-DE"/>
        </w:rPr>
        <w:t xml:space="preserve"> de</w:t>
      </w:r>
      <w:r w:rsidR="00221FD6" w:rsidRPr="00AD6C7D">
        <w:rPr>
          <w:lang w:val="de-DE"/>
        </w:rPr>
        <w:t>r</w:t>
      </w:r>
      <w:r w:rsidR="00D45929" w:rsidRPr="00AD6C7D">
        <w:rPr>
          <w:lang w:val="de-DE"/>
        </w:rPr>
        <w:t xml:space="preserve"> nach der Norm ISO 20519 durchzuführenden </w:t>
      </w:r>
      <w:r w:rsidR="004648CD" w:rsidRPr="00AD6C7D">
        <w:rPr>
          <w:lang w:val="de-DE"/>
        </w:rPr>
        <w:t>Kotrollen</w:t>
      </w:r>
      <w:r w:rsidR="00D45929" w:rsidRPr="00AD6C7D">
        <w:rPr>
          <w:lang w:val="de-DE"/>
        </w:rPr>
        <w:t xml:space="preserve"> erforderlich.</w:t>
      </w:r>
      <w:r w:rsidRPr="00AD6C7D">
        <w:rPr>
          <w:lang w:val="de-DE"/>
        </w:rPr>
        <w:t xml:space="preserve"> </w:t>
      </w:r>
      <w:r w:rsidR="00A87462" w:rsidRPr="00AD6C7D">
        <w:rPr>
          <w:lang w:val="de-DE"/>
        </w:rPr>
        <w:t>Der niederländische Vertreter bot an, das Dokument in dieser Hinsicht zu überprüfen und für die nächste Sitzung ein überarbeitetes Dokument zur Prüfung vorzulegen.</w:t>
      </w:r>
    </w:p>
    <w:p w14:paraId="2DEE2A7E" w14:textId="0D921E62" w:rsidR="00925F82" w:rsidRPr="00AD6C7D" w:rsidRDefault="00925F82" w:rsidP="00221FD6">
      <w:pPr>
        <w:pStyle w:val="H1G"/>
        <w:ind w:right="992"/>
        <w:rPr>
          <w:sz w:val="20"/>
          <w:lang w:val="de-DE"/>
        </w:rPr>
      </w:pPr>
      <w:r w:rsidRPr="00AD6C7D">
        <w:rPr>
          <w:sz w:val="20"/>
          <w:lang w:val="de-DE"/>
        </w:rPr>
        <w:tab/>
        <w:t>13.</w:t>
      </w:r>
      <w:r w:rsidRPr="00AD6C7D">
        <w:rPr>
          <w:sz w:val="20"/>
          <w:lang w:val="de-DE"/>
        </w:rPr>
        <w:tab/>
      </w:r>
      <w:r w:rsidR="00A87462" w:rsidRPr="00AD6C7D">
        <w:rPr>
          <w:sz w:val="20"/>
          <w:lang w:val="de-DE"/>
        </w:rPr>
        <w:t>Änderungen des Unterabschnitts 8.1.2.3: Mitführen von Dokumenten (Tankschifffahrt)</w:t>
      </w:r>
    </w:p>
    <w:p w14:paraId="24E0E57D" w14:textId="2899A6E8" w:rsidR="00925F82" w:rsidRPr="00AD6C7D" w:rsidRDefault="00925F82" w:rsidP="00925F82">
      <w:pPr>
        <w:pStyle w:val="H23G"/>
        <w:tabs>
          <w:tab w:val="left" w:pos="1134"/>
          <w:tab w:val="left" w:pos="3402"/>
        </w:tabs>
        <w:ind w:firstLine="0"/>
        <w:rPr>
          <w:b w:val="0"/>
          <w:bCs/>
          <w:lang w:val="de-DE"/>
        </w:rPr>
      </w:pPr>
      <w:r w:rsidRPr="00AD6C7D">
        <w:rPr>
          <w:b w:val="0"/>
          <w:bCs/>
          <w:i/>
          <w:iCs/>
          <w:lang w:val="de-DE"/>
        </w:rPr>
        <w:t>Do</w:t>
      </w:r>
      <w:r w:rsidR="00785275" w:rsidRPr="00AD6C7D">
        <w:rPr>
          <w:b w:val="0"/>
          <w:bCs/>
          <w:i/>
          <w:iCs/>
          <w:lang w:val="de-DE"/>
        </w:rPr>
        <w:t>k</w:t>
      </w:r>
      <w:r w:rsidRPr="00AD6C7D">
        <w:rPr>
          <w:b w:val="0"/>
          <w:bCs/>
          <w:i/>
          <w:iCs/>
          <w:lang w:val="de-DE"/>
        </w:rPr>
        <w:t>ument</w:t>
      </w:r>
      <w:r w:rsidRPr="00AD6C7D">
        <w:rPr>
          <w:b w:val="0"/>
          <w:bCs/>
          <w:lang w:val="de-DE"/>
        </w:rPr>
        <w:t>:</w:t>
      </w:r>
      <w:r w:rsidRPr="00AD6C7D">
        <w:rPr>
          <w:b w:val="0"/>
          <w:bCs/>
          <w:lang w:val="de-DE"/>
        </w:rPr>
        <w:tab/>
        <w:t xml:space="preserve">ECE/TRANS/WP.15/AC.2/2019/30 (EBU </w:t>
      </w:r>
      <w:r w:rsidR="00785275" w:rsidRPr="00AD6C7D">
        <w:rPr>
          <w:b w:val="0"/>
          <w:bCs/>
          <w:lang w:val="de-DE"/>
        </w:rPr>
        <w:t>und</w:t>
      </w:r>
      <w:r w:rsidRPr="00AD6C7D">
        <w:rPr>
          <w:b w:val="0"/>
          <w:bCs/>
          <w:lang w:val="de-DE"/>
        </w:rPr>
        <w:t xml:space="preserve"> ESO)</w:t>
      </w:r>
    </w:p>
    <w:p w14:paraId="62D0AB59" w14:textId="7B5E9CAD" w:rsidR="00925F82" w:rsidRPr="00AD6C7D" w:rsidRDefault="00925F82" w:rsidP="00221FD6">
      <w:pPr>
        <w:pStyle w:val="SingleTxtG"/>
        <w:rPr>
          <w:lang w:val="de-DE"/>
        </w:rPr>
      </w:pPr>
      <w:r w:rsidRPr="00AD6C7D">
        <w:rPr>
          <w:lang w:val="de-DE"/>
        </w:rPr>
        <w:t>57.</w:t>
      </w:r>
      <w:r w:rsidRPr="00AD6C7D">
        <w:rPr>
          <w:lang w:val="de-DE"/>
        </w:rPr>
        <w:tab/>
      </w:r>
      <w:r w:rsidR="00AA5650" w:rsidRPr="00AD6C7D">
        <w:rPr>
          <w:lang w:val="de-DE"/>
        </w:rPr>
        <w:t xml:space="preserve">Auf Vorschlag der EBU, die Bestimmungen des Unterabschnitts 8.1.2.3 über das </w:t>
      </w:r>
      <w:r w:rsidR="00BB67D5" w:rsidRPr="00AD6C7D">
        <w:rPr>
          <w:lang w:val="de-DE"/>
        </w:rPr>
        <w:t>Mitführen</w:t>
      </w:r>
      <w:r w:rsidR="00AA5650" w:rsidRPr="00AD6C7D">
        <w:rPr>
          <w:lang w:val="de-DE"/>
        </w:rPr>
        <w:t xml:space="preserve"> bestimmter Dokumente nach Inkraft</w:t>
      </w:r>
      <w:r w:rsidR="007D72EB" w:rsidRPr="00AD6C7D">
        <w:rPr>
          <w:lang w:val="de-DE"/>
        </w:rPr>
        <w:t>setzung</w:t>
      </w:r>
      <w:r w:rsidR="00AA5650" w:rsidRPr="00AD6C7D">
        <w:rPr>
          <w:lang w:val="de-DE"/>
        </w:rPr>
        <w:t xml:space="preserve"> des neuen </w:t>
      </w:r>
      <w:r w:rsidR="007D72EB" w:rsidRPr="00AD6C7D">
        <w:rPr>
          <w:lang w:val="de-DE"/>
        </w:rPr>
        <w:t>Explosionsschutzk</w:t>
      </w:r>
      <w:r w:rsidR="00AA5650" w:rsidRPr="00AD6C7D">
        <w:rPr>
          <w:lang w:val="de-DE"/>
        </w:rPr>
        <w:t xml:space="preserve">onzepts zu präzisieren, bestätigte der Sicherheitsausschuss, dass Dokumente zum Explosionsschutz nur </w:t>
      </w:r>
      <w:r w:rsidR="007D72EB" w:rsidRPr="00AD6C7D">
        <w:rPr>
          <w:lang w:val="de-DE"/>
        </w:rPr>
        <w:t>mitgeführt werden müssen</w:t>
      </w:r>
      <w:r w:rsidR="00AA5650" w:rsidRPr="00AD6C7D">
        <w:rPr>
          <w:lang w:val="de-DE"/>
        </w:rPr>
        <w:t xml:space="preserve">, wenn die </w:t>
      </w:r>
      <w:r w:rsidR="007D72EB" w:rsidRPr="00AD6C7D">
        <w:rPr>
          <w:lang w:val="de-DE"/>
        </w:rPr>
        <w:t xml:space="preserve">Schiffsstoffliste </w:t>
      </w:r>
      <w:r w:rsidR="00AA5650" w:rsidRPr="00AD6C7D">
        <w:rPr>
          <w:lang w:val="de-DE"/>
        </w:rPr>
        <w:t xml:space="preserve">Stoffe enthält, für die </w:t>
      </w:r>
      <w:r w:rsidR="007D72EB" w:rsidRPr="00AD6C7D">
        <w:rPr>
          <w:lang w:val="de-DE"/>
        </w:rPr>
        <w:t xml:space="preserve">nach Kapitel 3.2 Tabelle C Spalte (17) </w:t>
      </w:r>
      <w:r w:rsidR="00AA5650" w:rsidRPr="00AD6C7D">
        <w:rPr>
          <w:lang w:val="de-DE"/>
        </w:rPr>
        <w:t xml:space="preserve">Explosionsschutz </w:t>
      </w:r>
      <w:r w:rsidR="007D72EB" w:rsidRPr="00AD6C7D">
        <w:rPr>
          <w:lang w:val="de-DE"/>
        </w:rPr>
        <w:t>ge</w:t>
      </w:r>
      <w:r w:rsidR="00AA5650" w:rsidRPr="00AD6C7D">
        <w:rPr>
          <w:lang w:val="de-DE"/>
        </w:rPr>
        <w:t>forder</w:t>
      </w:r>
      <w:r w:rsidR="007D72EB" w:rsidRPr="00AD6C7D">
        <w:rPr>
          <w:lang w:val="de-DE"/>
        </w:rPr>
        <w:t>t</w:t>
      </w:r>
      <w:r w:rsidR="00AA5650" w:rsidRPr="00AD6C7D">
        <w:rPr>
          <w:lang w:val="de-DE"/>
        </w:rPr>
        <w:t xml:space="preserve"> ist.</w:t>
      </w:r>
    </w:p>
    <w:p w14:paraId="7A4A6559" w14:textId="394516A2" w:rsidR="00925F82" w:rsidRPr="00AD6C7D" w:rsidRDefault="00925F82" w:rsidP="007D72EB">
      <w:pPr>
        <w:pStyle w:val="H1G"/>
        <w:ind w:right="992"/>
        <w:rPr>
          <w:sz w:val="20"/>
          <w:lang w:val="de-DE"/>
        </w:rPr>
      </w:pPr>
      <w:r w:rsidRPr="00AD6C7D">
        <w:rPr>
          <w:sz w:val="20"/>
          <w:lang w:val="de-DE"/>
        </w:rPr>
        <w:tab/>
        <w:t>14.</w:t>
      </w:r>
      <w:r w:rsidRPr="00AD6C7D">
        <w:rPr>
          <w:sz w:val="20"/>
          <w:lang w:val="de-DE"/>
        </w:rPr>
        <w:tab/>
      </w:r>
      <w:r w:rsidR="007D72EB" w:rsidRPr="00AD6C7D">
        <w:rPr>
          <w:sz w:val="20"/>
          <w:lang w:val="de-DE"/>
        </w:rPr>
        <w:t>Änderung des Unterabschnitts 8.1.2.2: Mitführen von Dokumenten (Trockengüterschiffe)</w:t>
      </w:r>
    </w:p>
    <w:p w14:paraId="131EF661" w14:textId="15711E0C" w:rsidR="00925F82" w:rsidRPr="00AD6C7D" w:rsidRDefault="00925F82" w:rsidP="00925F82">
      <w:pPr>
        <w:pStyle w:val="H23G"/>
        <w:tabs>
          <w:tab w:val="left" w:pos="1134"/>
          <w:tab w:val="left" w:pos="3402"/>
        </w:tabs>
        <w:ind w:firstLine="0"/>
        <w:rPr>
          <w:b w:val="0"/>
          <w:bCs/>
          <w:i/>
          <w:iCs/>
          <w:lang w:val="de-DE"/>
        </w:rPr>
      </w:pPr>
      <w:r w:rsidRPr="00AD6C7D">
        <w:rPr>
          <w:b w:val="0"/>
          <w:bCs/>
          <w:i/>
          <w:iCs/>
          <w:lang w:val="de-DE"/>
        </w:rPr>
        <w:t>Do</w:t>
      </w:r>
      <w:r w:rsidR="00785275" w:rsidRPr="00AD6C7D">
        <w:rPr>
          <w:b w:val="0"/>
          <w:bCs/>
          <w:i/>
          <w:iCs/>
          <w:lang w:val="de-DE"/>
        </w:rPr>
        <w:t>k</w:t>
      </w:r>
      <w:r w:rsidRPr="00AD6C7D">
        <w:rPr>
          <w:b w:val="0"/>
          <w:bCs/>
          <w:i/>
          <w:iCs/>
          <w:lang w:val="de-DE"/>
        </w:rPr>
        <w:t>ument</w:t>
      </w:r>
      <w:r w:rsidRPr="00AD6C7D">
        <w:rPr>
          <w:b w:val="0"/>
          <w:bCs/>
          <w:lang w:val="de-DE"/>
        </w:rPr>
        <w:t>:</w:t>
      </w:r>
      <w:r w:rsidRPr="00AD6C7D">
        <w:rPr>
          <w:b w:val="0"/>
          <w:bCs/>
          <w:lang w:val="de-DE"/>
        </w:rPr>
        <w:tab/>
        <w:t xml:space="preserve">ECE/TRANS/WP.15/AC.2/2019/31 (EBU </w:t>
      </w:r>
      <w:r w:rsidR="00785275" w:rsidRPr="00AD6C7D">
        <w:rPr>
          <w:b w:val="0"/>
          <w:bCs/>
          <w:lang w:val="de-DE"/>
        </w:rPr>
        <w:t>und</w:t>
      </w:r>
      <w:r w:rsidRPr="00AD6C7D">
        <w:rPr>
          <w:b w:val="0"/>
          <w:bCs/>
          <w:lang w:val="de-DE"/>
        </w:rPr>
        <w:t xml:space="preserve"> ESO)</w:t>
      </w:r>
    </w:p>
    <w:p w14:paraId="25DEA235" w14:textId="2E1A905E" w:rsidR="00925F82" w:rsidRPr="00AD6C7D" w:rsidRDefault="00925F82" w:rsidP="00484CDB">
      <w:pPr>
        <w:pStyle w:val="SingleTxtG"/>
        <w:rPr>
          <w:lang w:val="de-DE"/>
        </w:rPr>
      </w:pPr>
      <w:r w:rsidRPr="00AD6C7D">
        <w:rPr>
          <w:lang w:val="de-DE"/>
        </w:rPr>
        <w:t>58.</w:t>
      </w:r>
      <w:r w:rsidRPr="00AD6C7D">
        <w:rPr>
          <w:lang w:val="de-DE"/>
        </w:rPr>
        <w:tab/>
      </w:r>
      <w:r w:rsidR="007D72EB" w:rsidRPr="00AD6C7D">
        <w:rPr>
          <w:lang w:val="de-DE"/>
        </w:rPr>
        <w:t xml:space="preserve">Die im Dokument vorgeschlagenen Änderungen </w:t>
      </w:r>
      <w:r w:rsidR="003A60C4" w:rsidRPr="00AD6C7D">
        <w:rPr>
          <w:lang w:val="de-DE"/>
        </w:rPr>
        <w:t>riefen</w:t>
      </w:r>
      <w:r w:rsidR="007D72EB" w:rsidRPr="00AD6C7D">
        <w:rPr>
          <w:lang w:val="de-DE"/>
        </w:rPr>
        <w:t xml:space="preserve"> einige Kommentare und </w:t>
      </w:r>
      <w:r w:rsidR="003A60C4" w:rsidRPr="00AD6C7D">
        <w:rPr>
          <w:lang w:val="de-DE"/>
        </w:rPr>
        <w:t>Bitten</w:t>
      </w:r>
      <w:r w:rsidR="007D72EB" w:rsidRPr="00AD6C7D">
        <w:rPr>
          <w:lang w:val="de-DE"/>
        </w:rPr>
        <w:t xml:space="preserve"> u</w:t>
      </w:r>
      <w:r w:rsidR="00D170A3" w:rsidRPr="00AD6C7D">
        <w:rPr>
          <w:lang w:val="de-DE"/>
        </w:rPr>
        <w:t>m</w:t>
      </w:r>
      <w:r w:rsidR="007D72EB" w:rsidRPr="00AD6C7D">
        <w:rPr>
          <w:lang w:val="de-DE"/>
        </w:rPr>
        <w:t xml:space="preserve"> Klarstellung der </w:t>
      </w:r>
      <w:r w:rsidR="00C40DA1" w:rsidRPr="00AD6C7D">
        <w:rPr>
          <w:lang w:val="de-DE"/>
        </w:rPr>
        <w:t>Einteilung</w:t>
      </w:r>
      <w:r w:rsidR="007D72EB" w:rsidRPr="00AD6C7D">
        <w:rPr>
          <w:lang w:val="de-DE"/>
        </w:rPr>
        <w:t xml:space="preserve"> der relevanten Zonen</w:t>
      </w:r>
      <w:r w:rsidR="003A60C4" w:rsidRPr="00AD6C7D">
        <w:rPr>
          <w:lang w:val="de-DE"/>
        </w:rPr>
        <w:t xml:space="preserve"> hervor</w:t>
      </w:r>
      <w:r w:rsidR="007D72EB" w:rsidRPr="00AD6C7D">
        <w:rPr>
          <w:lang w:val="de-DE"/>
        </w:rPr>
        <w:t>.</w:t>
      </w:r>
      <w:r w:rsidRPr="00AD6C7D">
        <w:rPr>
          <w:lang w:val="de-DE"/>
        </w:rPr>
        <w:t xml:space="preserve"> </w:t>
      </w:r>
      <w:r w:rsidR="00D170A3" w:rsidRPr="00AD6C7D">
        <w:rPr>
          <w:lang w:val="de-DE"/>
        </w:rPr>
        <w:t xml:space="preserve">Der Sicherheitsausschuss lehnte das Dokument </w:t>
      </w:r>
      <w:r w:rsidR="009D5CBC" w:rsidRPr="00AD6C7D">
        <w:rPr>
          <w:lang w:val="de-DE"/>
        </w:rPr>
        <w:t xml:space="preserve">letztlich </w:t>
      </w:r>
      <w:r w:rsidR="00D170A3" w:rsidRPr="00AD6C7D">
        <w:rPr>
          <w:lang w:val="de-DE"/>
        </w:rPr>
        <w:t>ab und verwies auf seinen in Absatz 57 genannten Standpunkt (Änderungen des Unterabschnitts 8.1.2.3).</w:t>
      </w:r>
    </w:p>
    <w:p w14:paraId="6901A338" w14:textId="0B893EF2" w:rsidR="00925F82" w:rsidRPr="00AD6C7D" w:rsidRDefault="00925F82" w:rsidP="00D170A3">
      <w:pPr>
        <w:pStyle w:val="H1G"/>
        <w:ind w:right="992"/>
        <w:rPr>
          <w:sz w:val="20"/>
          <w:lang w:val="de-DE"/>
        </w:rPr>
      </w:pPr>
      <w:r w:rsidRPr="00AD6C7D">
        <w:rPr>
          <w:sz w:val="20"/>
          <w:lang w:val="de-DE"/>
        </w:rPr>
        <w:lastRenderedPageBreak/>
        <w:tab/>
        <w:t>15.</w:t>
      </w:r>
      <w:r w:rsidRPr="00AD6C7D">
        <w:rPr>
          <w:sz w:val="20"/>
          <w:lang w:val="de-DE"/>
        </w:rPr>
        <w:tab/>
      </w:r>
      <w:r w:rsidR="00D170A3" w:rsidRPr="00AD6C7D">
        <w:rPr>
          <w:sz w:val="20"/>
          <w:lang w:val="de-DE"/>
        </w:rPr>
        <w:t>Änderung des Unterabschnitts 7.1.4.1: Begrenzung der beförderten Mengen</w:t>
      </w:r>
    </w:p>
    <w:p w14:paraId="7EDF7E9F" w14:textId="1FBDD759" w:rsidR="00925F82" w:rsidRPr="00AD6C7D" w:rsidRDefault="00925F82" w:rsidP="00925F82">
      <w:pPr>
        <w:pStyle w:val="H23G"/>
        <w:tabs>
          <w:tab w:val="left" w:pos="1134"/>
          <w:tab w:val="left" w:pos="3402"/>
        </w:tabs>
        <w:ind w:firstLine="0"/>
        <w:rPr>
          <w:b w:val="0"/>
          <w:bCs/>
          <w:lang w:val="de-DE"/>
        </w:rPr>
      </w:pPr>
      <w:r w:rsidRPr="00AD6C7D">
        <w:rPr>
          <w:b w:val="0"/>
          <w:bCs/>
          <w:i/>
          <w:iCs/>
          <w:lang w:val="de-DE"/>
        </w:rPr>
        <w:t>Do</w:t>
      </w:r>
      <w:r w:rsidR="00785275" w:rsidRPr="00AD6C7D">
        <w:rPr>
          <w:b w:val="0"/>
          <w:bCs/>
          <w:i/>
          <w:iCs/>
          <w:lang w:val="de-DE"/>
        </w:rPr>
        <w:t>k</w:t>
      </w:r>
      <w:r w:rsidRPr="00AD6C7D">
        <w:rPr>
          <w:b w:val="0"/>
          <w:bCs/>
          <w:i/>
          <w:iCs/>
          <w:lang w:val="de-DE"/>
        </w:rPr>
        <w:t>ument</w:t>
      </w:r>
      <w:r w:rsidRPr="00AD6C7D">
        <w:rPr>
          <w:b w:val="0"/>
          <w:bCs/>
          <w:lang w:val="de-DE"/>
        </w:rPr>
        <w:t>:</w:t>
      </w:r>
      <w:r w:rsidRPr="00AD6C7D">
        <w:rPr>
          <w:b w:val="0"/>
          <w:bCs/>
          <w:lang w:val="de-DE"/>
        </w:rPr>
        <w:tab/>
        <w:t xml:space="preserve">ECE/TRANS/WP.15/AC.2/2019/32 (EBU </w:t>
      </w:r>
      <w:r w:rsidR="00785275" w:rsidRPr="00AD6C7D">
        <w:rPr>
          <w:b w:val="0"/>
          <w:bCs/>
          <w:lang w:val="de-DE"/>
        </w:rPr>
        <w:t>und</w:t>
      </w:r>
      <w:r w:rsidRPr="00AD6C7D">
        <w:rPr>
          <w:b w:val="0"/>
          <w:bCs/>
          <w:lang w:val="de-DE"/>
        </w:rPr>
        <w:t xml:space="preserve"> ESO)</w:t>
      </w:r>
    </w:p>
    <w:p w14:paraId="5F098D73" w14:textId="4E31120E" w:rsidR="00925F82" w:rsidRPr="00AD6C7D" w:rsidRDefault="00925F82" w:rsidP="00484CDB">
      <w:pPr>
        <w:pStyle w:val="SingleTxtG"/>
        <w:rPr>
          <w:lang w:val="de-DE"/>
        </w:rPr>
      </w:pPr>
      <w:r w:rsidRPr="00AD6C7D">
        <w:rPr>
          <w:lang w:val="de-DE"/>
        </w:rPr>
        <w:t>59.</w:t>
      </w:r>
      <w:r w:rsidRPr="00AD6C7D">
        <w:rPr>
          <w:lang w:val="de-DE"/>
        </w:rPr>
        <w:tab/>
      </w:r>
      <w:r w:rsidR="00D170A3" w:rsidRPr="00AD6C7D">
        <w:rPr>
          <w:lang w:val="de-DE"/>
        </w:rPr>
        <w:t>Zu Vorschlag 1 bestätigte der Sicherheitsausschuss, dass die Angabe „unbeschränkt“ als „1.100.000 kg“ zu interpretieren ist.</w:t>
      </w:r>
      <w:r w:rsidRPr="00AD6C7D">
        <w:rPr>
          <w:lang w:val="de-DE"/>
        </w:rPr>
        <w:t xml:space="preserve"> </w:t>
      </w:r>
      <w:r w:rsidR="00D170A3" w:rsidRPr="00AD6C7D">
        <w:rPr>
          <w:lang w:val="de-DE"/>
        </w:rPr>
        <w:t xml:space="preserve">Die mit Vorschlag 2 </w:t>
      </w:r>
      <w:r w:rsidR="003A60C4" w:rsidRPr="00AD6C7D">
        <w:rPr>
          <w:lang w:val="de-DE"/>
        </w:rPr>
        <w:t>angeregten</w:t>
      </w:r>
      <w:r w:rsidR="00D170A3" w:rsidRPr="00AD6C7D">
        <w:rPr>
          <w:lang w:val="de-DE"/>
        </w:rPr>
        <w:t xml:space="preserve"> Änderungen führten zu einigen </w:t>
      </w:r>
      <w:r w:rsidR="003A60C4" w:rsidRPr="00AD6C7D">
        <w:rPr>
          <w:lang w:val="de-DE"/>
        </w:rPr>
        <w:t xml:space="preserve">Bitten um </w:t>
      </w:r>
      <w:r w:rsidR="00D170A3" w:rsidRPr="00AD6C7D">
        <w:rPr>
          <w:lang w:val="de-DE"/>
        </w:rPr>
        <w:t>Klarstellung</w:t>
      </w:r>
      <w:r w:rsidR="003A60C4" w:rsidRPr="00AD6C7D">
        <w:rPr>
          <w:lang w:val="de-DE"/>
        </w:rPr>
        <w:t>en</w:t>
      </w:r>
      <w:r w:rsidR="00D170A3" w:rsidRPr="00AD6C7D">
        <w:rPr>
          <w:lang w:val="de-DE"/>
        </w:rPr>
        <w:t>.</w:t>
      </w:r>
      <w:r w:rsidRPr="00AD6C7D">
        <w:rPr>
          <w:lang w:val="de-DE"/>
        </w:rPr>
        <w:t xml:space="preserve"> </w:t>
      </w:r>
      <w:r w:rsidR="003A60C4" w:rsidRPr="00AD6C7D">
        <w:rPr>
          <w:lang w:val="de-DE"/>
        </w:rPr>
        <w:t>Der Sicherheitsausschuss vereinbarte, die Prüfung dieser Frage in seiner nächsten Sitzung wieder aufzunehmen, und ersuchte die Vertreter von EBU</w:t>
      </w:r>
      <w:r w:rsidR="00484CDB" w:rsidRPr="00AD6C7D">
        <w:rPr>
          <w:lang w:val="de-DE"/>
        </w:rPr>
        <w:t xml:space="preserve"> und </w:t>
      </w:r>
      <w:r w:rsidR="003A60C4" w:rsidRPr="00AD6C7D">
        <w:rPr>
          <w:lang w:val="de-DE"/>
        </w:rPr>
        <w:t>ESO, den Vorschlag weiter auszuarbeiten.</w:t>
      </w:r>
    </w:p>
    <w:p w14:paraId="0C846001" w14:textId="7177D3C5" w:rsidR="00925F82" w:rsidRPr="00AD6C7D" w:rsidRDefault="00925F82" w:rsidP="003A60C4">
      <w:pPr>
        <w:pStyle w:val="H1G"/>
        <w:ind w:right="992"/>
        <w:rPr>
          <w:sz w:val="20"/>
          <w:lang w:val="de-DE"/>
        </w:rPr>
      </w:pPr>
      <w:r w:rsidRPr="00AD6C7D">
        <w:rPr>
          <w:sz w:val="20"/>
          <w:lang w:val="de-DE"/>
        </w:rPr>
        <w:tab/>
        <w:t>16.</w:t>
      </w:r>
      <w:r w:rsidRPr="00AD6C7D">
        <w:rPr>
          <w:sz w:val="20"/>
          <w:lang w:val="de-DE"/>
        </w:rPr>
        <w:tab/>
      </w:r>
      <w:r w:rsidR="003A60C4" w:rsidRPr="00AD6C7D">
        <w:rPr>
          <w:sz w:val="20"/>
          <w:lang w:val="de-DE"/>
        </w:rPr>
        <w:t>Berichtigungen des Absatzes 9.3.x.12.4 b) (i)</w:t>
      </w:r>
    </w:p>
    <w:p w14:paraId="4D63B711" w14:textId="3531691B" w:rsidR="00925F82" w:rsidRPr="00AD6C7D" w:rsidRDefault="007540AC" w:rsidP="00925F82">
      <w:pPr>
        <w:pStyle w:val="H23G"/>
        <w:tabs>
          <w:tab w:val="left" w:pos="1134"/>
          <w:tab w:val="left" w:pos="3402"/>
        </w:tabs>
        <w:ind w:firstLine="0"/>
        <w:rPr>
          <w:b w:val="0"/>
          <w:bCs/>
          <w:lang w:val="de-DE"/>
        </w:rPr>
      </w:pPr>
      <w:r w:rsidRPr="00AD6C7D">
        <w:rPr>
          <w:b w:val="0"/>
          <w:bCs/>
          <w:i/>
          <w:iCs/>
          <w:lang w:val="de-DE"/>
        </w:rPr>
        <w:t>Informelles Dokument</w:t>
      </w:r>
      <w:r w:rsidR="00925F82" w:rsidRPr="00AD6C7D">
        <w:rPr>
          <w:b w:val="0"/>
          <w:bCs/>
          <w:lang w:val="de-DE"/>
        </w:rPr>
        <w:t>:</w:t>
      </w:r>
      <w:r w:rsidR="00925F82" w:rsidRPr="00AD6C7D">
        <w:rPr>
          <w:b w:val="0"/>
          <w:bCs/>
          <w:lang w:val="de-DE"/>
        </w:rPr>
        <w:tab/>
        <w:t>INF.18 (</w:t>
      </w:r>
      <w:r w:rsidR="00785275" w:rsidRPr="00AD6C7D">
        <w:rPr>
          <w:b w:val="0"/>
          <w:bCs/>
          <w:lang w:val="de-DE"/>
        </w:rPr>
        <w:t>Empfohlene ADN-Klassifikationsgesellschaften</w:t>
      </w:r>
      <w:r w:rsidR="00925F82" w:rsidRPr="00AD6C7D">
        <w:rPr>
          <w:b w:val="0"/>
          <w:bCs/>
          <w:lang w:val="de-DE"/>
        </w:rPr>
        <w:t>)</w:t>
      </w:r>
    </w:p>
    <w:p w14:paraId="0572E391" w14:textId="65385691" w:rsidR="00925F82" w:rsidRPr="00AD6C7D" w:rsidRDefault="00925F82" w:rsidP="00306D74">
      <w:pPr>
        <w:pStyle w:val="SingleTxtG"/>
        <w:rPr>
          <w:lang w:val="de-DE"/>
        </w:rPr>
      </w:pPr>
      <w:r w:rsidRPr="00AD6C7D">
        <w:rPr>
          <w:lang w:val="de-DE"/>
        </w:rPr>
        <w:t>60.</w:t>
      </w:r>
      <w:r w:rsidRPr="00AD6C7D">
        <w:rPr>
          <w:lang w:val="de-DE"/>
        </w:rPr>
        <w:tab/>
      </w:r>
      <w:r w:rsidR="003A60C4" w:rsidRPr="00AD6C7D">
        <w:rPr>
          <w:lang w:val="de-DE"/>
        </w:rPr>
        <w:t xml:space="preserve">Der Sicherheitsausschuss </w:t>
      </w:r>
      <w:r w:rsidR="00C44D43" w:rsidRPr="00AD6C7D">
        <w:rPr>
          <w:lang w:val="de-DE"/>
        </w:rPr>
        <w:t>beriet</w:t>
      </w:r>
      <w:r w:rsidR="003A60C4" w:rsidRPr="00AD6C7D">
        <w:rPr>
          <w:lang w:val="de-DE"/>
        </w:rPr>
        <w:t xml:space="preserve"> die mit dem informellen Dokument INF.18 vorgeschlagenen Korrekturen</w:t>
      </w:r>
      <w:r w:rsidR="00C44D43" w:rsidRPr="00AD6C7D">
        <w:rPr>
          <w:lang w:val="de-DE"/>
        </w:rPr>
        <w:t xml:space="preserve"> und nahm </w:t>
      </w:r>
      <w:r w:rsidR="00306D74" w:rsidRPr="00AD6C7D">
        <w:rPr>
          <w:lang w:val="de-DE"/>
        </w:rPr>
        <w:t>sie</w:t>
      </w:r>
      <w:r w:rsidR="00C44D43" w:rsidRPr="00AD6C7D">
        <w:rPr>
          <w:lang w:val="de-DE"/>
        </w:rPr>
        <w:t xml:space="preserve"> an</w:t>
      </w:r>
      <w:r w:rsidR="003A60C4" w:rsidRPr="00AD6C7D">
        <w:rPr>
          <w:lang w:val="de-DE"/>
        </w:rPr>
        <w:t xml:space="preserve"> (siehe Anlage III).</w:t>
      </w:r>
    </w:p>
    <w:p w14:paraId="2390E3BB" w14:textId="6329278D" w:rsidR="00925F82" w:rsidRPr="00AD6C7D" w:rsidRDefault="00925F82" w:rsidP="00306D74">
      <w:pPr>
        <w:pStyle w:val="H1G"/>
        <w:ind w:right="992"/>
        <w:rPr>
          <w:sz w:val="20"/>
          <w:lang w:val="de-DE"/>
        </w:rPr>
      </w:pPr>
      <w:r w:rsidRPr="00AD6C7D">
        <w:rPr>
          <w:sz w:val="20"/>
          <w:lang w:val="de-DE"/>
        </w:rPr>
        <w:tab/>
        <w:t>17.</w:t>
      </w:r>
      <w:r w:rsidRPr="00AD6C7D">
        <w:rPr>
          <w:sz w:val="20"/>
          <w:lang w:val="de-DE"/>
        </w:rPr>
        <w:tab/>
      </w:r>
      <w:r w:rsidR="00306D74" w:rsidRPr="00AD6C7D">
        <w:rPr>
          <w:sz w:val="20"/>
          <w:lang w:val="de-DE"/>
        </w:rPr>
        <w:t>Berichtigungen der Übergangsbestimmungen zu 9.3.1.17.4 / 9.3.3.17.4 in Absatz 1.6.7.2.2.2</w:t>
      </w:r>
    </w:p>
    <w:p w14:paraId="087D3D4D" w14:textId="14349699" w:rsidR="00925F82" w:rsidRPr="00AD6C7D" w:rsidRDefault="007540AC" w:rsidP="00925F82">
      <w:pPr>
        <w:pStyle w:val="H23G"/>
        <w:tabs>
          <w:tab w:val="left" w:pos="1134"/>
          <w:tab w:val="left" w:pos="3402"/>
        </w:tabs>
        <w:ind w:firstLine="0"/>
        <w:rPr>
          <w:b w:val="0"/>
          <w:bCs/>
          <w:lang w:val="de-DE"/>
        </w:rPr>
      </w:pPr>
      <w:r w:rsidRPr="00AD6C7D">
        <w:rPr>
          <w:b w:val="0"/>
          <w:bCs/>
          <w:i/>
          <w:iCs/>
          <w:lang w:val="de-DE"/>
        </w:rPr>
        <w:t>Informelles Dokument</w:t>
      </w:r>
      <w:r w:rsidR="00925F82" w:rsidRPr="00AD6C7D">
        <w:rPr>
          <w:b w:val="0"/>
          <w:bCs/>
          <w:lang w:val="de-DE"/>
        </w:rPr>
        <w:t>:</w:t>
      </w:r>
      <w:r w:rsidR="00925F82" w:rsidRPr="00AD6C7D">
        <w:rPr>
          <w:b w:val="0"/>
          <w:bCs/>
          <w:lang w:val="de-DE"/>
        </w:rPr>
        <w:tab/>
        <w:t>INF.20 (</w:t>
      </w:r>
      <w:r w:rsidR="006F27E1" w:rsidRPr="00AD6C7D">
        <w:rPr>
          <w:b w:val="0"/>
          <w:bCs/>
          <w:lang w:val="de-DE"/>
        </w:rPr>
        <w:t>Empfohlene ADN-Klassifikationsgesellschaften</w:t>
      </w:r>
      <w:r w:rsidR="00925F82" w:rsidRPr="00AD6C7D">
        <w:rPr>
          <w:b w:val="0"/>
          <w:bCs/>
          <w:lang w:val="de-DE"/>
        </w:rPr>
        <w:t>)</w:t>
      </w:r>
    </w:p>
    <w:p w14:paraId="47A56792" w14:textId="116BAB90" w:rsidR="00925F82" w:rsidRPr="00AD6C7D" w:rsidRDefault="00925F82" w:rsidP="00306D74">
      <w:pPr>
        <w:pStyle w:val="SingleTxtG"/>
        <w:rPr>
          <w:lang w:val="de-DE"/>
        </w:rPr>
      </w:pPr>
      <w:r w:rsidRPr="00AD6C7D">
        <w:rPr>
          <w:lang w:val="de-DE"/>
        </w:rPr>
        <w:t>61.</w:t>
      </w:r>
      <w:r w:rsidRPr="00AD6C7D">
        <w:rPr>
          <w:lang w:val="de-DE"/>
        </w:rPr>
        <w:tab/>
      </w:r>
      <w:r w:rsidR="00306D74" w:rsidRPr="00AD6C7D">
        <w:rPr>
          <w:lang w:val="de-DE"/>
        </w:rPr>
        <w:t>Der Sicherheitsausschuss nahm die im informellen Dokument INF.20 vorgeschlagenen Korrekturen zur Kenntnis und nahm sie an (siehe Anlage II).</w:t>
      </w:r>
    </w:p>
    <w:p w14:paraId="2F833983" w14:textId="00A67437" w:rsidR="00925F82" w:rsidRPr="00AD6C7D" w:rsidRDefault="00925F82" w:rsidP="00925F82">
      <w:pPr>
        <w:pStyle w:val="HChG"/>
        <w:keepNext w:val="0"/>
        <w:keepLines w:val="0"/>
        <w:rPr>
          <w:i/>
          <w:lang w:val="de-DE"/>
        </w:rPr>
      </w:pPr>
      <w:r w:rsidRPr="00AD6C7D">
        <w:rPr>
          <w:lang w:val="de-DE"/>
        </w:rPr>
        <w:tab/>
        <w:t>VII.</w:t>
      </w:r>
      <w:r w:rsidRPr="00AD6C7D">
        <w:rPr>
          <w:lang w:val="de-DE"/>
        </w:rPr>
        <w:tab/>
      </w:r>
      <w:r w:rsidR="0047346C" w:rsidRPr="00AD6C7D">
        <w:rPr>
          <w:lang w:val="de-DE"/>
        </w:rPr>
        <w:t>Berichte informeller Arbeitsgruppen (TOP 5)</w:t>
      </w:r>
    </w:p>
    <w:p w14:paraId="58421887" w14:textId="57C40AFC" w:rsidR="00925F82" w:rsidRPr="00AD6C7D" w:rsidRDefault="00925F82" w:rsidP="00953260">
      <w:pPr>
        <w:pStyle w:val="H1G"/>
        <w:keepNext w:val="0"/>
        <w:keepLines w:val="0"/>
        <w:rPr>
          <w:lang w:val="de-DE"/>
        </w:rPr>
      </w:pPr>
      <w:r w:rsidRPr="00AD6C7D">
        <w:rPr>
          <w:lang w:val="de-DE"/>
        </w:rPr>
        <w:tab/>
        <w:t>A.</w:t>
      </w:r>
      <w:r w:rsidRPr="00AD6C7D">
        <w:rPr>
          <w:lang w:val="de-DE"/>
        </w:rPr>
        <w:tab/>
      </w:r>
      <w:r w:rsidR="00953260" w:rsidRPr="00AD6C7D">
        <w:rPr>
          <w:lang w:val="de-DE"/>
        </w:rPr>
        <w:t>Bericht über die vierte Sitzung der informellen Arbeitsgruppe „Membrantanks“</w:t>
      </w:r>
    </w:p>
    <w:p w14:paraId="7AB3C6E2" w14:textId="2AC3E30E" w:rsidR="00925F82" w:rsidRPr="00AD6C7D" w:rsidRDefault="00925F82" w:rsidP="00925F82">
      <w:pPr>
        <w:pStyle w:val="H23G"/>
        <w:tabs>
          <w:tab w:val="left" w:pos="3402"/>
        </w:tabs>
        <w:ind w:left="3402" w:hanging="2268"/>
        <w:rPr>
          <w:b w:val="0"/>
          <w:bCs/>
          <w:lang w:val="de-DE"/>
        </w:rPr>
      </w:pPr>
      <w:r w:rsidRPr="00AD6C7D">
        <w:rPr>
          <w:b w:val="0"/>
          <w:bCs/>
          <w:i/>
          <w:iCs/>
          <w:lang w:val="de-DE"/>
        </w:rPr>
        <w:t>Do</w:t>
      </w:r>
      <w:r w:rsidR="006F27E1" w:rsidRPr="00AD6C7D">
        <w:rPr>
          <w:b w:val="0"/>
          <w:bCs/>
          <w:i/>
          <w:iCs/>
          <w:lang w:val="de-DE"/>
        </w:rPr>
        <w:t>k</w:t>
      </w:r>
      <w:r w:rsidRPr="00AD6C7D">
        <w:rPr>
          <w:b w:val="0"/>
          <w:bCs/>
          <w:i/>
          <w:iCs/>
          <w:lang w:val="de-DE"/>
        </w:rPr>
        <w:t>ument</w:t>
      </w:r>
      <w:r w:rsidRPr="00AD6C7D">
        <w:rPr>
          <w:b w:val="0"/>
          <w:bCs/>
          <w:lang w:val="de-DE"/>
        </w:rPr>
        <w:t>:</w:t>
      </w:r>
      <w:r w:rsidRPr="00AD6C7D">
        <w:rPr>
          <w:b w:val="0"/>
          <w:bCs/>
          <w:lang w:val="de-DE"/>
        </w:rPr>
        <w:tab/>
        <w:t>ECE/TRANS/WP.15/AC.2/2019/22 (</w:t>
      </w:r>
      <w:r w:rsidR="006F27E1" w:rsidRPr="00AD6C7D">
        <w:rPr>
          <w:b w:val="0"/>
          <w:bCs/>
          <w:lang w:val="de-DE"/>
        </w:rPr>
        <w:t>Frankreich und Niederlande</w:t>
      </w:r>
      <w:r w:rsidRPr="00AD6C7D">
        <w:rPr>
          <w:b w:val="0"/>
          <w:bCs/>
          <w:lang w:val="de-DE"/>
        </w:rPr>
        <w:t>)</w:t>
      </w:r>
    </w:p>
    <w:p w14:paraId="5DE1D61E" w14:textId="0D0AA016" w:rsidR="00925F82" w:rsidRPr="00660988" w:rsidRDefault="00925F82" w:rsidP="00484CDB">
      <w:pPr>
        <w:pStyle w:val="SingleTxtG"/>
        <w:rPr>
          <w:lang w:val="de-DE"/>
        </w:rPr>
      </w:pPr>
      <w:r w:rsidRPr="00AD6C7D">
        <w:rPr>
          <w:lang w:val="de-DE"/>
        </w:rPr>
        <w:t>62.</w:t>
      </w:r>
      <w:r w:rsidRPr="00AD6C7D">
        <w:rPr>
          <w:lang w:val="de-DE"/>
        </w:rPr>
        <w:tab/>
      </w:r>
      <w:r w:rsidR="00953260" w:rsidRPr="00AD6C7D">
        <w:rPr>
          <w:lang w:val="de-DE"/>
        </w:rPr>
        <w:t xml:space="preserve">Der Sicherheitsausschuss begrüßte den Bericht über die vierte Sitzung der informellen Arbeitsgruppe </w:t>
      </w:r>
      <w:r w:rsidR="00E0778A" w:rsidRPr="00AD6C7D">
        <w:rPr>
          <w:lang w:val="de-DE"/>
        </w:rPr>
        <w:t>„</w:t>
      </w:r>
      <w:r w:rsidR="00953260" w:rsidRPr="00AD6C7D">
        <w:rPr>
          <w:lang w:val="de-DE"/>
        </w:rPr>
        <w:t>Membrantanks</w:t>
      </w:r>
      <w:r w:rsidR="00E0778A" w:rsidRPr="00AD6C7D">
        <w:rPr>
          <w:lang w:val="de-DE"/>
        </w:rPr>
        <w:t>“</w:t>
      </w:r>
      <w:r w:rsidR="00953260" w:rsidRPr="00AD6C7D">
        <w:rPr>
          <w:lang w:val="de-DE"/>
        </w:rPr>
        <w:t xml:space="preserve"> (ECE/TRANS/WP.15/AC.2/2019/22) und insbesondere die Informationen in den Absätzen 4 bis 7 des Dokuments über das Be- und Entladen von gekühlten oder verflüssigten Gasen und die erforderlichen künftigen Änderungen </w:t>
      </w:r>
      <w:r w:rsidR="00E0778A" w:rsidRPr="00AD6C7D">
        <w:rPr>
          <w:lang w:val="de-DE"/>
        </w:rPr>
        <w:t>des</w:t>
      </w:r>
      <w:r w:rsidR="00953260" w:rsidRPr="00AD6C7D">
        <w:rPr>
          <w:lang w:val="de-DE"/>
        </w:rPr>
        <w:t xml:space="preserve"> ADN.</w:t>
      </w:r>
      <w:r w:rsidRPr="00AD6C7D">
        <w:rPr>
          <w:lang w:val="de-DE"/>
        </w:rPr>
        <w:t xml:space="preserve"> </w:t>
      </w:r>
      <w:r w:rsidR="00E0778A" w:rsidRPr="00AD6C7D">
        <w:rPr>
          <w:lang w:val="de-DE"/>
        </w:rPr>
        <w:t>Er nahm ferner von einigen Korrektur</w:t>
      </w:r>
      <w:r w:rsidR="00484CDB" w:rsidRPr="00AD6C7D">
        <w:rPr>
          <w:lang w:val="de-DE"/>
        </w:rPr>
        <w:t>hinweis</w:t>
      </w:r>
      <w:r w:rsidR="00E0778A" w:rsidRPr="00AD6C7D">
        <w:rPr>
          <w:lang w:val="de-DE"/>
        </w:rPr>
        <w:t xml:space="preserve">en </w:t>
      </w:r>
      <w:r w:rsidR="00484CDB" w:rsidRPr="00AD6C7D">
        <w:rPr>
          <w:lang w:val="de-DE"/>
        </w:rPr>
        <w:t xml:space="preserve">der </w:t>
      </w:r>
      <w:r w:rsidR="00E0778A" w:rsidRPr="00AD6C7D">
        <w:rPr>
          <w:lang w:val="de-DE"/>
        </w:rPr>
        <w:t xml:space="preserve">informellen Arbeitsgruppe Kenntnis und </w:t>
      </w:r>
      <w:r w:rsidR="000F68D9" w:rsidRPr="00AD6C7D">
        <w:rPr>
          <w:lang w:val="de-DE"/>
        </w:rPr>
        <w:t>stellte fest</w:t>
      </w:r>
      <w:r w:rsidR="00E0778A" w:rsidRPr="00AD6C7D">
        <w:rPr>
          <w:lang w:val="de-DE"/>
        </w:rPr>
        <w:t xml:space="preserve">, dass die nächste </w:t>
      </w:r>
      <w:r w:rsidR="00484CDB" w:rsidRPr="00AD6C7D">
        <w:rPr>
          <w:lang w:val="de-DE"/>
        </w:rPr>
        <w:t>Sitzung</w:t>
      </w:r>
      <w:r w:rsidR="00E0778A" w:rsidRPr="00AD6C7D">
        <w:rPr>
          <w:lang w:val="de-DE"/>
        </w:rPr>
        <w:t xml:space="preserve"> </w:t>
      </w:r>
      <w:r w:rsidR="000F68D9" w:rsidRPr="00AD6C7D">
        <w:rPr>
          <w:lang w:val="de-DE"/>
        </w:rPr>
        <w:t xml:space="preserve">voraussichtlich </w:t>
      </w:r>
      <w:r w:rsidR="00E0778A" w:rsidRPr="00AD6C7D">
        <w:rPr>
          <w:lang w:val="de-DE"/>
        </w:rPr>
        <w:t>am 1. und 2. Oktober 2019 in Brüssel stattfinde</w:t>
      </w:r>
      <w:r w:rsidR="000F68D9" w:rsidRPr="00AD6C7D">
        <w:rPr>
          <w:lang w:val="de-DE"/>
        </w:rPr>
        <w:t>t</w:t>
      </w:r>
      <w:r w:rsidR="00E0778A" w:rsidRPr="00AD6C7D">
        <w:rPr>
          <w:lang w:val="de-DE"/>
        </w:rPr>
        <w:t>.</w:t>
      </w:r>
    </w:p>
    <w:p w14:paraId="3BE02D37" w14:textId="2291F825" w:rsidR="00925F82" w:rsidRPr="00AD6C7D" w:rsidRDefault="00925F82" w:rsidP="00484CDB">
      <w:pPr>
        <w:pStyle w:val="SingleTxtG"/>
        <w:rPr>
          <w:lang w:val="de-DE"/>
        </w:rPr>
      </w:pPr>
      <w:r w:rsidRPr="00AD6C7D">
        <w:rPr>
          <w:lang w:val="de-DE"/>
        </w:rPr>
        <w:t>63.</w:t>
      </w:r>
      <w:r w:rsidRPr="00AD6C7D">
        <w:rPr>
          <w:lang w:val="de-DE"/>
        </w:rPr>
        <w:tab/>
      </w:r>
      <w:r w:rsidR="00E0778A" w:rsidRPr="00AD6C7D">
        <w:rPr>
          <w:lang w:val="de-DE"/>
        </w:rPr>
        <w:t xml:space="preserve">Der Vorsitzende der informellen Arbeitsgruppe </w:t>
      </w:r>
      <w:r w:rsidR="00C77CD5" w:rsidRPr="00AD6C7D">
        <w:rPr>
          <w:lang w:val="de-DE"/>
        </w:rPr>
        <w:t>„</w:t>
      </w:r>
      <w:r w:rsidR="00E0778A" w:rsidRPr="00AD6C7D">
        <w:rPr>
          <w:lang w:val="de-DE"/>
        </w:rPr>
        <w:t>Stoffe</w:t>
      </w:r>
      <w:r w:rsidR="00C77CD5" w:rsidRPr="00AD6C7D">
        <w:rPr>
          <w:lang w:val="de-DE"/>
        </w:rPr>
        <w:t>“</w:t>
      </w:r>
      <w:r w:rsidR="00E0778A" w:rsidRPr="00AD6C7D">
        <w:rPr>
          <w:lang w:val="de-DE"/>
        </w:rPr>
        <w:t xml:space="preserve"> (siehe informelles Dokument INF.7, Abschnitt J) wies darauf hin, dass seine Gruppe sich mit den 16 ursprünglich ausgewählten UN-Nummern befass</w:t>
      </w:r>
      <w:r w:rsidR="00E91EAC" w:rsidRPr="00AD6C7D">
        <w:rPr>
          <w:lang w:val="de-DE"/>
        </w:rPr>
        <w:t>t</w:t>
      </w:r>
      <w:r w:rsidR="00E0778A" w:rsidRPr="00AD6C7D">
        <w:rPr>
          <w:lang w:val="de-DE"/>
        </w:rPr>
        <w:t xml:space="preserve"> und </w:t>
      </w:r>
      <w:r w:rsidR="00E91EAC" w:rsidRPr="00AD6C7D">
        <w:rPr>
          <w:lang w:val="de-DE"/>
        </w:rPr>
        <w:t>ge</w:t>
      </w:r>
      <w:r w:rsidR="00E0778A" w:rsidRPr="00AD6C7D">
        <w:rPr>
          <w:lang w:val="de-DE"/>
        </w:rPr>
        <w:t>prüf</w:t>
      </w:r>
      <w:r w:rsidR="00E91EAC" w:rsidRPr="00AD6C7D">
        <w:rPr>
          <w:lang w:val="de-DE"/>
        </w:rPr>
        <w:t>t hab</w:t>
      </w:r>
      <w:r w:rsidR="00E0778A" w:rsidRPr="00AD6C7D">
        <w:rPr>
          <w:lang w:val="de-DE"/>
        </w:rPr>
        <w:t xml:space="preserve">e, ob die besonderen Anforderungen des IGC-Codes widersprüchliche oder zusätzliche Anforderungen </w:t>
      </w:r>
      <w:r w:rsidR="00C77CD5" w:rsidRPr="00AD6C7D">
        <w:rPr>
          <w:lang w:val="de-DE"/>
        </w:rPr>
        <w:t>an</w:t>
      </w:r>
      <w:r w:rsidR="00E0778A" w:rsidRPr="00AD6C7D">
        <w:rPr>
          <w:lang w:val="de-DE"/>
        </w:rPr>
        <w:t xml:space="preserve"> die Beförderung auf Binnen</w:t>
      </w:r>
      <w:r w:rsidR="00C77CD5" w:rsidRPr="00AD6C7D">
        <w:rPr>
          <w:lang w:val="de-DE"/>
        </w:rPr>
        <w:t>tank</w:t>
      </w:r>
      <w:r w:rsidR="00E0778A" w:rsidRPr="00AD6C7D">
        <w:rPr>
          <w:lang w:val="de-DE"/>
        </w:rPr>
        <w:t>schiffen im Vergleich zum ADN stellen.</w:t>
      </w:r>
      <w:r w:rsidRPr="00AD6C7D">
        <w:rPr>
          <w:lang w:val="de-DE"/>
        </w:rPr>
        <w:t xml:space="preserve"> </w:t>
      </w:r>
      <w:r w:rsidR="00C77CD5" w:rsidRPr="00AD6C7D">
        <w:rPr>
          <w:lang w:val="de-DE"/>
        </w:rPr>
        <w:t>Er fügte hinzu, dass seine Gruppe zu folgenden Schlussfolgerungen gelangt sei:</w:t>
      </w:r>
    </w:p>
    <w:p w14:paraId="22337B89" w14:textId="3FD00A4D" w:rsidR="00925F82" w:rsidRPr="00AD6C7D" w:rsidRDefault="00925F82" w:rsidP="00484CDB">
      <w:pPr>
        <w:pStyle w:val="SingleTxtG"/>
        <w:ind w:left="1701" w:hanging="567"/>
        <w:rPr>
          <w:lang w:val="de-DE"/>
        </w:rPr>
      </w:pPr>
      <w:r w:rsidRPr="00AD6C7D">
        <w:rPr>
          <w:lang w:val="de-DE"/>
        </w:rPr>
        <w:tab/>
      </w:r>
      <w:r w:rsidR="00E91EAC" w:rsidRPr="00AD6C7D">
        <w:rPr>
          <w:lang w:val="de-DE"/>
        </w:rPr>
        <w:t>(i)</w:t>
      </w:r>
      <w:r w:rsidRPr="00AD6C7D">
        <w:rPr>
          <w:lang w:val="de-DE"/>
        </w:rPr>
        <w:tab/>
      </w:r>
      <w:r w:rsidR="00BA69BC" w:rsidRPr="00AD6C7D">
        <w:rPr>
          <w:lang w:val="de-DE"/>
        </w:rPr>
        <w:t>Da die Beförderung in teils gekühlten G-Schiffen aller relevanten Stoffe im ADN bereits geregelt ist, gibt es nach Ansicht der informellen Arbeitsgruppe „Stoffe“ keine neuen oder geänderten Anforderungen an die persönliche Schutzausrüstung;</w:t>
      </w:r>
      <w:r w:rsidRPr="00AD6C7D">
        <w:rPr>
          <w:lang w:val="de-DE"/>
        </w:rPr>
        <w:t xml:space="preserve"> </w:t>
      </w:r>
    </w:p>
    <w:p w14:paraId="2C170778" w14:textId="2894F5F5" w:rsidR="00925F82" w:rsidRPr="00AD6C7D" w:rsidRDefault="00925F82" w:rsidP="00287D7E">
      <w:pPr>
        <w:pStyle w:val="SingleTxtG"/>
        <w:ind w:left="1701" w:hanging="567"/>
        <w:rPr>
          <w:lang w:val="de-DE"/>
        </w:rPr>
      </w:pPr>
      <w:r w:rsidRPr="00AD6C7D">
        <w:rPr>
          <w:lang w:val="de-DE"/>
        </w:rPr>
        <w:tab/>
      </w:r>
      <w:r w:rsidR="00BA69BC" w:rsidRPr="00AD6C7D">
        <w:rPr>
          <w:lang w:val="de-DE"/>
        </w:rPr>
        <w:t>(ii)</w:t>
      </w:r>
      <w:r w:rsidRPr="00AD6C7D">
        <w:rPr>
          <w:lang w:val="de-DE"/>
        </w:rPr>
        <w:tab/>
      </w:r>
      <w:r w:rsidR="00BA69BC" w:rsidRPr="00AD6C7D">
        <w:rPr>
          <w:lang w:val="de-DE"/>
        </w:rPr>
        <w:t>Nach Auffassung der informellen Arbeitsgruppe „Stoffe“ deuten die im IGC-Code enthaltenen besonderen Anforderungen an UN-Nr. 2187 Kohlendioxid, tiefgekühlt, flüssig (beide Einträge) auf die Beförderung in einem Drucktank hin.</w:t>
      </w:r>
      <w:r w:rsidRPr="00AD6C7D">
        <w:rPr>
          <w:lang w:val="de-DE"/>
        </w:rPr>
        <w:t xml:space="preserve"> </w:t>
      </w:r>
      <w:r w:rsidR="00BA69BC" w:rsidRPr="00AD6C7D">
        <w:rPr>
          <w:lang w:val="de-DE"/>
        </w:rPr>
        <w:t xml:space="preserve">Vor diesem Hintergrund </w:t>
      </w:r>
      <w:r w:rsidR="00484CDB" w:rsidRPr="00AD6C7D">
        <w:rPr>
          <w:lang w:val="de-DE"/>
        </w:rPr>
        <w:t>wird</w:t>
      </w:r>
      <w:r w:rsidR="00BA69BC" w:rsidRPr="00AD6C7D">
        <w:rPr>
          <w:lang w:val="de-DE"/>
        </w:rPr>
        <w:t xml:space="preserve"> empf</w:t>
      </w:r>
      <w:r w:rsidR="00484CDB" w:rsidRPr="00AD6C7D">
        <w:rPr>
          <w:lang w:val="de-DE"/>
        </w:rPr>
        <w:t>o</w:t>
      </w:r>
      <w:r w:rsidR="00BA69BC" w:rsidRPr="00AD6C7D">
        <w:rPr>
          <w:lang w:val="de-DE"/>
        </w:rPr>
        <w:t xml:space="preserve">hlen, dass die informelle Arbeitsgruppe „Membrantanks“ erneut prüft, ob </w:t>
      </w:r>
      <w:r w:rsidR="00547B6C" w:rsidRPr="00AD6C7D">
        <w:rPr>
          <w:lang w:val="de-DE"/>
        </w:rPr>
        <w:t>eine</w:t>
      </w:r>
      <w:r w:rsidR="00BA69BC" w:rsidRPr="00AD6C7D">
        <w:rPr>
          <w:lang w:val="de-DE"/>
        </w:rPr>
        <w:t xml:space="preserve"> Beförderung i</w:t>
      </w:r>
      <w:r w:rsidR="00287D7E" w:rsidRPr="00AD6C7D">
        <w:rPr>
          <w:lang w:val="de-DE"/>
        </w:rPr>
        <w:t>m</w:t>
      </w:r>
      <w:r w:rsidR="00BA69BC" w:rsidRPr="00AD6C7D">
        <w:rPr>
          <w:lang w:val="de-DE"/>
        </w:rPr>
        <w:t xml:space="preserve"> Membrantank vorgeschrieben werden sollte.</w:t>
      </w:r>
    </w:p>
    <w:p w14:paraId="0A865220" w14:textId="75AC7E49" w:rsidR="00925F82" w:rsidRPr="00AD6C7D" w:rsidRDefault="00925F82" w:rsidP="00287D7E">
      <w:pPr>
        <w:pStyle w:val="SingleTxtG"/>
        <w:ind w:left="1701" w:hanging="567"/>
        <w:rPr>
          <w:lang w:val="de-DE"/>
        </w:rPr>
      </w:pPr>
      <w:r w:rsidRPr="00AD6C7D">
        <w:rPr>
          <w:lang w:val="de-DE"/>
        </w:rPr>
        <w:lastRenderedPageBreak/>
        <w:tab/>
      </w:r>
      <w:r w:rsidR="00BA69BC" w:rsidRPr="00AD6C7D">
        <w:rPr>
          <w:lang w:val="de-DE"/>
        </w:rPr>
        <w:t>(iii)</w:t>
      </w:r>
      <w:r w:rsidRPr="00AD6C7D">
        <w:rPr>
          <w:lang w:val="de-DE"/>
        </w:rPr>
        <w:tab/>
      </w:r>
      <w:r w:rsidR="00BA69BC" w:rsidRPr="00AD6C7D">
        <w:rPr>
          <w:lang w:val="de-DE"/>
        </w:rPr>
        <w:t xml:space="preserve">Die Diskussion in der informellen Arbeitsgruppe „Stoffe“ konnte keine endgültige Klarheit darüber schaffen, ob Membrantanks der Definition eines unabhängigen Ladetanks, wie sie </w:t>
      </w:r>
      <w:r w:rsidR="003C4730" w:rsidRPr="00AD6C7D">
        <w:rPr>
          <w:lang w:val="de-DE"/>
        </w:rPr>
        <w:t xml:space="preserve">im IGC-Code </w:t>
      </w:r>
      <w:r w:rsidR="00BA69BC" w:rsidRPr="00AD6C7D">
        <w:rPr>
          <w:lang w:val="de-DE"/>
        </w:rPr>
        <w:t>in einigen Fällen gefordert wird, in allen Fällen vollständig entsprechen.</w:t>
      </w:r>
      <w:r w:rsidRPr="00AD6C7D">
        <w:rPr>
          <w:lang w:val="de-DE"/>
        </w:rPr>
        <w:t xml:space="preserve"> </w:t>
      </w:r>
      <w:r w:rsidR="003C4730" w:rsidRPr="00AD6C7D">
        <w:rPr>
          <w:lang w:val="de-DE"/>
        </w:rPr>
        <w:t>Die informelle Arbeitsgruppe „Stoffe“ empfiehlt, dieses Thema von der informellen Arbeitsgruppe „Membrantanks“ erneut prüfen zu lassen.</w:t>
      </w:r>
      <w:r w:rsidRPr="00AD6C7D">
        <w:rPr>
          <w:lang w:val="de-DE"/>
        </w:rPr>
        <w:t xml:space="preserve"> </w:t>
      </w:r>
      <w:r w:rsidR="003C4730" w:rsidRPr="00AD6C7D">
        <w:rPr>
          <w:lang w:val="de-DE"/>
        </w:rPr>
        <w:t xml:space="preserve">Die Ergebnisse sollten im ADN </w:t>
      </w:r>
      <w:r w:rsidR="00287D7E" w:rsidRPr="00AD6C7D">
        <w:rPr>
          <w:lang w:val="de-DE"/>
        </w:rPr>
        <w:t>im Rahmen</w:t>
      </w:r>
      <w:r w:rsidR="003C4730" w:rsidRPr="00AD6C7D">
        <w:rPr>
          <w:lang w:val="de-DE"/>
        </w:rPr>
        <w:t xml:space="preserve"> der Definition des neuen Tanktyps für Membrantanks berücksichtigt werden;</w:t>
      </w:r>
    </w:p>
    <w:p w14:paraId="5E094CB2" w14:textId="0B24CE14" w:rsidR="00925F82" w:rsidRPr="00AD6C7D" w:rsidRDefault="00925F82" w:rsidP="00287D7E">
      <w:pPr>
        <w:pStyle w:val="SingleTxtG"/>
        <w:ind w:left="1701" w:hanging="567"/>
        <w:rPr>
          <w:lang w:val="de-DE"/>
        </w:rPr>
      </w:pPr>
      <w:r w:rsidRPr="00AD6C7D">
        <w:rPr>
          <w:lang w:val="de-DE"/>
        </w:rPr>
        <w:tab/>
      </w:r>
      <w:r w:rsidR="00287D7E" w:rsidRPr="00AD6C7D">
        <w:rPr>
          <w:lang w:val="de-DE"/>
        </w:rPr>
        <w:t>(iv)</w:t>
      </w:r>
      <w:r w:rsidRPr="00AD6C7D">
        <w:rPr>
          <w:lang w:val="de-DE"/>
        </w:rPr>
        <w:tab/>
      </w:r>
      <w:r w:rsidR="00B051DB" w:rsidRPr="00AD6C7D">
        <w:rPr>
          <w:lang w:val="de-DE"/>
        </w:rPr>
        <w:t xml:space="preserve">Die informelle Arbeitsgruppe </w:t>
      </w:r>
      <w:r w:rsidR="00331739" w:rsidRPr="00AD6C7D">
        <w:rPr>
          <w:lang w:val="de-DE"/>
        </w:rPr>
        <w:t>„</w:t>
      </w:r>
      <w:r w:rsidR="00B051DB" w:rsidRPr="00AD6C7D">
        <w:rPr>
          <w:lang w:val="de-DE"/>
        </w:rPr>
        <w:t>Stoffe</w:t>
      </w:r>
      <w:r w:rsidR="00331739" w:rsidRPr="00AD6C7D">
        <w:rPr>
          <w:lang w:val="de-DE"/>
        </w:rPr>
        <w:t>“</w:t>
      </w:r>
      <w:r w:rsidR="00B051DB" w:rsidRPr="00AD6C7D">
        <w:rPr>
          <w:lang w:val="de-DE"/>
        </w:rPr>
        <w:t xml:space="preserve"> </w:t>
      </w:r>
      <w:r w:rsidR="00F163B9" w:rsidRPr="00AD6C7D">
        <w:rPr>
          <w:lang w:val="de-DE"/>
        </w:rPr>
        <w:t>weist</w:t>
      </w:r>
      <w:r w:rsidR="00B051DB" w:rsidRPr="00AD6C7D">
        <w:rPr>
          <w:lang w:val="de-DE"/>
        </w:rPr>
        <w:t xml:space="preserve"> vorsorglich auch darauf hin, dass bei der Entwicklung der Anforderungen an die Beförderung in Membrantanks</w:t>
      </w:r>
      <w:r w:rsidR="00331739" w:rsidRPr="00AD6C7D">
        <w:rPr>
          <w:lang w:val="de-DE"/>
        </w:rPr>
        <w:t xml:space="preserve"> darauf zu achten ist, dass</w:t>
      </w:r>
      <w:r w:rsidR="00B051DB" w:rsidRPr="00AD6C7D">
        <w:rPr>
          <w:lang w:val="de-DE"/>
        </w:rPr>
        <w:t xml:space="preserve"> diese den Anforderungen </w:t>
      </w:r>
      <w:r w:rsidR="00331739" w:rsidRPr="00AD6C7D">
        <w:rPr>
          <w:lang w:val="de-DE"/>
        </w:rPr>
        <w:t>des</w:t>
      </w:r>
      <w:r w:rsidR="00B051DB" w:rsidRPr="00AD6C7D">
        <w:rPr>
          <w:lang w:val="de-DE"/>
        </w:rPr>
        <w:t xml:space="preserve"> neuen Explosionsschutzkonzept</w:t>
      </w:r>
      <w:r w:rsidR="00331739" w:rsidRPr="00AD6C7D">
        <w:rPr>
          <w:lang w:val="de-DE"/>
        </w:rPr>
        <w:t>s</w:t>
      </w:r>
      <w:r w:rsidR="00B051DB" w:rsidRPr="00AD6C7D">
        <w:rPr>
          <w:lang w:val="de-DE"/>
        </w:rPr>
        <w:t xml:space="preserve">, insbesondere im Hinblick auf autonome Schutzsysteme, </w:t>
      </w:r>
      <w:r w:rsidR="00287D7E" w:rsidRPr="00AD6C7D">
        <w:rPr>
          <w:lang w:val="de-DE"/>
        </w:rPr>
        <w:t>genügen</w:t>
      </w:r>
      <w:r w:rsidR="00331739" w:rsidRPr="00AD6C7D">
        <w:rPr>
          <w:lang w:val="de-DE"/>
        </w:rPr>
        <w:t xml:space="preserve"> und mit ihnen vereinbar</w:t>
      </w:r>
      <w:r w:rsidR="00B051DB" w:rsidRPr="00AD6C7D">
        <w:rPr>
          <w:lang w:val="de-DE"/>
        </w:rPr>
        <w:t xml:space="preserve"> sein müssen.</w:t>
      </w:r>
    </w:p>
    <w:p w14:paraId="25D035E9" w14:textId="4456E3CE" w:rsidR="00925F82" w:rsidRPr="00AD6C7D" w:rsidRDefault="00925F82" w:rsidP="00287D7E">
      <w:pPr>
        <w:pStyle w:val="SingleTxtG"/>
        <w:rPr>
          <w:lang w:val="de-DE"/>
        </w:rPr>
      </w:pPr>
      <w:r w:rsidRPr="00AD6C7D">
        <w:rPr>
          <w:lang w:val="de-DE"/>
        </w:rPr>
        <w:t>64.</w:t>
      </w:r>
      <w:r w:rsidRPr="00AD6C7D">
        <w:rPr>
          <w:lang w:val="de-DE"/>
        </w:rPr>
        <w:tab/>
      </w:r>
      <w:r w:rsidR="00331739" w:rsidRPr="00AD6C7D">
        <w:rPr>
          <w:lang w:val="de-DE"/>
        </w:rPr>
        <w:t>Der Vorsitzende der informellen Arbeitsgruppe „Stoffe“ schloss mit folgenden Empfehlungen:</w:t>
      </w:r>
    </w:p>
    <w:p w14:paraId="6D16277B" w14:textId="629ECBF5" w:rsidR="00287D7E" w:rsidRPr="00AD6C7D" w:rsidRDefault="00287D7E" w:rsidP="00287D7E">
      <w:pPr>
        <w:pStyle w:val="SingleTxtG"/>
        <w:numPr>
          <w:ilvl w:val="0"/>
          <w:numId w:val="18"/>
        </w:numPr>
        <w:ind w:left="1701" w:hanging="283"/>
        <w:rPr>
          <w:lang w:val="de-DE"/>
        </w:rPr>
      </w:pPr>
      <w:r w:rsidRPr="00AD6C7D">
        <w:rPr>
          <w:lang w:val="de-DE"/>
        </w:rPr>
        <w:t>In Verbindung mit dem Entscheidungsdiagramm und den Klassifizierungskriterien für Stoffe sollten Stoffe, die für die Beförderung in Membrantanks vorgesehen sind, zunächst als separate Liste aufgenommen werden;</w:t>
      </w:r>
    </w:p>
    <w:p w14:paraId="21DBC7A5" w14:textId="66EC0CAE" w:rsidR="00287D7E" w:rsidRPr="00AD6C7D" w:rsidRDefault="00287D7E" w:rsidP="00287D7E">
      <w:pPr>
        <w:pStyle w:val="SingleTxtG"/>
        <w:numPr>
          <w:ilvl w:val="0"/>
          <w:numId w:val="18"/>
        </w:numPr>
        <w:ind w:left="1701" w:hanging="283"/>
        <w:rPr>
          <w:bCs/>
          <w:lang w:val="de-DE"/>
        </w:rPr>
      </w:pPr>
      <w:r w:rsidRPr="00AD6C7D">
        <w:rPr>
          <w:bCs/>
          <w:lang w:val="de-DE"/>
        </w:rPr>
        <w:t>Entsprechend der vorgenannten Liste sollten dann in Tabelle C weitere neue Zeilen eingefügt werden.</w:t>
      </w:r>
    </w:p>
    <w:p w14:paraId="00BAD4A4" w14:textId="79193B36" w:rsidR="00925F82" w:rsidRPr="00AD6C7D" w:rsidRDefault="00925F82" w:rsidP="00287D7E">
      <w:pPr>
        <w:pStyle w:val="SingleTxtG"/>
        <w:rPr>
          <w:bCs/>
          <w:lang w:val="de-DE"/>
        </w:rPr>
      </w:pPr>
      <w:r w:rsidRPr="00AD6C7D">
        <w:rPr>
          <w:lang w:val="de-DE"/>
        </w:rPr>
        <w:t>65.</w:t>
      </w:r>
      <w:r w:rsidRPr="00AD6C7D">
        <w:rPr>
          <w:lang w:val="de-DE"/>
        </w:rPr>
        <w:tab/>
      </w:r>
      <w:r w:rsidR="002275EB" w:rsidRPr="00AD6C7D">
        <w:rPr>
          <w:lang w:val="de-DE"/>
        </w:rPr>
        <w:t>Der Sicherheitsausschuss befürwortete diesen Ansatz und ersuchte die informelle Arbeitsgruppe „Membrantanks“, die Bestimmungen für die Beförderung in Membrantanks Schritt für Schritt auszuarbeiten.</w:t>
      </w:r>
      <w:r w:rsidRPr="00AD6C7D">
        <w:rPr>
          <w:lang w:val="de-DE"/>
        </w:rPr>
        <w:t xml:space="preserve"> </w:t>
      </w:r>
    </w:p>
    <w:p w14:paraId="1A7C4596" w14:textId="4B03352A" w:rsidR="00925F82" w:rsidRPr="00AD6C7D" w:rsidRDefault="00925F82" w:rsidP="00660988">
      <w:pPr>
        <w:pStyle w:val="H1G"/>
        <w:keepNext w:val="0"/>
        <w:keepLines w:val="0"/>
        <w:spacing w:before="240"/>
        <w:rPr>
          <w:lang w:val="de-DE"/>
        </w:rPr>
      </w:pPr>
      <w:r w:rsidRPr="00AD6C7D">
        <w:rPr>
          <w:lang w:val="de-DE"/>
        </w:rPr>
        <w:tab/>
      </w:r>
      <w:r w:rsidR="000F0154" w:rsidRPr="00AD6C7D">
        <w:rPr>
          <w:lang w:val="de-DE"/>
        </w:rPr>
        <w:t>B.</w:t>
      </w:r>
      <w:r w:rsidRPr="00AD6C7D">
        <w:rPr>
          <w:lang w:val="de-DE"/>
        </w:rPr>
        <w:tab/>
      </w:r>
      <w:r w:rsidR="000F0154" w:rsidRPr="00AD6C7D">
        <w:rPr>
          <w:lang w:val="de-DE"/>
        </w:rPr>
        <w:t>Bericht über die dritte Sitzung der informellen Arbeitsgruppe „Load-on-Top in Binnenschiffen“</w:t>
      </w:r>
    </w:p>
    <w:p w14:paraId="2C865334" w14:textId="122A3DDE" w:rsidR="00925F82" w:rsidRPr="00AD6C7D" w:rsidRDefault="007540AC" w:rsidP="00925F82">
      <w:pPr>
        <w:pStyle w:val="H23G"/>
        <w:tabs>
          <w:tab w:val="left" w:pos="1134"/>
          <w:tab w:val="left" w:pos="3402"/>
        </w:tabs>
        <w:ind w:firstLine="0"/>
        <w:rPr>
          <w:b w:val="0"/>
          <w:bCs/>
          <w:lang w:val="de-DE"/>
        </w:rPr>
      </w:pPr>
      <w:r w:rsidRPr="00AD6C7D">
        <w:rPr>
          <w:b w:val="0"/>
          <w:bCs/>
          <w:i/>
          <w:iCs/>
          <w:lang w:val="de-DE"/>
        </w:rPr>
        <w:t>Informelles Dokument</w:t>
      </w:r>
      <w:r w:rsidR="00925F82" w:rsidRPr="00AD6C7D">
        <w:rPr>
          <w:b w:val="0"/>
          <w:bCs/>
          <w:lang w:val="de-DE"/>
        </w:rPr>
        <w:t>:</w:t>
      </w:r>
      <w:r w:rsidR="00925F82" w:rsidRPr="00AD6C7D">
        <w:rPr>
          <w:b w:val="0"/>
          <w:bCs/>
          <w:lang w:val="de-DE"/>
        </w:rPr>
        <w:tab/>
        <w:t>INF.5 (</w:t>
      </w:r>
      <w:r w:rsidR="00332C9D" w:rsidRPr="00AD6C7D">
        <w:rPr>
          <w:b w:val="0"/>
          <w:bCs/>
          <w:lang w:val="de-DE"/>
        </w:rPr>
        <w:t>Vorsitz</w:t>
      </w:r>
      <w:r w:rsidR="00925F82" w:rsidRPr="00AD6C7D">
        <w:rPr>
          <w:b w:val="0"/>
          <w:bCs/>
          <w:lang w:val="de-DE"/>
        </w:rPr>
        <w:t xml:space="preserve"> </w:t>
      </w:r>
      <w:r w:rsidR="00332C9D" w:rsidRPr="00AD6C7D">
        <w:rPr>
          <w:b w:val="0"/>
          <w:bCs/>
          <w:lang w:val="de-DE"/>
        </w:rPr>
        <w:t>der</w:t>
      </w:r>
      <w:r w:rsidR="00925F82" w:rsidRPr="00AD6C7D">
        <w:rPr>
          <w:b w:val="0"/>
          <w:bCs/>
          <w:lang w:val="de-DE"/>
        </w:rPr>
        <w:t xml:space="preserve"> inform</w:t>
      </w:r>
      <w:r w:rsidR="00332C9D" w:rsidRPr="00AD6C7D">
        <w:rPr>
          <w:b w:val="0"/>
          <w:bCs/>
          <w:lang w:val="de-DE"/>
        </w:rPr>
        <w:t>e</w:t>
      </w:r>
      <w:r w:rsidR="00925F82" w:rsidRPr="00AD6C7D">
        <w:rPr>
          <w:b w:val="0"/>
          <w:bCs/>
          <w:lang w:val="de-DE"/>
        </w:rPr>
        <w:t>l</w:t>
      </w:r>
      <w:r w:rsidR="00332C9D" w:rsidRPr="00AD6C7D">
        <w:rPr>
          <w:b w:val="0"/>
          <w:bCs/>
          <w:lang w:val="de-DE"/>
        </w:rPr>
        <w:t>len</w:t>
      </w:r>
      <w:r w:rsidR="00925F82" w:rsidRPr="00AD6C7D">
        <w:rPr>
          <w:b w:val="0"/>
          <w:bCs/>
          <w:lang w:val="de-DE"/>
        </w:rPr>
        <w:t xml:space="preserve"> </w:t>
      </w:r>
      <w:r w:rsidR="00332C9D" w:rsidRPr="00AD6C7D">
        <w:rPr>
          <w:b w:val="0"/>
          <w:bCs/>
          <w:lang w:val="de-DE"/>
        </w:rPr>
        <w:t>Arbeitsgruppe</w:t>
      </w:r>
      <w:r w:rsidR="00925F82" w:rsidRPr="00AD6C7D">
        <w:rPr>
          <w:b w:val="0"/>
          <w:bCs/>
          <w:lang w:val="de-DE"/>
        </w:rPr>
        <w:t>)</w:t>
      </w:r>
    </w:p>
    <w:p w14:paraId="3832AA5A" w14:textId="2CF4DD4B" w:rsidR="00925F82" w:rsidRPr="00AD6C7D" w:rsidRDefault="00925F82" w:rsidP="00287D7E">
      <w:pPr>
        <w:pStyle w:val="SingleTxtG"/>
        <w:rPr>
          <w:lang w:val="de-DE"/>
        </w:rPr>
      </w:pPr>
      <w:r w:rsidRPr="00AD6C7D">
        <w:rPr>
          <w:lang w:val="de-DE"/>
        </w:rPr>
        <w:t>66.</w:t>
      </w:r>
      <w:r w:rsidRPr="00AD6C7D">
        <w:rPr>
          <w:lang w:val="de-DE"/>
        </w:rPr>
        <w:tab/>
      </w:r>
      <w:r w:rsidR="00332C9D" w:rsidRPr="00AD6C7D">
        <w:rPr>
          <w:lang w:val="de-DE"/>
        </w:rPr>
        <w:t xml:space="preserve">Der Vorsitzende der informellen Arbeitsgruppe erinnerte an das Mandat der Gruppe und berichtete über </w:t>
      </w:r>
      <w:r w:rsidR="00287D7E" w:rsidRPr="00AD6C7D">
        <w:rPr>
          <w:lang w:val="de-DE"/>
        </w:rPr>
        <w:t>den unbefriedigenden Ausgang</w:t>
      </w:r>
      <w:r w:rsidR="00332C9D" w:rsidRPr="00AD6C7D">
        <w:rPr>
          <w:lang w:val="de-DE"/>
        </w:rPr>
        <w:t xml:space="preserve"> ihrer Sitzung vom 15. Mai 2019 in Straßburg, </w:t>
      </w:r>
      <w:r w:rsidR="00287D7E" w:rsidRPr="00AD6C7D">
        <w:rPr>
          <w:lang w:val="de-DE"/>
        </w:rPr>
        <w:t>der</w:t>
      </w:r>
      <w:r w:rsidR="00332C9D" w:rsidRPr="00AD6C7D">
        <w:rPr>
          <w:lang w:val="de-DE"/>
        </w:rPr>
        <w:t xml:space="preserve"> </w:t>
      </w:r>
      <w:r w:rsidR="00287D7E" w:rsidRPr="00AD6C7D">
        <w:rPr>
          <w:lang w:val="de-DE"/>
        </w:rPr>
        <w:t>insbesondere dem Mangel an</w:t>
      </w:r>
      <w:r w:rsidR="00332C9D" w:rsidRPr="00AD6C7D">
        <w:rPr>
          <w:lang w:val="de-DE"/>
        </w:rPr>
        <w:t xml:space="preserve"> konkreten Beispiele</w:t>
      </w:r>
      <w:r w:rsidR="00287D7E" w:rsidRPr="00AD6C7D">
        <w:rPr>
          <w:lang w:val="de-DE"/>
        </w:rPr>
        <w:t>n</w:t>
      </w:r>
      <w:r w:rsidR="00332C9D" w:rsidRPr="00AD6C7D">
        <w:rPr>
          <w:lang w:val="de-DE"/>
        </w:rPr>
        <w:t xml:space="preserve"> für Load-on-Top gleicher Ladung </w:t>
      </w:r>
      <w:r w:rsidR="00287D7E" w:rsidRPr="00AD6C7D">
        <w:rPr>
          <w:lang w:val="de-DE"/>
        </w:rPr>
        <w:t>geschuldet war</w:t>
      </w:r>
      <w:r w:rsidR="00332C9D" w:rsidRPr="00AD6C7D">
        <w:rPr>
          <w:lang w:val="de-DE"/>
        </w:rPr>
        <w:t>.</w:t>
      </w:r>
      <w:r w:rsidRPr="00AD6C7D">
        <w:rPr>
          <w:lang w:val="de-DE"/>
        </w:rPr>
        <w:t xml:space="preserve"> </w:t>
      </w:r>
      <w:r w:rsidR="00332C9D" w:rsidRPr="00AD6C7D">
        <w:rPr>
          <w:lang w:val="de-DE"/>
        </w:rPr>
        <w:t xml:space="preserve">Der Vertreter von EBOTA und </w:t>
      </w:r>
      <w:proofErr w:type="spellStart"/>
      <w:r w:rsidR="00332C9D" w:rsidRPr="00AD6C7D">
        <w:rPr>
          <w:lang w:val="de-DE"/>
        </w:rPr>
        <w:t>FuelsEurope</w:t>
      </w:r>
      <w:proofErr w:type="spellEnd"/>
      <w:r w:rsidR="00332C9D" w:rsidRPr="00AD6C7D">
        <w:rPr>
          <w:lang w:val="de-DE"/>
        </w:rPr>
        <w:t xml:space="preserve"> erklärte, dass solche Nachweise in der Zwischenzeit vorlägen, und entschuldigt</w:t>
      </w:r>
      <w:r w:rsidR="00287D7E" w:rsidRPr="00AD6C7D">
        <w:rPr>
          <w:lang w:val="de-DE"/>
        </w:rPr>
        <w:t>e</w:t>
      </w:r>
      <w:r w:rsidR="00332C9D" w:rsidRPr="00AD6C7D">
        <w:rPr>
          <w:lang w:val="de-DE"/>
        </w:rPr>
        <w:t xml:space="preserve"> sich für die Verzögerung.</w:t>
      </w:r>
    </w:p>
    <w:p w14:paraId="0ABE0039" w14:textId="60FEE2F1" w:rsidR="00925F82" w:rsidRPr="00AD6C7D" w:rsidRDefault="00925F82" w:rsidP="00287D7E">
      <w:pPr>
        <w:pStyle w:val="SingleTxtG"/>
        <w:rPr>
          <w:lang w:val="de-DE"/>
        </w:rPr>
      </w:pPr>
      <w:r w:rsidRPr="00AD6C7D">
        <w:rPr>
          <w:lang w:val="de-DE"/>
        </w:rPr>
        <w:t>67.</w:t>
      </w:r>
      <w:r w:rsidRPr="00AD6C7D">
        <w:rPr>
          <w:lang w:val="de-DE"/>
        </w:rPr>
        <w:tab/>
      </w:r>
      <w:r w:rsidR="00332C9D" w:rsidRPr="00AD6C7D">
        <w:rPr>
          <w:lang w:val="de-DE"/>
        </w:rPr>
        <w:t xml:space="preserve">Der Sicherheitsausschuss beschloss, das Mandat der informellen Arbeitsgruppe zu verlängern, und begrüßte die Absicht der Niederlande, die nächste Sitzung voraussichtlich am 28. Oktober 2019 in Den Haag </w:t>
      </w:r>
      <w:r w:rsidR="004B6F89" w:rsidRPr="00AD6C7D">
        <w:rPr>
          <w:lang w:val="de-DE"/>
        </w:rPr>
        <w:t>auszurichten</w:t>
      </w:r>
      <w:r w:rsidR="00332C9D" w:rsidRPr="00AD6C7D">
        <w:rPr>
          <w:lang w:val="de-DE"/>
        </w:rPr>
        <w:t>.</w:t>
      </w:r>
    </w:p>
    <w:p w14:paraId="361B4B72" w14:textId="15704EE0" w:rsidR="00925F82" w:rsidRPr="00AD6C7D" w:rsidRDefault="00925F82" w:rsidP="00660988">
      <w:pPr>
        <w:pStyle w:val="H1G"/>
        <w:keepNext w:val="0"/>
        <w:keepLines w:val="0"/>
        <w:spacing w:before="240"/>
        <w:rPr>
          <w:lang w:val="de-DE"/>
        </w:rPr>
      </w:pPr>
      <w:r w:rsidRPr="00AD6C7D">
        <w:rPr>
          <w:lang w:val="de-DE"/>
        </w:rPr>
        <w:tab/>
      </w:r>
      <w:bookmarkStart w:id="14" w:name="_Hlk18938307"/>
      <w:r w:rsidR="00332C9D" w:rsidRPr="00AD6C7D">
        <w:rPr>
          <w:lang w:val="de-DE"/>
        </w:rPr>
        <w:t>C.</w:t>
      </w:r>
      <w:r w:rsidRPr="00AD6C7D">
        <w:rPr>
          <w:lang w:val="de-DE"/>
        </w:rPr>
        <w:tab/>
      </w:r>
      <w:bookmarkEnd w:id="14"/>
      <w:r w:rsidR="00332C9D" w:rsidRPr="00AD6C7D">
        <w:rPr>
          <w:lang w:val="de-DE"/>
        </w:rPr>
        <w:t>Bericht über die elfte Sitzung der informellen Arbeitsgruppe „Stoffe“</w:t>
      </w:r>
    </w:p>
    <w:p w14:paraId="502A2BDB" w14:textId="68865FC8" w:rsidR="00925F82" w:rsidRPr="00AD6C7D" w:rsidRDefault="007540AC" w:rsidP="00925F82">
      <w:pPr>
        <w:pStyle w:val="H23G"/>
        <w:tabs>
          <w:tab w:val="left" w:pos="1134"/>
          <w:tab w:val="left" w:pos="3402"/>
        </w:tabs>
        <w:ind w:firstLine="0"/>
        <w:rPr>
          <w:b w:val="0"/>
          <w:bCs/>
          <w:lang w:val="de-DE"/>
        </w:rPr>
      </w:pPr>
      <w:r w:rsidRPr="00AD6C7D">
        <w:rPr>
          <w:b w:val="0"/>
          <w:bCs/>
          <w:i/>
          <w:iCs/>
          <w:lang w:val="de-DE"/>
        </w:rPr>
        <w:t>Informelles Dokument</w:t>
      </w:r>
      <w:r w:rsidR="00925F82" w:rsidRPr="00AD6C7D">
        <w:rPr>
          <w:b w:val="0"/>
          <w:bCs/>
          <w:lang w:val="de-DE"/>
        </w:rPr>
        <w:t>:</w:t>
      </w:r>
      <w:r w:rsidR="00925F82" w:rsidRPr="00AD6C7D">
        <w:rPr>
          <w:b w:val="0"/>
          <w:bCs/>
          <w:lang w:val="de-DE"/>
        </w:rPr>
        <w:tab/>
        <w:t>INF.7 (</w:t>
      </w:r>
      <w:r w:rsidRPr="00AD6C7D">
        <w:rPr>
          <w:b w:val="0"/>
          <w:bCs/>
          <w:lang w:val="de-DE"/>
        </w:rPr>
        <w:t>ZKR</w:t>
      </w:r>
      <w:r w:rsidR="00925F82" w:rsidRPr="00AD6C7D">
        <w:rPr>
          <w:b w:val="0"/>
          <w:bCs/>
          <w:lang w:val="de-DE"/>
        </w:rPr>
        <w:t>)</w:t>
      </w:r>
    </w:p>
    <w:p w14:paraId="7CE1496C" w14:textId="337A7385" w:rsidR="00925F82" w:rsidRPr="00AD6C7D" w:rsidRDefault="00925F82" w:rsidP="00D37241">
      <w:pPr>
        <w:pStyle w:val="SingleTxtG"/>
        <w:rPr>
          <w:lang w:val="de-DE"/>
        </w:rPr>
      </w:pPr>
      <w:r w:rsidRPr="00AD6C7D">
        <w:rPr>
          <w:lang w:val="de-DE"/>
        </w:rPr>
        <w:t>68.</w:t>
      </w:r>
      <w:r w:rsidRPr="00AD6C7D">
        <w:rPr>
          <w:lang w:val="de-DE"/>
        </w:rPr>
        <w:tab/>
      </w:r>
      <w:r w:rsidR="00332C9D" w:rsidRPr="00AD6C7D">
        <w:rPr>
          <w:lang w:val="de-DE"/>
        </w:rPr>
        <w:t xml:space="preserve">Der Vorsitzende der informellen Arbeitsgruppe berichtete über die Fortschritte bei der Entwicklung der Master-Tabelle, die </w:t>
      </w:r>
      <w:r w:rsidR="00C11357" w:rsidRPr="00AD6C7D">
        <w:rPr>
          <w:lang w:val="de-DE"/>
        </w:rPr>
        <w:t>der Vermeidung von</w:t>
      </w:r>
      <w:r w:rsidR="00332C9D" w:rsidRPr="00AD6C7D">
        <w:rPr>
          <w:lang w:val="de-DE"/>
        </w:rPr>
        <w:t xml:space="preserve"> Unstimmigkeiten bei den Namen und Beschreibungen in den Tabellen A und C, unter </w:t>
      </w:r>
      <w:r w:rsidR="00287D7E" w:rsidRPr="00AD6C7D">
        <w:rPr>
          <w:lang w:val="de-DE"/>
        </w:rPr>
        <w:t>Einbeziehung</w:t>
      </w:r>
      <w:r w:rsidR="00332C9D" w:rsidRPr="00AD6C7D">
        <w:rPr>
          <w:lang w:val="de-DE"/>
        </w:rPr>
        <w:t xml:space="preserve"> der verschiedenen Sprachfassungen des ADN, </w:t>
      </w:r>
      <w:r w:rsidR="00C11357" w:rsidRPr="00AD6C7D">
        <w:rPr>
          <w:lang w:val="de-DE"/>
        </w:rPr>
        <w:t>dienen soll</w:t>
      </w:r>
      <w:r w:rsidR="00332C9D" w:rsidRPr="00AD6C7D">
        <w:rPr>
          <w:lang w:val="de-DE"/>
        </w:rPr>
        <w:t>.</w:t>
      </w:r>
      <w:r w:rsidRPr="00AD6C7D">
        <w:rPr>
          <w:lang w:val="de-DE"/>
        </w:rPr>
        <w:t xml:space="preserve"> </w:t>
      </w:r>
      <w:r w:rsidR="00332C9D" w:rsidRPr="00AD6C7D">
        <w:rPr>
          <w:lang w:val="de-DE"/>
        </w:rPr>
        <w:t>Der Sicherheitsausschuss stimmte den Schlussfolgerungen der Arbeitsgruppe zu erwärmt zur Beförderung aufgegebenen Stoffen</w:t>
      </w:r>
      <w:r w:rsidR="00BB250B" w:rsidRPr="00AD6C7D">
        <w:rPr>
          <w:lang w:val="de-DE"/>
        </w:rPr>
        <w:t xml:space="preserve"> in Absatz 7 des informellen Dokuments INF.7</w:t>
      </w:r>
      <w:r w:rsidR="00332C9D" w:rsidRPr="00AD6C7D">
        <w:rPr>
          <w:lang w:val="de-DE"/>
        </w:rPr>
        <w:t xml:space="preserve"> zu.</w:t>
      </w:r>
    </w:p>
    <w:p w14:paraId="69CA9E68" w14:textId="37183201" w:rsidR="00925F82" w:rsidRPr="00AD6C7D" w:rsidRDefault="00925F82" w:rsidP="00D37241">
      <w:pPr>
        <w:pStyle w:val="SingleTxtG"/>
        <w:rPr>
          <w:lang w:val="de-DE"/>
        </w:rPr>
      </w:pPr>
      <w:r w:rsidRPr="00AD6C7D">
        <w:rPr>
          <w:lang w:val="de-DE"/>
        </w:rPr>
        <w:t>69.</w:t>
      </w:r>
      <w:r w:rsidRPr="00AD6C7D">
        <w:rPr>
          <w:lang w:val="de-DE"/>
        </w:rPr>
        <w:tab/>
      </w:r>
      <w:r w:rsidR="00403C82" w:rsidRPr="00AD6C7D">
        <w:rPr>
          <w:lang w:val="de-DE"/>
        </w:rPr>
        <w:t>Der Sicherheitsausschuss prüfte und verabschiedete die in den Absätzen 16-21, 23, 26, 33-35, 40 und 42 vorgeschlagenen Änderungen.</w:t>
      </w:r>
      <w:r w:rsidRPr="00AD6C7D">
        <w:rPr>
          <w:lang w:val="de-DE"/>
        </w:rPr>
        <w:t xml:space="preserve"> </w:t>
      </w:r>
      <w:r w:rsidR="00403C82" w:rsidRPr="00AD6C7D">
        <w:rPr>
          <w:lang w:val="de-DE"/>
        </w:rPr>
        <w:t>Er nahm ferner den Vorschlag in Absatz</w:t>
      </w:r>
      <w:r w:rsidR="004B6F89" w:rsidRPr="00AD6C7D">
        <w:rPr>
          <w:lang w:val="de-DE"/>
        </w:rPr>
        <w:t> </w:t>
      </w:r>
      <w:r w:rsidR="00403C82" w:rsidRPr="00AD6C7D">
        <w:rPr>
          <w:lang w:val="de-DE"/>
        </w:rPr>
        <w:t>8 in der geänderten Fassung an.</w:t>
      </w:r>
      <w:r w:rsidRPr="00AD6C7D">
        <w:rPr>
          <w:lang w:val="de-DE"/>
        </w:rPr>
        <w:t xml:space="preserve"> </w:t>
      </w:r>
      <w:r w:rsidR="00B6114E" w:rsidRPr="00AD6C7D">
        <w:rPr>
          <w:lang w:val="de-DE"/>
        </w:rPr>
        <w:t>Die Entscheidungen über die Vorschläge in den Absätzen 30, 31 und 41 wurden auf die nächste Sitzung des Sicherheitsausschusses vertagt.</w:t>
      </w:r>
    </w:p>
    <w:p w14:paraId="1D2BE475" w14:textId="3CB30926" w:rsidR="00925F82" w:rsidRPr="00AD6C7D" w:rsidRDefault="00925F82" w:rsidP="00D37241">
      <w:pPr>
        <w:pStyle w:val="SingleTxtG"/>
        <w:rPr>
          <w:lang w:val="de-DE"/>
        </w:rPr>
      </w:pPr>
      <w:r w:rsidRPr="00AD6C7D">
        <w:rPr>
          <w:lang w:val="de-DE"/>
        </w:rPr>
        <w:t>70.</w:t>
      </w:r>
      <w:r w:rsidRPr="00AD6C7D">
        <w:rPr>
          <w:lang w:val="de-DE"/>
        </w:rPr>
        <w:tab/>
      </w:r>
      <w:r w:rsidR="00B6114E" w:rsidRPr="00AD6C7D">
        <w:rPr>
          <w:lang w:val="de-DE"/>
        </w:rPr>
        <w:t xml:space="preserve">Der Sicherheitsausschuss kam zu dem Schluss, dass die bestehende Übergangsvorschrift in Absatz 1.6.7.4.1 die gewünschte Übergangsfrist für die Einträge zu Bilgenwasser in Tabelle C </w:t>
      </w:r>
      <w:r w:rsidR="00D37241" w:rsidRPr="00AD6C7D">
        <w:rPr>
          <w:lang w:val="de-DE"/>
        </w:rPr>
        <w:t>gewährleistet</w:t>
      </w:r>
      <w:r w:rsidR="00B6114E" w:rsidRPr="00AD6C7D">
        <w:rPr>
          <w:lang w:val="de-DE"/>
        </w:rPr>
        <w:t>, und bat die informelle Arbeitsgruppe, die Fragen in den Absätzen 28 und 29 des Berichts (INF.7) weiter zu erörtern.</w:t>
      </w:r>
      <w:r w:rsidRPr="00AD6C7D">
        <w:rPr>
          <w:lang w:val="de-DE"/>
        </w:rPr>
        <w:t xml:space="preserve"> </w:t>
      </w:r>
      <w:r w:rsidR="00B6114E" w:rsidRPr="00AD6C7D">
        <w:rPr>
          <w:lang w:val="de-DE"/>
        </w:rPr>
        <w:t>Er kam ferner überein, die in den Absätzen 48 und 49 des Berichts aufgeführten Aufgaben in das Mandat der informellen Arbeitsgruppe „Stoffe“ aufzunehmen.</w:t>
      </w:r>
    </w:p>
    <w:p w14:paraId="37E82CD4" w14:textId="297F0ED2" w:rsidR="00925F82" w:rsidRPr="00AD6C7D" w:rsidRDefault="00925F82" w:rsidP="00925F82">
      <w:pPr>
        <w:pStyle w:val="HChG"/>
        <w:keepNext w:val="0"/>
        <w:keepLines w:val="0"/>
        <w:rPr>
          <w:i/>
          <w:lang w:val="de-DE"/>
        </w:rPr>
      </w:pPr>
      <w:r w:rsidRPr="00AD6C7D">
        <w:rPr>
          <w:lang w:val="de-DE"/>
        </w:rPr>
        <w:lastRenderedPageBreak/>
        <w:tab/>
        <w:t>VIII.</w:t>
      </w:r>
      <w:r w:rsidRPr="00AD6C7D">
        <w:rPr>
          <w:lang w:val="de-DE"/>
        </w:rPr>
        <w:tab/>
      </w:r>
      <w:r w:rsidR="00E61BF1" w:rsidRPr="00AD6C7D">
        <w:rPr>
          <w:lang w:val="de-DE"/>
        </w:rPr>
        <w:t>Arbeitsprogramm und Sitzungsplan (TOP 6)</w:t>
      </w:r>
    </w:p>
    <w:p w14:paraId="451E2815" w14:textId="154C4967" w:rsidR="00E61BF1" w:rsidRPr="00AD6C7D" w:rsidRDefault="00925F82" w:rsidP="00925F82">
      <w:pPr>
        <w:pStyle w:val="SingleTxtG"/>
        <w:rPr>
          <w:lang w:val="de-DE"/>
        </w:rPr>
      </w:pPr>
      <w:r w:rsidRPr="00AD6C7D">
        <w:rPr>
          <w:lang w:val="de-DE"/>
        </w:rPr>
        <w:t>71.</w:t>
      </w:r>
      <w:r w:rsidRPr="00AD6C7D">
        <w:rPr>
          <w:lang w:val="de-DE"/>
        </w:rPr>
        <w:tab/>
      </w:r>
      <w:r w:rsidR="00E61BF1" w:rsidRPr="00AD6C7D">
        <w:rPr>
          <w:lang w:val="de-DE"/>
        </w:rPr>
        <w:t>Der Sicherheitsausschuss stellte fest, dass seine sechsunddreißigste Sitzung vom 27. bis 31. Januar 2020 in Genf stattfindet und die vierundzwanzigste Sitzung des ADN-Verwaltungsausschusses für den 31. Januar 2020 (von 12.00 bis 13.00 Uhr) anberaumt ist. Letzter Termin für die Einreichung von Dokumenten für beide Sitzungen ist der 1.</w:t>
      </w:r>
      <w:r w:rsidR="00AD6C7D" w:rsidRPr="00AD6C7D">
        <w:rPr>
          <w:lang w:val="de-DE"/>
        </w:rPr>
        <w:t> </w:t>
      </w:r>
      <w:r w:rsidR="00E61BF1" w:rsidRPr="00AD6C7D">
        <w:rPr>
          <w:lang w:val="de-DE"/>
        </w:rPr>
        <w:t>November</w:t>
      </w:r>
      <w:r w:rsidR="00AD6C7D" w:rsidRPr="00AD6C7D">
        <w:rPr>
          <w:lang w:val="de-DE"/>
        </w:rPr>
        <w:t> </w:t>
      </w:r>
      <w:r w:rsidR="00E61BF1" w:rsidRPr="00AD6C7D">
        <w:rPr>
          <w:lang w:val="de-DE"/>
        </w:rPr>
        <w:t>2019.</w:t>
      </w:r>
    </w:p>
    <w:p w14:paraId="39FFA7DB" w14:textId="7B90929F" w:rsidR="00925F82" w:rsidRPr="00AD6C7D" w:rsidRDefault="00925F82" w:rsidP="00925F82">
      <w:pPr>
        <w:pStyle w:val="HChG"/>
        <w:keepLines w:val="0"/>
        <w:rPr>
          <w:i/>
          <w:lang w:val="de-DE"/>
        </w:rPr>
      </w:pPr>
      <w:r w:rsidRPr="00AD6C7D">
        <w:rPr>
          <w:lang w:val="de-DE"/>
        </w:rPr>
        <w:tab/>
        <w:t>IX.</w:t>
      </w:r>
      <w:r w:rsidRPr="00AD6C7D">
        <w:rPr>
          <w:lang w:val="de-DE"/>
        </w:rPr>
        <w:tab/>
      </w:r>
      <w:r w:rsidR="009935D9" w:rsidRPr="00AD6C7D">
        <w:rPr>
          <w:lang w:val="de-DE"/>
        </w:rPr>
        <w:t>Verschiedenes (TOP 7)</w:t>
      </w:r>
    </w:p>
    <w:p w14:paraId="1FD74192" w14:textId="34A1A3BF" w:rsidR="00925F82" w:rsidRPr="00AD6C7D" w:rsidRDefault="00925F82" w:rsidP="00BB6A91">
      <w:pPr>
        <w:pStyle w:val="SingleTxtG"/>
        <w:rPr>
          <w:lang w:val="de-DE"/>
        </w:rPr>
      </w:pPr>
      <w:r w:rsidRPr="00AD6C7D">
        <w:rPr>
          <w:lang w:val="de-DE"/>
        </w:rPr>
        <w:t>72.</w:t>
      </w:r>
      <w:r w:rsidRPr="00AD6C7D">
        <w:rPr>
          <w:lang w:val="de-DE"/>
        </w:rPr>
        <w:tab/>
      </w:r>
      <w:r w:rsidR="00BB6A91" w:rsidRPr="00AD6C7D">
        <w:rPr>
          <w:lang w:val="de-DE"/>
        </w:rPr>
        <w:t>Es wurden keine weiteren Punkte behandelt.</w:t>
      </w:r>
    </w:p>
    <w:p w14:paraId="1FFB3CAE" w14:textId="01AEF627" w:rsidR="00925F82" w:rsidRPr="00AD6C7D" w:rsidRDefault="00925F82" w:rsidP="00925F82">
      <w:pPr>
        <w:pStyle w:val="HChG"/>
        <w:keepNext w:val="0"/>
        <w:keepLines w:val="0"/>
        <w:rPr>
          <w:i/>
          <w:lang w:val="de-DE"/>
        </w:rPr>
      </w:pPr>
      <w:r w:rsidRPr="00AD6C7D">
        <w:rPr>
          <w:lang w:val="de-DE"/>
        </w:rPr>
        <w:tab/>
        <w:t>X.</w:t>
      </w:r>
      <w:r w:rsidRPr="00AD6C7D">
        <w:rPr>
          <w:lang w:val="de-DE"/>
        </w:rPr>
        <w:tab/>
      </w:r>
      <w:r w:rsidR="00851D0A" w:rsidRPr="00AD6C7D">
        <w:rPr>
          <w:lang w:val="de-DE"/>
        </w:rPr>
        <w:t>Genehmigung des Sitzungsprotokolls (TOP 8)</w:t>
      </w:r>
    </w:p>
    <w:p w14:paraId="4133DC36" w14:textId="034E0E6C" w:rsidR="00851D0A" w:rsidRPr="00AD6C7D" w:rsidRDefault="00925F82" w:rsidP="00925F82">
      <w:pPr>
        <w:pStyle w:val="SingleTxtG"/>
        <w:rPr>
          <w:lang w:val="de-DE"/>
        </w:rPr>
      </w:pPr>
      <w:r w:rsidRPr="00AD6C7D">
        <w:rPr>
          <w:lang w:val="de-DE"/>
        </w:rPr>
        <w:t>73.</w:t>
      </w:r>
      <w:r w:rsidRPr="00AD6C7D">
        <w:rPr>
          <w:lang w:val="de-DE"/>
        </w:rPr>
        <w:tab/>
      </w:r>
      <w:r w:rsidR="00851D0A" w:rsidRPr="00AD6C7D">
        <w:rPr>
          <w:lang w:val="de-DE"/>
        </w:rPr>
        <w:t xml:space="preserve">Der Sicherheitsausschuss genehmigte das Protokoll über seine fünfunddreißigste Sitzung </w:t>
      </w:r>
      <w:r w:rsidR="00FC2932" w:rsidRPr="00AD6C7D">
        <w:rPr>
          <w:lang w:val="de-DE"/>
        </w:rPr>
        <w:t xml:space="preserve">und dessen Anlagen </w:t>
      </w:r>
      <w:r w:rsidR="00851D0A" w:rsidRPr="00AD6C7D">
        <w:rPr>
          <w:lang w:val="de-DE"/>
        </w:rPr>
        <w:t>auf der Grundlage eines Sekretariatsentwurfs.</w:t>
      </w:r>
    </w:p>
    <w:p w14:paraId="7B3D3F96" w14:textId="77777777" w:rsidR="00925F82" w:rsidRPr="00AD6C7D" w:rsidRDefault="00925F82">
      <w:pPr>
        <w:suppressAutoHyphens w:val="0"/>
        <w:spacing w:after="200" w:line="276" w:lineRule="auto"/>
        <w:rPr>
          <w:b/>
          <w:sz w:val="28"/>
          <w:lang w:val="de-DE"/>
        </w:rPr>
      </w:pPr>
      <w:r w:rsidRPr="00AD6C7D">
        <w:rPr>
          <w:b/>
          <w:sz w:val="28"/>
          <w:lang w:val="de-DE"/>
        </w:rPr>
        <w:br w:type="page"/>
      </w:r>
    </w:p>
    <w:p w14:paraId="47163F78" w14:textId="3B8DCAB7" w:rsidR="00925F82" w:rsidRPr="00AD6C7D" w:rsidRDefault="00925F82" w:rsidP="00925F82">
      <w:pPr>
        <w:pageBreakBefore/>
        <w:tabs>
          <w:tab w:val="right" w:pos="851"/>
          <w:tab w:val="left" w:pos="5529"/>
        </w:tabs>
        <w:spacing w:before="360" w:after="240" w:line="300" w:lineRule="exact"/>
        <w:ind w:left="1134" w:right="1134" w:hanging="1134"/>
        <w:rPr>
          <w:b/>
          <w:sz w:val="28"/>
          <w:lang w:val="de-DE"/>
        </w:rPr>
      </w:pPr>
      <w:r w:rsidRPr="00AD6C7D">
        <w:rPr>
          <w:b/>
          <w:sz w:val="28"/>
          <w:lang w:val="de-DE"/>
        </w:rPr>
        <w:lastRenderedPageBreak/>
        <w:tab/>
        <w:t>Anlage I</w:t>
      </w:r>
      <w:r w:rsidRPr="00AD6C7D">
        <w:rPr>
          <w:b/>
          <w:sz w:val="28"/>
          <w:lang w:val="de-DE"/>
        </w:rPr>
        <w:tab/>
      </w:r>
      <w:r w:rsidRPr="00AD6C7D">
        <w:rPr>
          <w:b/>
          <w:sz w:val="28"/>
          <w:lang w:val="de-DE"/>
        </w:rPr>
        <w:tab/>
      </w:r>
      <w:r w:rsidRPr="00AD6C7D">
        <w:rPr>
          <w:bCs/>
          <w:lang w:val="de-DE"/>
        </w:rPr>
        <w:t>[Original: Englisch und Französisch]</w:t>
      </w:r>
    </w:p>
    <w:p w14:paraId="3E1CFA65" w14:textId="0A02C278" w:rsidR="005955F6" w:rsidRPr="00AD6C7D" w:rsidRDefault="005955F6" w:rsidP="005955F6">
      <w:pPr>
        <w:tabs>
          <w:tab w:val="right" w:pos="851"/>
        </w:tabs>
        <w:spacing w:before="360" w:after="240" w:line="300" w:lineRule="exact"/>
        <w:ind w:left="1134" w:right="1134" w:hanging="1134"/>
        <w:rPr>
          <w:b/>
          <w:sz w:val="28"/>
          <w:lang w:val="de-DE"/>
        </w:rPr>
      </w:pPr>
      <w:r w:rsidRPr="00AD6C7D">
        <w:rPr>
          <w:b/>
          <w:sz w:val="28"/>
          <w:lang w:val="de-DE"/>
        </w:rPr>
        <w:tab/>
      </w:r>
      <w:r w:rsidRPr="00AD6C7D">
        <w:rPr>
          <w:b/>
          <w:sz w:val="28"/>
          <w:lang w:val="de-DE"/>
        </w:rPr>
        <w:tab/>
      </w:r>
      <w:r w:rsidR="00F674AA" w:rsidRPr="00AD6C7D">
        <w:rPr>
          <w:b/>
          <w:sz w:val="28"/>
          <w:lang w:val="de-DE"/>
        </w:rPr>
        <w:t>Änderungsvorschläge zu der dem ADN beigefügten Verordnung, die am 1. Januar 2021 in Kraft treten sollen</w:t>
      </w:r>
    </w:p>
    <w:p w14:paraId="78BECC81" w14:textId="4C927A2D" w:rsidR="005955F6" w:rsidRPr="00AD6C7D" w:rsidRDefault="005955F6" w:rsidP="005955F6">
      <w:pPr>
        <w:pStyle w:val="H23G"/>
        <w:kinsoku w:val="0"/>
        <w:overflowPunct w:val="0"/>
        <w:autoSpaceDE w:val="0"/>
        <w:autoSpaceDN w:val="0"/>
        <w:adjustRightInd w:val="0"/>
        <w:snapToGrid w:val="0"/>
        <w:rPr>
          <w:rFonts w:eastAsiaTheme="minorHAnsi"/>
          <w:i/>
          <w:iCs/>
          <w:lang w:val="de-DE"/>
        </w:rPr>
      </w:pPr>
      <w:r w:rsidRPr="00AD6C7D">
        <w:rPr>
          <w:lang w:val="de-DE"/>
        </w:rPr>
        <w:tab/>
      </w:r>
      <w:r w:rsidRPr="00AD6C7D">
        <w:rPr>
          <w:lang w:val="de-DE"/>
        </w:rPr>
        <w:tab/>
      </w:r>
      <w:r w:rsidR="00A839A8" w:rsidRPr="00AD6C7D">
        <w:rPr>
          <w:lang w:val="de-DE"/>
        </w:rPr>
        <w:t>Kapitel</w:t>
      </w:r>
      <w:r w:rsidRPr="00AD6C7D">
        <w:rPr>
          <w:lang w:val="de-DE"/>
        </w:rPr>
        <w:t xml:space="preserve"> 1.1</w:t>
      </w:r>
    </w:p>
    <w:p w14:paraId="1E44644E" w14:textId="2D53B818" w:rsidR="00563522" w:rsidRPr="00AD6C7D" w:rsidRDefault="00563522" w:rsidP="00563522">
      <w:pPr>
        <w:pStyle w:val="SingleTxtG"/>
        <w:rPr>
          <w:lang w:val="de-DE"/>
        </w:rPr>
      </w:pPr>
      <w:r w:rsidRPr="00AD6C7D">
        <w:rPr>
          <w:lang w:val="de-DE"/>
        </w:rPr>
        <w:t>1.1.3.6.1</w:t>
      </w:r>
      <w:r w:rsidRPr="00AD6C7D">
        <w:rPr>
          <w:lang w:val="de-DE"/>
        </w:rPr>
        <w:tab/>
        <w:t xml:space="preserve">Erhält folgenden Wortlaut </w:t>
      </w:r>
      <w:r w:rsidRPr="00AD6C7D">
        <w:rPr>
          <w:i/>
          <w:iCs/>
          <w:lang w:val="de-DE"/>
        </w:rPr>
        <w:t>(ersetzt den Änderungsbefehl in ECE/TRANS/WP.15/AC.2/70)</w:t>
      </w:r>
      <w:r w:rsidRPr="00AD6C7D">
        <w:rPr>
          <w:lang w:val="de-DE"/>
        </w:rPr>
        <w:t>:</w:t>
      </w:r>
    </w:p>
    <w:p w14:paraId="73C66AB2" w14:textId="77777777" w:rsidR="00563522" w:rsidRPr="00AD6C7D" w:rsidRDefault="00563522" w:rsidP="00563522">
      <w:pPr>
        <w:spacing w:after="120"/>
        <w:ind w:left="1134" w:right="1134"/>
        <w:jc w:val="both"/>
        <w:rPr>
          <w:lang w:val="de-DE"/>
        </w:rPr>
      </w:pPr>
      <w:r w:rsidRPr="00AD6C7D">
        <w:rPr>
          <w:rFonts w:ascii="Arial" w:hAnsi="Arial" w:cs="Arial"/>
          <w:bCs/>
          <w:lang w:val="de-DE"/>
        </w:rPr>
        <w:t>„</w:t>
      </w:r>
      <w:r w:rsidRPr="00AD6C7D">
        <w:rPr>
          <w:lang w:val="de-DE"/>
        </w:rPr>
        <w:t>1.1.3.6.1</w:t>
      </w:r>
      <w:r w:rsidRPr="00AD6C7D">
        <w:rPr>
          <w:lang w:val="de-DE"/>
        </w:rPr>
        <w:tab/>
        <w:t>Bei der Beförderung von gefährlichen Gütern in Versandstücken gelten die Vorschriften des ADN mit Ausnahme von Absatz 1.1.3.6.2 nicht, wenn die Bruttomasse aller beförderten gefährlichen Güter insgesamt 3 000 kg nicht überschreitet und für die einzelnen Klassen die in der nachfolgenden Tabelle angegebene Menge nicht überschreitet</w:t>
      </w:r>
      <w:r w:rsidRPr="00AD6C7D">
        <w:rPr>
          <w:iCs/>
          <w:lang w:val="de-DE"/>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95"/>
        <w:gridCol w:w="96"/>
        <w:gridCol w:w="4437"/>
        <w:gridCol w:w="820"/>
        <w:gridCol w:w="821"/>
        <w:gridCol w:w="701"/>
      </w:tblGrid>
      <w:tr w:rsidR="00563522" w:rsidRPr="00AD6C7D" w14:paraId="2E2B3765" w14:textId="77777777" w:rsidTr="00CE1151">
        <w:trPr>
          <w:trHeight w:hRule="exact" w:val="688"/>
          <w:tblHeader/>
        </w:trPr>
        <w:tc>
          <w:tcPr>
            <w:tcW w:w="495" w:type="dxa"/>
            <w:tcBorders>
              <w:top w:val="single" w:sz="4" w:space="0" w:color="auto"/>
              <w:bottom w:val="single" w:sz="12" w:space="0" w:color="auto"/>
            </w:tcBorders>
            <w:shd w:val="clear" w:color="auto" w:fill="auto"/>
            <w:vAlign w:val="bottom"/>
          </w:tcPr>
          <w:p w14:paraId="1DF81F49" w14:textId="77777777" w:rsidR="00563522" w:rsidRPr="00AD6C7D" w:rsidRDefault="00563522" w:rsidP="00563522">
            <w:pPr>
              <w:keepNext/>
              <w:keepLines/>
              <w:suppressAutoHyphens w:val="0"/>
              <w:kinsoku w:val="0"/>
              <w:overflowPunct w:val="0"/>
              <w:autoSpaceDE w:val="0"/>
              <w:autoSpaceDN w:val="0"/>
              <w:adjustRightInd w:val="0"/>
              <w:spacing w:before="80" w:after="80" w:line="200" w:lineRule="exact"/>
              <w:rPr>
                <w:rFonts w:eastAsia="Calibri"/>
                <w:i/>
                <w:sz w:val="16"/>
                <w:szCs w:val="18"/>
                <w:lang w:val="de-DE"/>
              </w:rPr>
            </w:pPr>
            <w:r w:rsidRPr="00AD6C7D">
              <w:rPr>
                <w:rFonts w:eastAsia="Calibri"/>
                <w:bCs/>
                <w:i/>
                <w:sz w:val="16"/>
                <w:szCs w:val="18"/>
                <w:lang w:val="de-DE"/>
              </w:rPr>
              <w:t>Klasse</w:t>
            </w:r>
          </w:p>
        </w:tc>
        <w:tc>
          <w:tcPr>
            <w:tcW w:w="96" w:type="dxa"/>
            <w:tcBorders>
              <w:top w:val="single" w:sz="4" w:space="0" w:color="auto"/>
              <w:bottom w:val="single" w:sz="12" w:space="0" w:color="auto"/>
            </w:tcBorders>
            <w:shd w:val="clear" w:color="auto" w:fill="auto"/>
            <w:vAlign w:val="bottom"/>
          </w:tcPr>
          <w:p w14:paraId="52D4E74B" w14:textId="77777777" w:rsidR="00563522" w:rsidRPr="00AD6C7D" w:rsidRDefault="00563522" w:rsidP="00563522">
            <w:pPr>
              <w:keepNext/>
              <w:keepLines/>
              <w:suppressAutoHyphens w:val="0"/>
              <w:autoSpaceDE w:val="0"/>
              <w:autoSpaceDN w:val="0"/>
              <w:adjustRightInd w:val="0"/>
              <w:spacing w:before="80" w:after="80" w:line="200" w:lineRule="exact"/>
              <w:ind w:right="113"/>
              <w:rPr>
                <w:rFonts w:eastAsia="Calibri"/>
                <w:i/>
                <w:sz w:val="16"/>
                <w:szCs w:val="18"/>
                <w:lang w:val="de-DE"/>
              </w:rPr>
            </w:pPr>
          </w:p>
        </w:tc>
        <w:tc>
          <w:tcPr>
            <w:tcW w:w="4437" w:type="dxa"/>
            <w:tcBorders>
              <w:top w:val="single" w:sz="4" w:space="0" w:color="auto"/>
              <w:bottom w:val="single" w:sz="12" w:space="0" w:color="auto"/>
            </w:tcBorders>
            <w:shd w:val="clear" w:color="auto" w:fill="auto"/>
            <w:vAlign w:val="bottom"/>
          </w:tcPr>
          <w:p w14:paraId="4CBA15CA" w14:textId="77777777" w:rsidR="00563522" w:rsidRPr="00AD6C7D" w:rsidRDefault="00563522" w:rsidP="00563522">
            <w:pPr>
              <w:keepNext/>
              <w:keepLines/>
              <w:suppressAutoHyphens w:val="0"/>
              <w:kinsoku w:val="0"/>
              <w:overflowPunct w:val="0"/>
              <w:autoSpaceDE w:val="0"/>
              <w:autoSpaceDN w:val="0"/>
              <w:adjustRightInd w:val="0"/>
              <w:spacing w:before="80" w:after="80" w:line="200" w:lineRule="exact"/>
              <w:ind w:right="113"/>
              <w:rPr>
                <w:rFonts w:eastAsia="Calibri"/>
                <w:i/>
                <w:sz w:val="16"/>
                <w:szCs w:val="18"/>
                <w:lang w:val="de-DE"/>
              </w:rPr>
            </w:pPr>
            <w:r w:rsidRPr="00AD6C7D">
              <w:rPr>
                <w:rFonts w:eastAsia="Calibri"/>
                <w:bCs/>
                <w:i/>
                <w:sz w:val="16"/>
                <w:szCs w:val="18"/>
                <w:lang w:val="de-DE"/>
              </w:rPr>
              <w:t xml:space="preserve">Stoffe oder Gegenstände in Versandstücken </w:t>
            </w:r>
          </w:p>
        </w:tc>
        <w:tc>
          <w:tcPr>
            <w:tcW w:w="2342" w:type="dxa"/>
            <w:gridSpan w:val="3"/>
            <w:tcBorders>
              <w:top w:val="single" w:sz="4" w:space="0" w:color="auto"/>
              <w:bottom w:val="single" w:sz="12" w:space="0" w:color="auto"/>
            </w:tcBorders>
            <w:shd w:val="clear" w:color="auto" w:fill="auto"/>
            <w:vAlign w:val="bottom"/>
          </w:tcPr>
          <w:p w14:paraId="19E2D5A7" w14:textId="77777777" w:rsidR="00563522" w:rsidRPr="00AD6C7D" w:rsidRDefault="00563522" w:rsidP="00563522">
            <w:pPr>
              <w:keepNext/>
              <w:keepLines/>
              <w:suppressAutoHyphens w:val="0"/>
              <w:kinsoku w:val="0"/>
              <w:overflowPunct w:val="0"/>
              <w:autoSpaceDE w:val="0"/>
              <w:autoSpaceDN w:val="0"/>
              <w:adjustRightInd w:val="0"/>
              <w:spacing w:before="80" w:after="80" w:line="200" w:lineRule="exact"/>
              <w:ind w:right="113"/>
              <w:rPr>
                <w:rFonts w:eastAsia="Calibri"/>
                <w:i/>
                <w:sz w:val="16"/>
                <w:szCs w:val="18"/>
                <w:lang w:val="de-DE"/>
              </w:rPr>
            </w:pPr>
            <w:r w:rsidRPr="00AD6C7D">
              <w:rPr>
                <w:rFonts w:eastAsia="Calibri"/>
                <w:bCs/>
                <w:i/>
                <w:sz w:val="16"/>
                <w:szCs w:val="18"/>
                <w:lang w:val="de-DE"/>
              </w:rPr>
              <w:t>Freigestellte Mengen in kg:</w:t>
            </w:r>
          </w:p>
        </w:tc>
      </w:tr>
      <w:tr w:rsidR="00563522" w:rsidRPr="00AD6C7D" w14:paraId="0BDEB918" w14:textId="77777777" w:rsidTr="00CE1151">
        <w:trPr>
          <w:trHeight w:hRule="exact" w:val="404"/>
        </w:trPr>
        <w:tc>
          <w:tcPr>
            <w:tcW w:w="591" w:type="dxa"/>
            <w:gridSpan w:val="2"/>
            <w:tcBorders>
              <w:top w:val="single" w:sz="12" w:space="0" w:color="auto"/>
              <w:bottom w:val="single" w:sz="4" w:space="0" w:color="auto"/>
            </w:tcBorders>
            <w:shd w:val="clear" w:color="auto" w:fill="auto"/>
          </w:tcPr>
          <w:p w14:paraId="4AF8DB5B"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i/>
                <w:szCs w:val="18"/>
                <w:lang w:val="de-DE"/>
              </w:rPr>
            </w:pPr>
            <w:r w:rsidRPr="00AD6C7D">
              <w:rPr>
                <w:rFonts w:eastAsia="Calibri"/>
                <w:b/>
                <w:i/>
                <w:szCs w:val="18"/>
                <w:lang w:val="de-DE"/>
              </w:rPr>
              <w:t>alle</w:t>
            </w:r>
          </w:p>
        </w:tc>
        <w:tc>
          <w:tcPr>
            <w:tcW w:w="4437" w:type="dxa"/>
            <w:tcBorders>
              <w:top w:val="single" w:sz="12" w:space="0" w:color="auto"/>
              <w:bottom w:val="single" w:sz="4" w:space="0" w:color="auto"/>
            </w:tcBorders>
            <w:shd w:val="clear" w:color="auto" w:fill="auto"/>
          </w:tcPr>
          <w:p w14:paraId="48041EB4"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i/>
                <w:szCs w:val="18"/>
                <w:lang w:val="de-DE"/>
              </w:rPr>
            </w:pPr>
            <w:r w:rsidRPr="00AD6C7D">
              <w:rPr>
                <w:rFonts w:eastAsia="Calibri"/>
                <w:b/>
                <w:i/>
                <w:szCs w:val="18"/>
                <w:lang w:val="de-DE"/>
              </w:rPr>
              <w:t>Beförderung in Tanks, alle Klassen</w:t>
            </w:r>
          </w:p>
        </w:tc>
        <w:tc>
          <w:tcPr>
            <w:tcW w:w="820" w:type="dxa"/>
            <w:tcBorders>
              <w:top w:val="single" w:sz="12" w:space="0" w:color="auto"/>
              <w:bottom w:val="single" w:sz="4" w:space="0" w:color="auto"/>
            </w:tcBorders>
            <w:shd w:val="clear" w:color="auto" w:fill="auto"/>
          </w:tcPr>
          <w:p w14:paraId="611AC7C4"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12" w:space="0" w:color="auto"/>
              <w:bottom w:val="single" w:sz="4" w:space="0" w:color="auto"/>
            </w:tcBorders>
            <w:shd w:val="clear" w:color="auto" w:fill="auto"/>
          </w:tcPr>
          <w:p w14:paraId="5B6E8504"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12" w:space="0" w:color="auto"/>
              <w:bottom w:val="single" w:sz="4" w:space="0" w:color="auto"/>
            </w:tcBorders>
            <w:shd w:val="clear" w:color="auto" w:fill="auto"/>
          </w:tcPr>
          <w:p w14:paraId="39F1C9FD"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AD6C7D">
              <w:rPr>
                <w:rFonts w:eastAsia="Calibri"/>
                <w:b/>
                <w:szCs w:val="18"/>
                <w:lang w:val="de-DE"/>
              </w:rPr>
              <w:t>0</w:t>
            </w:r>
          </w:p>
        </w:tc>
      </w:tr>
      <w:tr w:rsidR="00563522" w:rsidRPr="00AD6C7D" w14:paraId="277FC2B8" w14:textId="77777777" w:rsidTr="00CE1151">
        <w:trPr>
          <w:trHeight w:val="57"/>
        </w:trPr>
        <w:tc>
          <w:tcPr>
            <w:tcW w:w="591" w:type="dxa"/>
            <w:gridSpan w:val="2"/>
            <w:tcBorders>
              <w:top w:val="single" w:sz="4" w:space="0" w:color="auto"/>
              <w:bottom w:val="single" w:sz="4" w:space="0" w:color="auto"/>
            </w:tcBorders>
            <w:shd w:val="clear" w:color="auto" w:fill="auto"/>
          </w:tcPr>
          <w:p w14:paraId="7A6F7A73"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AD6C7D">
              <w:rPr>
                <w:rFonts w:eastAsia="Calibri"/>
                <w:b/>
                <w:szCs w:val="18"/>
                <w:lang w:val="de-DE"/>
              </w:rPr>
              <w:t>1</w:t>
            </w:r>
          </w:p>
        </w:tc>
        <w:tc>
          <w:tcPr>
            <w:tcW w:w="4437" w:type="dxa"/>
            <w:tcBorders>
              <w:top w:val="single" w:sz="4" w:space="0" w:color="auto"/>
              <w:bottom w:val="single" w:sz="4" w:space="0" w:color="auto"/>
            </w:tcBorders>
            <w:shd w:val="clear" w:color="auto" w:fill="auto"/>
          </w:tcPr>
          <w:p w14:paraId="21B9787A"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Stoffe und Gegenstände der Klasse 1</w:t>
            </w:r>
          </w:p>
        </w:tc>
        <w:tc>
          <w:tcPr>
            <w:tcW w:w="820" w:type="dxa"/>
            <w:tcBorders>
              <w:top w:val="single" w:sz="4" w:space="0" w:color="auto"/>
              <w:bottom w:val="single" w:sz="4" w:space="0" w:color="auto"/>
            </w:tcBorders>
            <w:shd w:val="clear" w:color="auto" w:fill="auto"/>
          </w:tcPr>
          <w:p w14:paraId="634FACF8"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02AB9F55"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0D0C2F50"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0</w:t>
            </w:r>
          </w:p>
        </w:tc>
      </w:tr>
      <w:tr w:rsidR="00563522" w:rsidRPr="00AD6C7D" w14:paraId="355D71B0" w14:textId="77777777" w:rsidTr="00CE1151">
        <w:trPr>
          <w:trHeight w:val="57"/>
        </w:trPr>
        <w:tc>
          <w:tcPr>
            <w:tcW w:w="591" w:type="dxa"/>
            <w:gridSpan w:val="2"/>
            <w:vMerge w:val="restart"/>
            <w:tcBorders>
              <w:top w:val="single" w:sz="4" w:space="0" w:color="auto"/>
              <w:bottom w:val="single" w:sz="4" w:space="0" w:color="auto"/>
            </w:tcBorders>
            <w:shd w:val="clear" w:color="auto" w:fill="auto"/>
          </w:tcPr>
          <w:p w14:paraId="6B5DCF38"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AD6C7D">
              <w:rPr>
                <w:rFonts w:eastAsia="Calibri"/>
                <w:b/>
                <w:szCs w:val="18"/>
                <w:lang w:val="de-DE"/>
              </w:rPr>
              <w:t>2</w:t>
            </w:r>
          </w:p>
        </w:tc>
        <w:tc>
          <w:tcPr>
            <w:tcW w:w="4437" w:type="dxa"/>
            <w:tcBorders>
              <w:top w:val="single" w:sz="4" w:space="0" w:color="auto"/>
              <w:bottom w:val="single" w:sz="4" w:space="0" w:color="auto"/>
            </w:tcBorders>
            <w:shd w:val="clear" w:color="auto" w:fill="auto"/>
          </w:tcPr>
          <w:p w14:paraId="08E385C1" w14:textId="7FCA40D0" w:rsidR="00563522" w:rsidRPr="00AD6C7D" w:rsidRDefault="00563522" w:rsidP="00563522">
            <w:pPr>
              <w:widowControl w:val="0"/>
              <w:numPr>
                <w:ilvl w:val="0"/>
                <w:numId w:val="21"/>
              </w:numPr>
              <w:tabs>
                <w:tab w:val="left" w:pos="403"/>
              </w:tabs>
              <w:suppressAutoHyphens w:val="0"/>
              <w:kinsoku w:val="0"/>
              <w:overflowPunct w:val="0"/>
              <w:autoSpaceDE w:val="0"/>
              <w:autoSpaceDN w:val="0"/>
              <w:adjustRightInd w:val="0"/>
              <w:spacing w:before="40" w:after="120" w:line="220" w:lineRule="exact"/>
              <w:ind w:left="406" w:right="113" w:hanging="284"/>
              <w:contextualSpacing/>
              <w:jc w:val="both"/>
              <w:textAlignment w:val="baseline"/>
              <w:rPr>
                <w:rFonts w:eastAsia="Arial Unicode MS"/>
                <w:szCs w:val="18"/>
                <w:bdr w:val="nil"/>
                <w:lang w:val="de-DE" w:eastAsia="nl-NL"/>
              </w:rPr>
            </w:pPr>
            <w:r w:rsidRPr="00AD6C7D">
              <w:rPr>
                <w:rFonts w:eastAsia="Arial Unicode MS"/>
                <w:szCs w:val="18"/>
                <w:bdr w:val="nil"/>
                <w:lang w:val="de-DE" w:eastAsia="nl-NL"/>
              </w:rPr>
              <w:t xml:space="preserve">Stoffe und Gegenstände der Klasse 2 Gruppe T, TF, TC, TO, TFC oder TOC gemäß Absatz </w:t>
            </w:r>
            <w:r w:rsidRPr="00AD6C7D">
              <w:rPr>
                <w:rFonts w:eastAsia="Arial Unicode MS"/>
                <w:szCs w:val="18"/>
                <w:lang w:val="de-DE" w:eastAsia="nl-NL"/>
              </w:rPr>
              <w:t>2.2.2.1.3 und</w:t>
            </w:r>
            <w:r w:rsidRPr="00AD6C7D">
              <w:rPr>
                <w:rFonts w:eastAsia="Arial Unicode MS"/>
                <w:szCs w:val="18"/>
                <w:bdr w:val="nil"/>
                <w:lang w:val="de-DE" w:eastAsia="nl-NL"/>
              </w:rPr>
              <w:t xml:space="preserve"> </w:t>
            </w:r>
          </w:p>
          <w:p w14:paraId="1B8EF649" w14:textId="0D257270" w:rsidR="00563522" w:rsidRPr="00AD6C7D" w:rsidRDefault="00563522" w:rsidP="00563522">
            <w:pPr>
              <w:widowControl w:val="0"/>
              <w:numPr>
                <w:ilvl w:val="0"/>
                <w:numId w:val="21"/>
              </w:numPr>
              <w:tabs>
                <w:tab w:val="left" w:pos="403"/>
              </w:tabs>
              <w:suppressAutoHyphens w:val="0"/>
              <w:kinsoku w:val="0"/>
              <w:overflowPunct w:val="0"/>
              <w:autoSpaceDE w:val="0"/>
              <w:autoSpaceDN w:val="0"/>
              <w:adjustRightInd w:val="0"/>
              <w:spacing w:before="40" w:after="120" w:line="220" w:lineRule="exact"/>
              <w:ind w:left="406" w:right="113" w:hanging="284"/>
              <w:contextualSpacing/>
              <w:jc w:val="both"/>
              <w:textAlignment w:val="baseline"/>
              <w:rPr>
                <w:rFonts w:eastAsia="Arial Unicode MS"/>
                <w:szCs w:val="18"/>
                <w:bdr w:val="nil"/>
                <w:lang w:val="de-DE" w:eastAsia="nl-NL"/>
              </w:rPr>
            </w:pPr>
            <w:r w:rsidRPr="00AD6C7D">
              <w:rPr>
                <w:rFonts w:eastAsia="Arial Unicode MS"/>
                <w:szCs w:val="18"/>
                <w:bdr w:val="nil"/>
                <w:lang w:val="de-DE" w:eastAsia="nl-NL"/>
              </w:rPr>
              <w:t xml:space="preserve">Druckgaspackungen der Gruppen C, CO, FC, T, TF, TC, TO, TFC und TOC gemäß Absatz </w:t>
            </w:r>
            <w:r w:rsidRPr="00AD6C7D">
              <w:rPr>
                <w:rFonts w:eastAsia="Arial Unicode MS"/>
                <w:szCs w:val="18"/>
                <w:lang w:val="de-DE" w:eastAsia="nl-NL"/>
              </w:rPr>
              <w:t>2.2.2.1.6;</w:t>
            </w:r>
          </w:p>
        </w:tc>
        <w:tc>
          <w:tcPr>
            <w:tcW w:w="820" w:type="dxa"/>
            <w:tcBorders>
              <w:top w:val="single" w:sz="4" w:space="0" w:color="auto"/>
              <w:bottom w:val="single" w:sz="4" w:space="0" w:color="auto"/>
            </w:tcBorders>
            <w:shd w:val="clear" w:color="auto" w:fill="auto"/>
          </w:tcPr>
          <w:p w14:paraId="568B18B3"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313F5E20"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670AB5F5"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p w14:paraId="20F36B05"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0</w:t>
            </w:r>
          </w:p>
        </w:tc>
      </w:tr>
      <w:tr w:rsidR="00563522" w:rsidRPr="00AD6C7D" w14:paraId="52EAC240" w14:textId="77777777" w:rsidTr="00CE1151">
        <w:trPr>
          <w:trHeight w:val="57"/>
        </w:trPr>
        <w:tc>
          <w:tcPr>
            <w:tcW w:w="591" w:type="dxa"/>
            <w:gridSpan w:val="2"/>
            <w:vMerge/>
            <w:tcBorders>
              <w:top w:val="single" w:sz="4" w:space="0" w:color="auto"/>
              <w:bottom w:val="single" w:sz="4" w:space="0" w:color="auto"/>
            </w:tcBorders>
            <w:shd w:val="clear" w:color="auto" w:fill="auto"/>
          </w:tcPr>
          <w:p w14:paraId="5CDF42BB"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7C0FD8F2" w14:textId="77777777" w:rsidR="00563522" w:rsidRPr="00AD6C7D" w:rsidRDefault="00563522" w:rsidP="00563522">
            <w:pPr>
              <w:widowControl w:val="0"/>
              <w:numPr>
                <w:ilvl w:val="0"/>
                <w:numId w:val="21"/>
              </w:numPr>
              <w:tabs>
                <w:tab w:val="left" w:pos="403"/>
              </w:tabs>
              <w:suppressAutoHyphens w:val="0"/>
              <w:kinsoku w:val="0"/>
              <w:overflowPunct w:val="0"/>
              <w:autoSpaceDE w:val="0"/>
              <w:autoSpaceDN w:val="0"/>
              <w:adjustRightInd w:val="0"/>
              <w:spacing w:before="40" w:after="120" w:line="220" w:lineRule="exact"/>
              <w:ind w:left="406" w:right="113" w:hanging="284"/>
              <w:contextualSpacing/>
              <w:jc w:val="both"/>
              <w:textAlignment w:val="baseline"/>
              <w:rPr>
                <w:rFonts w:eastAsia="Arial Unicode MS"/>
                <w:szCs w:val="18"/>
                <w:bdr w:val="nil"/>
                <w:lang w:val="de-DE" w:eastAsia="nl-NL"/>
              </w:rPr>
            </w:pPr>
            <w:r w:rsidRPr="00AD6C7D">
              <w:rPr>
                <w:rFonts w:eastAsia="Arial Unicode MS"/>
                <w:szCs w:val="18"/>
                <w:bdr w:val="nil"/>
                <w:lang w:val="de-DE" w:eastAsia="nl-NL"/>
              </w:rPr>
              <w:t>Stoffe und Gegenstände der Klasse 2 Gruppe F gemäß Absatz 2.2.2.1.3 oder</w:t>
            </w:r>
          </w:p>
          <w:p w14:paraId="0702B407" w14:textId="77777777" w:rsidR="00563522" w:rsidRPr="00AD6C7D" w:rsidRDefault="00563522" w:rsidP="00563522">
            <w:pPr>
              <w:widowControl w:val="0"/>
              <w:numPr>
                <w:ilvl w:val="0"/>
                <w:numId w:val="21"/>
              </w:numPr>
              <w:tabs>
                <w:tab w:val="left" w:pos="403"/>
              </w:tabs>
              <w:suppressAutoHyphens w:val="0"/>
              <w:kinsoku w:val="0"/>
              <w:overflowPunct w:val="0"/>
              <w:autoSpaceDE w:val="0"/>
              <w:autoSpaceDN w:val="0"/>
              <w:adjustRightInd w:val="0"/>
              <w:spacing w:before="40" w:after="120" w:line="220" w:lineRule="exact"/>
              <w:ind w:left="406" w:right="113" w:hanging="284"/>
              <w:contextualSpacing/>
              <w:jc w:val="both"/>
              <w:textAlignment w:val="baseline"/>
              <w:rPr>
                <w:rFonts w:eastAsia="Arial Unicode MS"/>
                <w:szCs w:val="18"/>
                <w:bdr w:val="nil"/>
                <w:lang w:val="de-DE" w:eastAsia="nl-NL"/>
              </w:rPr>
            </w:pPr>
            <w:r w:rsidRPr="00AD6C7D">
              <w:rPr>
                <w:rFonts w:eastAsia="Arial Unicode MS"/>
                <w:szCs w:val="18"/>
                <w:bdr w:val="nil"/>
                <w:lang w:val="de-DE" w:eastAsia="nl-NL"/>
              </w:rPr>
              <w:t>Druckgaspackungen der Gruppe F gemäß Absatz 2.2.2.1.6;</w:t>
            </w:r>
          </w:p>
        </w:tc>
        <w:tc>
          <w:tcPr>
            <w:tcW w:w="820" w:type="dxa"/>
            <w:tcBorders>
              <w:top w:val="single" w:sz="4" w:space="0" w:color="auto"/>
              <w:bottom w:val="single" w:sz="4" w:space="0" w:color="auto"/>
            </w:tcBorders>
            <w:shd w:val="clear" w:color="auto" w:fill="auto"/>
          </w:tcPr>
          <w:p w14:paraId="0DC12A9E"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468C9A1C"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p w14:paraId="1B00EC2E"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w:t>
            </w:r>
          </w:p>
        </w:tc>
        <w:tc>
          <w:tcPr>
            <w:tcW w:w="701" w:type="dxa"/>
            <w:tcBorders>
              <w:top w:val="single" w:sz="4" w:space="0" w:color="auto"/>
              <w:bottom w:val="single" w:sz="4" w:space="0" w:color="auto"/>
            </w:tcBorders>
            <w:shd w:val="clear" w:color="auto" w:fill="auto"/>
          </w:tcPr>
          <w:p w14:paraId="0D71698B"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45AA686E" w14:textId="77777777" w:rsidTr="00CE1151">
        <w:trPr>
          <w:trHeight w:val="57"/>
        </w:trPr>
        <w:tc>
          <w:tcPr>
            <w:tcW w:w="591" w:type="dxa"/>
            <w:gridSpan w:val="2"/>
            <w:vMerge/>
            <w:tcBorders>
              <w:top w:val="single" w:sz="4" w:space="0" w:color="auto"/>
              <w:bottom w:val="single" w:sz="4" w:space="0" w:color="auto"/>
            </w:tcBorders>
            <w:shd w:val="clear" w:color="auto" w:fill="auto"/>
          </w:tcPr>
          <w:p w14:paraId="132AF967"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72AEAA53"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Cs/>
                <w:szCs w:val="18"/>
                <w:u w:color="000000"/>
                <w:lang w:val="de-DE"/>
              </w:rPr>
            </w:pPr>
            <w:r w:rsidRPr="00AD6C7D">
              <w:rPr>
                <w:rFonts w:eastAsia="Calibri"/>
                <w:bCs/>
                <w:szCs w:val="18"/>
                <w:u w:color="000000"/>
                <w:lang w:val="de-DE"/>
              </w:rPr>
              <w:t>sonstige Stoffe der Klasse 2</w:t>
            </w:r>
          </w:p>
        </w:tc>
        <w:tc>
          <w:tcPr>
            <w:tcW w:w="820" w:type="dxa"/>
            <w:tcBorders>
              <w:top w:val="single" w:sz="4" w:space="0" w:color="auto"/>
              <w:bottom w:val="single" w:sz="4" w:space="0" w:color="auto"/>
            </w:tcBorders>
            <w:shd w:val="clear" w:color="auto" w:fill="auto"/>
          </w:tcPr>
          <w:p w14:paraId="31C91E0D"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3000</w:t>
            </w:r>
          </w:p>
        </w:tc>
        <w:tc>
          <w:tcPr>
            <w:tcW w:w="821" w:type="dxa"/>
            <w:tcBorders>
              <w:top w:val="single" w:sz="4" w:space="0" w:color="auto"/>
              <w:bottom w:val="single" w:sz="4" w:space="0" w:color="auto"/>
            </w:tcBorders>
            <w:shd w:val="clear" w:color="auto" w:fill="auto"/>
          </w:tcPr>
          <w:p w14:paraId="0B92A1C8"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13552CF5"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2EBD7E46" w14:textId="77777777" w:rsidTr="00CE1151">
        <w:trPr>
          <w:trHeight w:val="57"/>
        </w:trPr>
        <w:tc>
          <w:tcPr>
            <w:tcW w:w="591" w:type="dxa"/>
            <w:gridSpan w:val="2"/>
            <w:vMerge w:val="restart"/>
            <w:tcBorders>
              <w:top w:val="single" w:sz="4" w:space="0" w:color="auto"/>
              <w:bottom w:val="single" w:sz="4" w:space="0" w:color="auto"/>
            </w:tcBorders>
            <w:shd w:val="clear" w:color="auto" w:fill="auto"/>
          </w:tcPr>
          <w:p w14:paraId="35750AFE"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AD6C7D">
              <w:rPr>
                <w:rFonts w:eastAsia="Calibri"/>
                <w:b/>
                <w:szCs w:val="18"/>
                <w:lang w:val="de-DE"/>
              </w:rPr>
              <w:t>3</w:t>
            </w:r>
          </w:p>
        </w:tc>
        <w:tc>
          <w:tcPr>
            <w:tcW w:w="4437" w:type="dxa"/>
            <w:tcBorders>
              <w:top w:val="single" w:sz="4" w:space="0" w:color="auto"/>
              <w:bottom w:val="single" w:sz="4" w:space="0" w:color="auto"/>
            </w:tcBorders>
            <w:shd w:val="clear" w:color="auto" w:fill="auto"/>
          </w:tcPr>
          <w:p w14:paraId="6633939A"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Stoffe und Gegenstände der Klasse 3 Verpackungsgruppe I</w:t>
            </w:r>
          </w:p>
        </w:tc>
        <w:tc>
          <w:tcPr>
            <w:tcW w:w="820" w:type="dxa"/>
            <w:tcBorders>
              <w:top w:val="single" w:sz="4" w:space="0" w:color="auto"/>
              <w:bottom w:val="single" w:sz="4" w:space="0" w:color="auto"/>
            </w:tcBorders>
            <w:shd w:val="clear" w:color="auto" w:fill="auto"/>
          </w:tcPr>
          <w:p w14:paraId="63B27946"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50E355B5"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w:t>
            </w:r>
          </w:p>
        </w:tc>
        <w:tc>
          <w:tcPr>
            <w:tcW w:w="701" w:type="dxa"/>
            <w:tcBorders>
              <w:top w:val="single" w:sz="4" w:space="0" w:color="auto"/>
              <w:bottom w:val="single" w:sz="4" w:space="0" w:color="auto"/>
            </w:tcBorders>
            <w:shd w:val="clear" w:color="auto" w:fill="auto"/>
          </w:tcPr>
          <w:p w14:paraId="3C5BF472"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720E0E7E" w14:textId="77777777" w:rsidTr="00CE1151">
        <w:trPr>
          <w:trHeight w:val="57"/>
        </w:trPr>
        <w:tc>
          <w:tcPr>
            <w:tcW w:w="591" w:type="dxa"/>
            <w:gridSpan w:val="2"/>
            <w:vMerge/>
            <w:tcBorders>
              <w:top w:val="single" w:sz="4" w:space="0" w:color="auto"/>
              <w:bottom w:val="single" w:sz="4" w:space="0" w:color="auto"/>
            </w:tcBorders>
            <w:shd w:val="clear" w:color="auto" w:fill="auto"/>
          </w:tcPr>
          <w:p w14:paraId="36A21A7F"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03DF5687"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bCs/>
                <w:szCs w:val="18"/>
                <w:u w:color="000000"/>
                <w:lang w:val="de-DE"/>
              </w:rPr>
              <w:t>sonstige Stoffe der Klasse 3</w:t>
            </w:r>
          </w:p>
        </w:tc>
        <w:tc>
          <w:tcPr>
            <w:tcW w:w="820" w:type="dxa"/>
            <w:tcBorders>
              <w:top w:val="single" w:sz="4" w:space="0" w:color="auto"/>
              <w:bottom w:val="single" w:sz="4" w:space="0" w:color="auto"/>
            </w:tcBorders>
            <w:shd w:val="clear" w:color="auto" w:fill="auto"/>
          </w:tcPr>
          <w:p w14:paraId="2A072B19"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3000</w:t>
            </w:r>
          </w:p>
        </w:tc>
        <w:tc>
          <w:tcPr>
            <w:tcW w:w="821" w:type="dxa"/>
            <w:tcBorders>
              <w:top w:val="single" w:sz="4" w:space="0" w:color="auto"/>
              <w:bottom w:val="single" w:sz="4" w:space="0" w:color="auto"/>
            </w:tcBorders>
            <w:shd w:val="clear" w:color="auto" w:fill="auto"/>
          </w:tcPr>
          <w:p w14:paraId="700D1E71"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4255D661"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3AA00BA2" w14:textId="77777777" w:rsidTr="00CE1151">
        <w:trPr>
          <w:trHeight w:val="57"/>
        </w:trPr>
        <w:tc>
          <w:tcPr>
            <w:tcW w:w="591" w:type="dxa"/>
            <w:gridSpan w:val="2"/>
            <w:vMerge w:val="restart"/>
            <w:tcBorders>
              <w:top w:val="single" w:sz="4" w:space="0" w:color="auto"/>
              <w:bottom w:val="single" w:sz="4" w:space="0" w:color="auto"/>
            </w:tcBorders>
            <w:shd w:val="clear" w:color="auto" w:fill="auto"/>
          </w:tcPr>
          <w:p w14:paraId="204EEE03"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AD6C7D">
              <w:rPr>
                <w:rFonts w:eastAsia="Calibri"/>
                <w:b/>
                <w:szCs w:val="18"/>
                <w:lang w:val="de-DE"/>
              </w:rPr>
              <w:t>4.1</w:t>
            </w:r>
          </w:p>
        </w:tc>
        <w:tc>
          <w:tcPr>
            <w:tcW w:w="4437" w:type="dxa"/>
            <w:tcBorders>
              <w:top w:val="single" w:sz="4" w:space="0" w:color="auto"/>
              <w:bottom w:val="single" w:sz="4" w:space="0" w:color="auto"/>
            </w:tcBorders>
            <w:shd w:val="clear" w:color="auto" w:fill="auto"/>
          </w:tcPr>
          <w:p w14:paraId="0F0DB4D8"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u w:color="000000"/>
                <w:lang w:val="de-DE"/>
              </w:rPr>
            </w:pPr>
            <w:r w:rsidRPr="00AD6C7D">
              <w:rPr>
                <w:rFonts w:eastAsia="Calibri"/>
                <w:szCs w:val="18"/>
                <w:u w:color="000000"/>
                <w:lang w:val="de-DE"/>
              </w:rPr>
              <w:t>Stoffe und Gegenstände der Klasse 4.1, für die in Kapitel 3.2 Tabelle A Spalte (5) ein Gefahrzettel nach Muster 1 vorgeschrieben ist;</w:t>
            </w:r>
          </w:p>
        </w:tc>
        <w:tc>
          <w:tcPr>
            <w:tcW w:w="820" w:type="dxa"/>
            <w:tcBorders>
              <w:top w:val="single" w:sz="4" w:space="0" w:color="auto"/>
              <w:bottom w:val="single" w:sz="4" w:space="0" w:color="auto"/>
            </w:tcBorders>
            <w:shd w:val="clear" w:color="auto" w:fill="auto"/>
          </w:tcPr>
          <w:p w14:paraId="1BDF8E73"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6A688C4B"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47DB1421"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0</w:t>
            </w:r>
          </w:p>
        </w:tc>
      </w:tr>
      <w:tr w:rsidR="00563522" w:rsidRPr="00AD6C7D" w14:paraId="2EEACB4D" w14:textId="77777777" w:rsidTr="00CE1151">
        <w:trPr>
          <w:trHeight w:val="57"/>
        </w:trPr>
        <w:tc>
          <w:tcPr>
            <w:tcW w:w="591" w:type="dxa"/>
            <w:gridSpan w:val="2"/>
            <w:vMerge/>
            <w:tcBorders>
              <w:top w:val="single" w:sz="4" w:space="0" w:color="auto"/>
              <w:bottom w:val="single" w:sz="4" w:space="0" w:color="auto"/>
            </w:tcBorders>
            <w:shd w:val="clear" w:color="auto" w:fill="auto"/>
          </w:tcPr>
          <w:p w14:paraId="28EB10EE"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5CF55473"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u w:color="000000"/>
                <w:lang w:val="de-DE"/>
              </w:rPr>
            </w:pPr>
            <w:r w:rsidRPr="00AD6C7D">
              <w:rPr>
                <w:rFonts w:eastAsia="Calibri"/>
                <w:bCs/>
                <w:szCs w:val="18"/>
                <w:u w:color="000000"/>
                <w:lang w:val="de-DE"/>
              </w:rPr>
              <w:t>sonstige Stoffe und Gegenstände der Klasse 4.1 Verpackungsgruppe I</w:t>
            </w:r>
          </w:p>
        </w:tc>
        <w:tc>
          <w:tcPr>
            <w:tcW w:w="820" w:type="dxa"/>
            <w:tcBorders>
              <w:top w:val="single" w:sz="4" w:space="0" w:color="auto"/>
              <w:bottom w:val="single" w:sz="4" w:space="0" w:color="auto"/>
            </w:tcBorders>
            <w:shd w:val="clear" w:color="auto" w:fill="auto"/>
          </w:tcPr>
          <w:p w14:paraId="4AB59F63"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34B06A1D"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w:t>
            </w:r>
          </w:p>
        </w:tc>
        <w:tc>
          <w:tcPr>
            <w:tcW w:w="701" w:type="dxa"/>
            <w:tcBorders>
              <w:top w:val="single" w:sz="4" w:space="0" w:color="auto"/>
              <w:bottom w:val="single" w:sz="4" w:space="0" w:color="auto"/>
            </w:tcBorders>
            <w:shd w:val="clear" w:color="auto" w:fill="auto"/>
          </w:tcPr>
          <w:p w14:paraId="6EE3A982"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2B056898" w14:textId="77777777" w:rsidTr="00CE1151">
        <w:trPr>
          <w:trHeight w:val="57"/>
        </w:trPr>
        <w:tc>
          <w:tcPr>
            <w:tcW w:w="591" w:type="dxa"/>
            <w:gridSpan w:val="2"/>
            <w:vMerge/>
            <w:tcBorders>
              <w:top w:val="single" w:sz="4" w:space="0" w:color="auto"/>
              <w:bottom w:val="single" w:sz="4" w:space="0" w:color="auto"/>
            </w:tcBorders>
            <w:shd w:val="clear" w:color="auto" w:fill="auto"/>
          </w:tcPr>
          <w:p w14:paraId="0086122F"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327433F2"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bCs/>
                <w:szCs w:val="18"/>
                <w:u w:color="000000"/>
                <w:lang w:val="de-DE"/>
              </w:rPr>
              <w:t>sonstige Stoffe und Gegenstände der Klasse 4.1</w:t>
            </w:r>
          </w:p>
        </w:tc>
        <w:tc>
          <w:tcPr>
            <w:tcW w:w="820" w:type="dxa"/>
            <w:tcBorders>
              <w:top w:val="single" w:sz="4" w:space="0" w:color="auto"/>
              <w:bottom w:val="single" w:sz="4" w:space="0" w:color="auto"/>
            </w:tcBorders>
            <w:shd w:val="clear" w:color="auto" w:fill="auto"/>
          </w:tcPr>
          <w:p w14:paraId="2EF99E76"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3000</w:t>
            </w:r>
          </w:p>
        </w:tc>
        <w:tc>
          <w:tcPr>
            <w:tcW w:w="821" w:type="dxa"/>
            <w:tcBorders>
              <w:top w:val="single" w:sz="4" w:space="0" w:color="auto"/>
              <w:bottom w:val="single" w:sz="4" w:space="0" w:color="auto"/>
            </w:tcBorders>
            <w:shd w:val="clear" w:color="auto" w:fill="auto"/>
          </w:tcPr>
          <w:p w14:paraId="3940E827"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0A16E2BF"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0B007107" w14:textId="77777777" w:rsidTr="00CE1151">
        <w:trPr>
          <w:trHeight w:val="57"/>
        </w:trPr>
        <w:tc>
          <w:tcPr>
            <w:tcW w:w="591" w:type="dxa"/>
            <w:gridSpan w:val="2"/>
            <w:vMerge w:val="restart"/>
            <w:tcBorders>
              <w:top w:val="single" w:sz="4" w:space="0" w:color="auto"/>
              <w:bottom w:val="single" w:sz="4" w:space="0" w:color="auto"/>
            </w:tcBorders>
            <w:shd w:val="clear" w:color="auto" w:fill="auto"/>
          </w:tcPr>
          <w:p w14:paraId="098A5355"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AD6C7D">
              <w:rPr>
                <w:rFonts w:eastAsia="Calibri"/>
                <w:b/>
                <w:szCs w:val="18"/>
                <w:lang w:val="de-DE"/>
              </w:rPr>
              <w:t>4.2</w:t>
            </w:r>
          </w:p>
        </w:tc>
        <w:tc>
          <w:tcPr>
            <w:tcW w:w="4437" w:type="dxa"/>
            <w:tcBorders>
              <w:top w:val="single" w:sz="4" w:space="0" w:color="auto"/>
              <w:bottom w:val="single" w:sz="4" w:space="0" w:color="auto"/>
            </w:tcBorders>
            <w:shd w:val="clear" w:color="auto" w:fill="auto"/>
          </w:tcPr>
          <w:p w14:paraId="1AAB9BA1"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Stoffe und Gegenstände der Klasse 4.2 Verpackungsgruppe I</w:t>
            </w:r>
          </w:p>
        </w:tc>
        <w:tc>
          <w:tcPr>
            <w:tcW w:w="820" w:type="dxa"/>
            <w:tcBorders>
              <w:top w:val="single" w:sz="4" w:space="0" w:color="auto"/>
              <w:bottom w:val="single" w:sz="4" w:space="0" w:color="auto"/>
            </w:tcBorders>
            <w:shd w:val="clear" w:color="auto" w:fill="auto"/>
          </w:tcPr>
          <w:p w14:paraId="447E285C"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36DF2617"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w:t>
            </w:r>
          </w:p>
        </w:tc>
        <w:tc>
          <w:tcPr>
            <w:tcW w:w="701" w:type="dxa"/>
            <w:tcBorders>
              <w:top w:val="single" w:sz="4" w:space="0" w:color="auto"/>
              <w:bottom w:val="single" w:sz="4" w:space="0" w:color="auto"/>
            </w:tcBorders>
            <w:shd w:val="clear" w:color="auto" w:fill="auto"/>
          </w:tcPr>
          <w:p w14:paraId="29C523F0"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53269183" w14:textId="77777777" w:rsidTr="00CE1151">
        <w:trPr>
          <w:trHeight w:val="57"/>
        </w:trPr>
        <w:tc>
          <w:tcPr>
            <w:tcW w:w="591" w:type="dxa"/>
            <w:gridSpan w:val="2"/>
            <w:vMerge/>
            <w:tcBorders>
              <w:top w:val="single" w:sz="4" w:space="0" w:color="auto"/>
              <w:bottom w:val="single" w:sz="4" w:space="0" w:color="auto"/>
            </w:tcBorders>
            <w:shd w:val="clear" w:color="auto" w:fill="auto"/>
          </w:tcPr>
          <w:p w14:paraId="2AFCCDEB"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3F7488F0"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bCs/>
                <w:szCs w:val="18"/>
                <w:u w:color="000000"/>
                <w:lang w:val="de-DE"/>
              </w:rPr>
              <w:t xml:space="preserve">sonstige Stoffe </w:t>
            </w:r>
            <w:r w:rsidRPr="00AD6C7D">
              <w:rPr>
                <w:rFonts w:eastAsia="Arial Unicode MS"/>
                <w:szCs w:val="18"/>
                <w:bdr w:val="nil"/>
                <w:lang w:val="de-DE" w:eastAsia="nl-NL"/>
              </w:rPr>
              <w:t xml:space="preserve">und Gegenstände </w:t>
            </w:r>
            <w:r w:rsidRPr="00AD6C7D">
              <w:rPr>
                <w:rFonts w:eastAsia="Calibri"/>
                <w:bCs/>
                <w:szCs w:val="18"/>
                <w:u w:color="000000"/>
                <w:lang w:val="de-DE"/>
              </w:rPr>
              <w:t>der Klasse 4.2</w:t>
            </w:r>
          </w:p>
        </w:tc>
        <w:tc>
          <w:tcPr>
            <w:tcW w:w="820" w:type="dxa"/>
            <w:tcBorders>
              <w:top w:val="single" w:sz="4" w:space="0" w:color="auto"/>
              <w:bottom w:val="single" w:sz="4" w:space="0" w:color="auto"/>
            </w:tcBorders>
            <w:shd w:val="clear" w:color="auto" w:fill="auto"/>
          </w:tcPr>
          <w:p w14:paraId="74B62D7C"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3000</w:t>
            </w:r>
          </w:p>
        </w:tc>
        <w:tc>
          <w:tcPr>
            <w:tcW w:w="821" w:type="dxa"/>
            <w:tcBorders>
              <w:top w:val="single" w:sz="4" w:space="0" w:color="auto"/>
              <w:bottom w:val="single" w:sz="4" w:space="0" w:color="auto"/>
            </w:tcBorders>
            <w:shd w:val="clear" w:color="auto" w:fill="auto"/>
          </w:tcPr>
          <w:p w14:paraId="0BFBE722"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59DECB35"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124853E2" w14:textId="77777777" w:rsidTr="00CE1151">
        <w:trPr>
          <w:trHeight w:val="57"/>
        </w:trPr>
        <w:tc>
          <w:tcPr>
            <w:tcW w:w="591" w:type="dxa"/>
            <w:gridSpan w:val="2"/>
            <w:vMerge w:val="restart"/>
            <w:tcBorders>
              <w:top w:val="single" w:sz="4" w:space="0" w:color="auto"/>
              <w:bottom w:val="single" w:sz="4" w:space="0" w:color="auto"/>
            </w:tcBorders>
            <w:shd w:val="clear" w:color="auto" w:fill="auto"/>
          </w:tcPr>
          <w:p w14:paraId="09A91F97"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AD6C7D">
              <w:rPr>
                <w:rFonts w:eastAsia="Calibri"/>
                <w:b/>
                <w:szCs w:val="18"/>
                <w:lang w:val="de-DE"/>
              </w:rPr>
              <w:t>4.3</w:t>
            </w:r>
          </w:p>
        </w:tc>
        <w:tc>
          <w:tcPr>
            <w:tcW w:w="4437" w:type="dxa"/>
            <w:tcBorders>
              <w:top w:val="single" w:sz="4" w:space="0" w:color="auto"/>
              <w:bottom w:val="single" w:sz="4" w:space="0" w:color="auto"/>
            </w:tcBorders>
            <w:shd w:val="clear" w:color="auto" w:fill="auto"/>
          </w:tcPr>
          <w:p w14:paraId="382DA4E5"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bCs/>
                <w:szCs w:val="18"/>
                <w:u w:color="000000"/>
                <w:lang w:val="de-DE"/>
              </w:rPr>
              <w:t>Stoffe und Gegenstände der Klasse 4.3 Verpackungsgruppe I</w:t>
            </w:r>
          </w:p>
        </w:tc>
        <w:tc>
          <w:tcPr>
            <w:tcW w:w="820" w:type="dxa"/>
            <w:tcBorders>
              <w:top w:val="single" w:sz="4" w:space="0" w:color="auto"/>
              <w:bottom w:val="single" w:sz="4" w:space="0" w:color="auto"/>
            </w:tcBorders>
            <w:shd w:val="clear" w:color="auto" w:fill="auto"/>
          </w:tcPr>
          <w:p w14:paraId="4A1BB224"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238DFDD3"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w:t>
            </w:r>
          </w:p>
        </w:tc>
        <w:tc>
          <w:tcPr>
            <w:tcW w:w="701" w:type="dxa"/>
            <w:tcBorders>
              <w:top w:val="single" w:sz="4" w:space="0" w:color="auto"/>
              <w:bottom w:val="single" w:sz="4" w:space="0" w:color="auto"/>
            </w:tcBorders>
            <w:shd w:val="clear" w:color="auto" w:fill="auto"/>
          </w:tcPr>
          <w:p w14:paraId="194F4CF7"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095A9A38" w14:textId="77777777" w:rsidTr="00CE1151">
        <w:trPr>
          <w:trHeight w:val="57"/>
        </w:trPr>
        <w:tc>
          <w:tcPr>
            <w:tcW w:w="591" w:type="dxa"/>
            <w:gridSpan w:val="2"/>
            <w:vMerge/>
            <w:tcBorders>
              <w:top w:val="single" w:sz="4" w:space="0" w:color="auto"/>
              <w:bottom w:val="single" w:sz="4" w:space="0" w:color="auto"/>
            </w:tcBorders>
            <w:shd w:val="clear" w:color="auto" w:fill="auto"/>
          </w:tcPr>
          <w:p w14:paraId="7BC6C8C2"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1410BB82"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 xml:space="preserve">sonstige Stoffe </w:t>
            </w:r>
            <w:r w:rsidRPr="00AD6C7D">
              <w:rPr>
                <w:rFonts w:eastAsia="Arial Unicode MS"/>
                <w:szCs w:val="18"/>
                <w:bdr w:val="nil"/>
                <w:lang w:val="de-DE" w:eastAsia="nl-NL"/>
              </w:rPr>
              <w:t xml:space="preserve">und Gegenstände </w:t>
            </w:r>
            <w:r w:rsidRPr="00AD6C7D">
              <w:rPr>
                <w:rFonts w:eastAsia="Calibri"/>
                <w:szCs w:val="18"/>
                <w:lang w:val="de-DE"/>
              </w:rPr>
              <w:t>der Klasse 4.3</w:t>
            </w:r>
          </w:p>
        </w:tc>
        <w:tc>
          <w:tcPr>
            <w:tcW w:w="820" w:type="dxa"/>
            <w:tcBorders>
              <w:top w:val="single" w:sz="4" w:space="0" w:color="auto"/>
              <w:bottom w:val="single" w:sz="4" w:space="0" w:color="auto"/>
            </w:tcBorders>
            <w:shd w:val="clear" w:color="auto" w:fill="auto"/>
          </w:tcPr>
          <w:p w14:paraId="60F6159C"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3000</w:t>
            </w:r>
          </w:p>
        </w:tc>
        <w:tc>
          <w:tcPr>
            <w:tcW w:w="821" w:type="dxa"/>
            <w:tcBorders>
              <w:top w:val="single" w:sz="4" w:space="0" w:color="auto"/>
              <w:bottom w:val="single" w:sz="4" w:space="0" w:color="auto"/>
            </w:tcBorders>
            <w:shd w:val="clear" w:color="auto" w:fill="auto"/>
          </w:tcPr>
          <w:p w14:paraId="5BA7E207"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52971702"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2F8812A1" w14:textId="77777777" w:rsidTr="00CE1151">
        <w:trPr>
          <w:trHeight w:val="57"/>
        </w:trPr>
        <w:tc>
          <w:tcPr>
            <w:tcW w:w="591" w:type="dxa"/>
            <w:gridSpan w:val="2"/>
            <w:vMerge w:val="restart"/>
            <w:tcBorders>
              <w:top w:val="single" w:sz="4" w:space="0" w:color="auto"/>
              <w:bottom w:val="single" w:sz="4" w:space="0" w:color="auto"/>
            </w:tcBorders>
            <w:shd w:val="clear" w:color="auto" w:fill="auto"/>
          </w:tcPr>
          <w:p w14:paraId="73DB1ECC"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AD6C7D">
              <w:rPr>
                <w:rFonts w:eastAsia="Calibri"/>
                <w:b/>
                <w:szCs w:val="18"/>
                <w:lang w:val="de-DE"/>
              </w:rPr>
              <w:t>5.1</w:t>
            </w:r>
          </w:p>
        </w:tc>
        <w:tc>
          <w:tcPr>
            <w:tcW w:w="4437" w:type="dxa"/>
            <w:tcBorders>
              <w:top w:val="single" w:sz="4" w:space="0" w:color="auto"/>
              <w:bottom w:val="single" w:sz="4" w:space="0" w:color="auto"/>
            </w:tcBorders>
            <w:shd w:val="clear" w:color="auto" w:fill="auto"/>
          </w:tcPr>
          <w:p w14:paraId="38396AC0"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Stoffe und Gegenstände der Klasse 5.1 Verpackungsgruppe I</w:t>
            </w:r>
          </w:p>
        </w:tc>
        <w:tc>
          <w:tcPr>
            <w:tcW w:w="820" w:type="dxa"/>
            <w:tcBorders>
              <w:top w:val="single" w:sz="4" w:space="0" w:color="auto"/>
              <w:bottom w:val="single" w:sz="4" w:space="0" w:color="auto"/>
            </w:tcBorders>
            <w:shd w:val="clear" w:color="auto" w:fill="auto"/>
          </w:tcPr>
          <w:p w14:paraId="0DC11E4C"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44B3F538"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w:t>
            </w:r>
          </w:p>
        </w:tc>
        <w:tc>
          <w:tcPr>
            <w:tcW w:w="701" w:type="dxa"/>
            <w:tcBorders>
              <w:top w:val="single" w:sz="4" w:space="0" w:color="auto"/>
              <w:bottom w:val="single" w:sz="4" w:space="0" w:color="auto"/>
            </w:tcBorders>
            <w:shd w:val="clear" w:color="auto" w:fill="auto"/>
          </w:tcPr>
          <w:p w14:paraId="46D3343E"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29533E7D" w14:textId="77777777" w:rsidTr="00CE1151">
        <w:trPr>
          <w:trHeight w:val="57"/>
        </w:trPr>
        <w:tc>
          <w:tcPr>
            <w:tcW w:w="591" w:type="dxa"/>
            <w:gridSpan w:val="2"/>
            <w:vMerge/>
            <w:tcBorders>
              <w:top w:val="single" w:sz="4" w:space="0" w:color="auto"/>
              <w:bottom w:val="single" w:sz="4" w:space="0" w:color="auto"/>
            </w:tcBorders>
            <w:shd w:val="clear" w:color="auto" w:fill="auto"/>
          </w:tcPr>
          <w:p w14:paraId="123F77BE"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27E171EA"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 xml:space="preserve">sonstige Stoffe und Gegenstände der Klasse 5.1 </w:t>
            </w:r>
          </w:p>
        </w:tc>
        <w:tc>
          <w:tcPr>
            <w:tcW w:w="820" w:type="dxa"/>
            <w:tcBorders>
              <w:top w:val="single" w:sz="4" w:space="0" w:color="auto"/>
              <w:bottom w:val="single" w:sz="4" w:space="0" w:color="auto"/>
            </w:tcBorders>
            <w:shd w:val="clear" w:color="auto" w:fill="auto"/>
          </w:tcPr>
          <w:p w14:paraId="0EDBF933"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3000</w:t>
            </w:r>
          </w:p>
        </w:tc>
        <w:tc>
          <w:tcPr>
            <w:tcW w:w="821" w:type="dxa"/>
            <w:tcBorders>
              <w:top w:val="single" w:sz="4" w:space="0" w:color="auto"/>
              <w:bottom w:val="single" w:sz="4" w:space="0" w:color="auto"/>
            </w:tcBorders>
            <w:shd w:val="clear" w:color="auto" w:fill="auto"/>
          </w:tcPr>
          <w:p w14:paraId="27F3CF2E"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4F5FCD49"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4A932FF3" w14:textId="77777777" w:rsidTr="00CE1151">
        <w:trPr>
          <w:trHeight w:val="57"/>
        </w:trPr>
        <w:tc>
          <w:tcPr>
            <w:tcW w:w="591" w:type="dxa"/>
            <w:gridSpan w:val="2"/>
            <w:vMerge w:val="restart"/>
            <w:tcBorders>
              <w:top w:val="single" w:sz="4" w:space="0" w:color="auto"/>
              <w:bottom w:val="single" w:sz="4" w:space="0" w:color="auto"/>
            </w:tcBorders>
            <w:shd w:val="clear" w:color="auto" w:fill="auto"/>
          </w:tcPr>
          <w:p w14:paraId="79911A7F"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AD6C7D">
              <w:rPr>
                <w:rFonts w:eastAsia="Calibri"/>
                <w:b/>
                <w:szCs w:val="18"/>
                <w:lang w:val="de-DE"/>
              </w:rPr>
              <w:t>5.2</w:t>
            </w:r>
          </w:p>
        </w:tc>
        <w:tc>
          <w:tcPr>
            <w:tcW w:w="4437" w:type="dxa"/>
            <w:tcBorders>
              <w:top w:val="single" w:sz="4" w:space="0" w:color="auto"/>
              <w:bottom w:val="single" w:sz="4" w:space="0" w:color="auto"/>
            </w:tcBorders>
            <w:shd w:val="clear" w:color="auto" w:fill="auto"/>
          </w:tcPr>
          <w:p w14:paraId="4EB27937"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Stoffe und Gegenstände der Klasse 5.2, für die in Kapitel 3.2 Tabelle A Spalte (5) ein Gefahrzettel nach Muster 1 vorgeschrieben ist;</w:t>
            </w:r>
          </w:p>
        </w:tc>
        <w:tc>
          <w:tcPr>
            <w:tcW w:w="820" w:type="dxa"/>
            <w:tcBorders>
              <w:top w:val="single" w:sz="4" w:space="0" w:color="auto"/>
              <w:bottom w:val="single" w:sz="4" w:space="0" w:color="auto"/>
            </w:tcBorders>
            <w:shd w:val="clear" w:color="auto" w:fill="auto"/>
          </w:tcPr>
          <w:p w14:paraId="2FE10F38"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6811A1D2"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0779E443"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p w14:paraId="6A369230"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0</w:t>
            </w:r>
          </w:p>
        </w:tc>
      </w:tr>
      <w:tr w:rsidR="00563522" w:rsidRPr="00AD6C7D" w14:paraId="4038032B" w14:textId="77777777" w:rsidTr="00CE1151">
        <w:trPr>
          <w:trHeight w:val="57"/>
        </w:trPr>
        <w:tc>
          <w:tcPr>
            <w:tcW w:w="591" w:type="dxa"/>
            <w:gridSpan w:val="2"/>
            <w:vMerge/>
            <w:tcBorders>
              <w:top w:val="single" w:sz="4" w:space="0" w:color="auto"/>
              <w:bottom w:val="single" w:sz="4" w:space="0" w:color="auto"/>
            </w:tcBorders>
            <w:shd w:val="clear" w:color="auto" w:fill="auto"/>
          </w:tcPr>
          <w:p w14:paraId="0BA3686E"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16E9EDB3"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bCs/>
                <w:szCs w:val="18"/>
                <w:u w:color="000000"/>
                <w:lang w:val="de-DE"/>
              </w:rPr>
              <w:t>sonstige Stoffe und Gegenstände der Klasse 5.2</w:t>
            </w:r>
          </w:p>
        </w:tc>
        <w:tc>
          <w:tcPr>
            <w:tcW w:w="820" w:type="dxa"/>
            <w:tcBorders>
              <w:top w:val="single" w:sz="4" w:space="0" w:color="auto"/>
              <w:bottom w:val="single" w:sz="4" w:space="0" w:color="auto"/>
            </w:tcBorders>
            <w:shd w:val="clear" w:color="auto" w:fill="auto"/>
          </w:tcPr>
          <w:p w14:paraId="2750A62C"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3000</w:t>
            </w:r>
          </w:p>
        </w:tc>
        <w:tc>
          <w:tcPr>
            <w:tcW w:w="821" w:type="dxa"/>
            <w:tcBorders>
              <w:top w:val="single" w:sz="4" w:space="0" w:color="auto"/>
              <w:bottom w:val="single" w:sz="4" w:space="0" w:color="auto"/>
            </w:tcBorders>
            <w:shd w:val="clear" w:color="auto" w:fill="auto"/>
          </w:tcPr>
          <w:p w14:paraId="5C03BE06"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169DD66E"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6AE8C4EB" w14:textId="77777777" w:rsidTr="00CE1151">
        <w:trPr>
          <w:trHeight w:val="57"/>
        </w:trPr>
        <w:tc>
          <w:tcPr>
            <w:tcW w:w="591" w:type="dxa"/>
            <w:gridSpan w:val="2"/>
            <w:vMerge w:val="restart"/>
            <w:tcBorders>
              <w:top w:val="single" w:sz="4" w:space="0" w:color="auto"/>
              <w:bottom w:val="single" w:sz="4" w:space="0" w:color="auto"/>
            </w:tcBorders>
            <w:shd w:val="clear" w:color="auto" w:fill="auto"/>
          </w:tcPr>
          <w:p w14:paraId="3FDE4DDB"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AD6C7D">
              <w:rPr>
                <w:rFonts w:eastAsia="Calibri"/>
                <w:b/>
                <w:szCs w:val="18"/>
                <w:lang w:val="de-DE"/>
              </w:rPr>
              <w:t>6.1</w:t>
            </w:r>
          </w:p>
        </w:tc>
        <w:tc>
          <w:tcPr>
            <w:tcW w:w="4437" w:type="dxa"/>
            <w:tcBorders>
              <w:top w:val="single" w:sz="4" w:space="0" w:color="auto"/>
              <w:bottom w:val="single" w:sz="4" w:space="0" w:color="auto"/>
            </w:tcBorders>
            <w:shd w:val="clear" w:color="auto" w:fill="auto"/>
          </w:tcPr>
          <w:p w14:paraId="4E5D9E1A"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Stoffe und Gegenstände der Klasse 6.1 Verpackungsgruppe I</w:t>
            </w:r>
          </w:p>
        </w:tc>
        <w:tc>
          <w:tcPr>
            <w:tcW w:w="820" w:type="dxa"/>
            <w:tcBorders>
              <w:top w:val="single" w:sz="4" w:space="0" w:color="auto"/>
              <w:bottom w:val="single" w:sz="4" w:space="0" w:color="auto"/>
            </w:tcBorders>
            <w:shd w:val="clear" w:color="auto" w:fill="auto"/>
          </w:tcPr>
          <w:p w14:paraId="78873996"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76B93024"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3978D0A3"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0</w:t>
            </w:r>
          </w:p>
        </w:tc>
      </w:tr>
      <w:tr w:rsidR="00563522" w:rsidRPr="00AD6C7D" w14:paraId="57401370" w14:textId="77777777" w:rsidTr="00CE1151">
        <w:trPr>
          <w:trHeight w:val="57"/>
        </w:trPr>
        <w:tc>
          <w:tcPr>
            <w:tcW w:w="591" w:type="dxa"/>
            <w:gridSpan w:val="2"/>
            <w:vMerge/>
            <w:tcBorders>
              <w:top w:val="single" w:sz="4" w:space="0" w:color="auto"/>
              <w:bottom w:val="single" w:sz="4" w:space="0" w:color="auto"/>
            </w:tcBorders>
            <w:shd w:val="clear" w:color="auto" w:fill="auto"/>
          </w:tcPr>
          <w:p w14:paraId="7ED7650D"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284CA354"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sonstige Stoffe und Gegenstände der Klasse 6.1</w:t>
            </w:r>
          </w:p>
        </w:tc>
        <w:tc>
          <w:tcPr>
            <w:tcW w:w="820" w:type="dxa"/>
            <w:tcBorders>
              <w:top w:val="single" w:sz="4" w:space="0" w:color="auto"/>
              <w:bottom w:val="single" w:sz="4" w:space="0" w:color="auto"/>
            </w:tcBorders>
            <w:shd w:val="clear" w:color="auto" w:fill="auto"/>
          </w:tcPr>
          <w:p w14:paraId="1F228DE2"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3000</w:t>
            </w:r>
          </w:p>
        </w:tc>
        <w:tc>
          <w:tcPr>
            <w:tcW w:w="821" w:type="dxa"/>
            <w:tcBorders>
              <w:top w:val="single" w:sz="4" w:space="0" w:color="auto"/>
              <w:bottom w:val="single" w:sz="4" w:space="0" w:color="auto"/>
            </w:tcBorders>
            <w:shd w:val="clear" w:color="auto" w:fill="auto"/>
          </w:tcPr>
          <w:p w14:paraId="0BA9CBB4"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0BF87F80"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4DA58278" w14:textId="77777777" w:rsidTr="00CE1151">
        <w:trPr>
          <w:trHeight w:val="57"/>
        </w:trPr>
        <w:tc>
          <w:tcPr>
            <w:tcW w:w="591" w:type="dxa"/>
            <w:gridSpan w:val="2"/>
            <w:tcBorders>
              <w:top w:val="single" w:sz="4" w:space="0" w:color="auto"/>
              <w:bottom w:val="single" w:sz="4" w:space="0" w:color="auto"/>
            </w:tcBorders>
            <w:shd w:val="clear" w:color="auto" w:fill="auto"/>
          </w:tcPr>
          <w:p w14:paraId="50368388"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AD6C7D">
              <w:rPr>
                <w:rFonts w:eastAsia="Calibri"/>
                <w:b/>
                <w:szCs w:val="18"/>
                <w:lang w:val="de-DE"/>
              </w:rPr>
              <w:t>6.2</w:t>
            </w:r>
          </w:p>
        </w:tc>
        <w:tc>
          <w:tcPr>
            <w:tcW w:w="4437" w:type="dxa"/>
            <w:tcBorders>
              <w:top w:val="single" w:sz="4" w:space="0" w:color="auto"/>
              <w:bottom w:val="single" w:sz="4" w:space="0" w:color="auto"/>
            </w:tcBorders>
            <w:shd w:val="clear" w:color="auto" w:fill="auto"/>
          </w:tcPr>
          <w:p w14:paraId="5660DC0F"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sonstige Stoffe und Gegenstände der Klasse 6.2 Kategorie A oder Verpackungsgruppe I</w:t>
            </w:r>
          </w:p>
        </w:tc>
        <w:tc>
          <w:tcPr>
            <w:tcW w:w="820" w:type="dxa"/>
            <w:tcBorders>
              <w:top w:val="single" w:sz="4" w:space="0" w:color="auto"/>
              <w:bottom w:val="single" w:sz="4" w:space="0" w:color="auto"/>
            </w:tcBorders>
            <w:shd w:val="clear" w:color="auto" w:fill="auto"/>
          </w:tcPr>
          <w:p w14:paraId="5CE71B9E"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291B5304"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184C9965"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0</w:t>
            </w:r>
          </w:p>
        </w:tc>
      </w:tr>
      <w:tr w:rsidR="00563522" w:rsidRPr="00AD6C7D" w14:paraId="1F9F9F39" w14:textId="77777777" w:rsidTr="00CE1151">
        <w:trPr>
          <w:trHeight w:val="57"/>
        </w:trPr>
        <w:tc>
          <w:tcPr>
            <w:tcW w:w="591" w:type="dxa"/>
            <w:gridSpan w:val="2"/>
            <w:tcBorders>
              <w:top w:val="single" w:sz="4" w:space="0" w:color="auto"/>
              <w:bottom w:val="single" w:sz="4" w:space="0" w:color="auto"/>
            </w:tcBorders>
            <w:shd w:val="clear" w:color="auto" w:fill="auto"/>
          </w:tcPr>
          <w:p w14:paraId="618B1A12"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307414A2"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bCs/>
                <w:szCs w:val="18"/>
                <w:u w:color="000000"/>
                <w:lang w:val="de-DE"/>
              </w:rPr>
              <w:t>sonstige Stoffe und Gegenstände der Klasse 6.2</w:t>
            </w:r>
          </w:p>
        </w:tc>
        <w:tc>
          <w:tcPr>
            <w:tcW w:w="820" w:type="dxa"/>
            <w:tcBorders>
              <w:top w:val="single" w:sz="4" w:space="0" w:color="auto"/>
              <w:bottom w:val="single" w:sz="4" w:space="0" w:color="auto"/>
            </w:tcBorders>
            <w:shd w:val="clear" w:color="auto" w:fill="auto"/>
          </w:tcPr>
          <w:p w14:paraId="70485A7F"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3000</w:t>
            </w:r>
          </w:p>
        </w:tc>
        <w:tc>
          <w:tcPr>
            <w:tcW w:w="821" w:type="dxa"/>
            <w:tcBorders>
              <w:top w:val="single" w:sz="4" w:space="0" w:color="auto"/>
              <w:bottom w:val="single" w:sz="4" w:space="0" w:color="auto"/>
            </w:tcBorders>
            <w:shd w:val="clear" w:color="auto" w:fill="auto"/>
          </w:tcPr>
          <w:p w14:paraId="22C4BD90"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70A907DD"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47093FFF" w14:textId="77777777" w:rsidTr="00CE1151">
        <w:trPr>
          <w:trHeight w:val="57"/>
        </w:trPr>
        <w:tc>
          <w:tcPr>
            <w:tcW w:w="591" w:type="dxa"/>
            <w:gridSpan w:val="2"/>
            <w:vMerge w:val="restart"/>
            <w:tcBorders>
              <w:top w:val="single" w:sz="4" w:space="0" w:color="auto"/>
              <w:bottom w:val="single" w:sz="4" w:space="0" w:color="auto"/>
            </w:tcBorders>
            <w:shd w:val="clear" w:color="auto" w:fill="auto"/>
          </w:tcPr>
          <w:p w14:paraId="49AC23F3" w14:textId="77777777" w:rsidR="00563522" w:rsidRPr="00AD6C7D" w:rsidRDefault="00563522" w:rsidP="00563522">
            <w:pPr>
              <w:keepNext/>
              <w:keepLines/>
              <w:suppressAutoHyphens w:val="0"/>
              <w:kinsoku w:val="0"/>
              <w:overflowPunct w:val="0"/>
              <w:autoSpaceDE w:val="0"/>
              <w:autoSpaceDN w:val="0"/>
              <w:adjustRightInd w:val="0"/>
              <w:spacing w:before="40" w:after="120" w:line="220" w:lineRule="exact"/>
              <w:ind w:right="113"/>
              <w:rPr>
                <w:rFonts w:eastAsia="Calibri"/>
                <w:b/>
                <w:szCs w:val="18"/>
                <w:lang w:val="de-DE"/>
              </w:rPr>
            </w:pPr>
            <w:r w:rsidRPr="00AD6C7D">
              <w:rPr>
                <w:rFonts w:eastAsia="Calibri"/>
                <w:b/>
                <w:szCs w:val="18"/>
                <w:lang w:val="de-DE"/>
              </w:rPr>
              <w:t>7</w:t>
            </w:r>
          </w:p>
        </w:tc>
        <w:tc>
          <w:tcPr>
            <w:tcW w:w="4437" w:type="dxa"/>
            <w:tcBorders>
              <w:top w:val="single" w:sz="4" w:space="0" w:color="auto"/>
              <w:bottom w:val="single" w:sz="4" w:space="0" w:color="auto"/>
            </w:tcBorders>
            <w:shd w:val="clear" w:color="auto" w:fill="auto"/>
          </w:tcPr>
          <w:p w14:paraId="6BEBFDBD" w14:textId="77777777" w:rsidR="00563522" w:rsidRPr="00AD6C7D" w:rsidRDefault="00563522" w:rsidP="00563522">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Stoffe und Gegenstände der Klasse 7, die den UN-Nummern 2908, 2909, 2910 und 2911 zugeordnet sind</w:t>
            </w:r>
          </w:p>
        </w:tc>
        <w:tc>
          <w:tcPr>
            <w:tcW w:w="820" w:type="dxa"/>
            <w:tcBorders>
              <w:top w:val="single" w:sz="4" w:space="0" w:color="auto"/>
              <w:bottom w:val="single" w:sz="4" w:space="0" w:color="auto"/>
            </w:tcBorders>
            <w:shd w:val="clear" w:color="auto" w:fill="auto"/>
          </w:tcPr>
          <w:p w14:paraId="57721B0B" w14:textId="77777777" w:rsidR="00563522" w:rsidRPr="00AD6C7D" w:rsidRDefault="00563522" w:rsidP="00563522">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3000</w:t>
            </w:r>
          </w:p>
        </w:tc>
        <w:tc>
          <w:tcPr>
            <w:tcW w:w="821" w:type="dxa"/>
            <w:tcBorders>
              <w:top w:val="single" w:sz="4" w:space="0" w:color="auto"/>
              <w:bottom w:val="single" w:sz="4" w:space="0" w:color="auto"/>
            </w:tcBorders>
            <w:shd w:val="clear" w:color="auto" w:fill="auto"/>
          </w:tcPr>
          <w:p w14:paraId="4F8457AD" w14:textId="77777777" w:rsidR="00563522" w:rsidRPr="00AD6C7D" w:rsidRDefault="00563522" w:rsidP="00563522">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23246A28" w14:textId="77777777" w:rsidR="00563522" w:rsidRPr="00AD6C7D" w:rsidRDefault="00563522" w:rsidP="00563522">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1FFFB507" w14:textId="77777777" w:rsidTr="00CE1151">
        <w:trPr>
          <w:trHeight w:val="57"/>
        </w:trPr>
        <w:tc>
          <w:tcPr>
            <w:tcW w:w="591" w:type="dxa"/>
            <w:gridSpan w:val="2"/>
            <w:vMerge/>
            <w:tcBorders>
              <w:top w:val="single" w:sz="4" w:space="0" w:color="auto"/>
              <w:bottom w:val="single" w:sz="4" w:space="0" w:color="auto"/>
            </w:tcBorders>
            <w:shd w:val="clear" w:color="auto" w:fill="auto"/>
          </w:tcPr>
          <w:p w14:paraId="48E8EDB5" w14:textId="77777777" w:rsidR="00563522" w:rsidRPr="00AD6C7D" w:rsidRDefault="00563522" w:rsidP="00563522">
            <w:pPr>
              <w:keepNext/>
              <w:keepLines/>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2AF40AF4" w14:textId="77777777" w:rsidR="00563522" w:rsidRPr="00AD6C7D" w:rsidRDefault="00563522" w:rsidP="00563522">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sonstige Stoffe und Gegenstände der Klasse 7</w:t>
            </w:r>
          </w:p>
        </w:tc>
        <w:tc>
          <w:tcPr>
            <w:tcW w:w="820" w:type="dxa"/>
            <w:tcBorders>
              <w:top w:val="single" w:sz="4" w:space="0" w:color="auto"/>
              <w:bottom w:val="single" w:sz="4" w:space="0" w:color="auto"/>
            </w:tcBorders>
            <w:shd w:val="clear" w:color="auto" w:fill="auto"/>
          </w:tcPr>
          <w:p w14:paraId="6F54F014" w14:textId="77777777" w:rsidR="00563522" w:rsidRPr="00AD6C7D" w:rsidRDefault="00563522" w:rsidP="00563522">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288B2D5F" w14:textId="77777777" w:rsidR="00563522" w:rsidRPr="00AD6C7D" w:rsidRDefault="00563522" w:rsidP="00563522">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7E5863F5" w14:textId="77777777" w:rsidR="00563522" w:rsidRPr="00AD6C7D" w:rsidRDefault="00563522" w:rsidP="00563522">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0</w:t>
            </w:r>
          </w:p>
        </w:tc>
      </w:tr>
      <w:tr w:rsidR="00563522" w:rsidRPr="00AD6C7D" w14:paraId="0652592F" w14:textId="77777777" w:rsidTr="00CE1151">
        <w:trPr>
          <w:trHeight w:val="57"/>
        </w:trPr>
        <w:tc>
          <w:tcPr>
            <w:tcW w:w="591" w:type="dxa"/>
            <w:gridSpan w:val="2"/>
            <w:vMerge w:val="restart"/>
            <w:tcBorders>
              <w:top w:val="single" w:sz="4" w:space="0" w:color="auto"/>
              <w:bottom w:val="single" w:sz="4" w:space="0" w:color="auto"/>
            </w:tcBorders>
            <w:shd w:val="clear" w:color="auto" w:fill="auto"/>
          </w:tcPr>
          <w:p w14:paraId="2FD08D4F"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AD6C7D">
              <w:rPr>
                <w:rFonts w:eastAsia="Calibri"/>
                <w:b/>
                <w:szCs w:val="18"/>
                <w:lang w:val="de-DE"/>
              </w:rPr>
              <w:t>8</w:t>
            </w:r>
          </w:p>
        </w:tc>
        <w:tc>
          <w:tcPr>
            <w:tcW w:w="4437" w:type="dxa"/>
            <w:tcBorders>
              <w:top w:val="single" w:sz="4" w:space="0" w:color="auto"/>
              <w:bottom w:val="single" w:sz="4" w:space="0" w:color="auto"/>
            </w:tcBorders>
            <w:shd w:val="clear" w:color="auto" w:fill="auto"/>
          </w:tcPr>
          <w:p w14:paraId="6EC9D947"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 xml:space="preserve">Stoffe und Gegenstände der Klasse 8 Verpackungsgruppe I </w:t>
            </w:r>
          </w:p>
        </w:tc>
        <w:tc>
          <w:tcPr>
            <w:tcW w:w="820" w:type="dxa"/>
            <w:tcBorders>
              <w:top w:val="single" w:sz="4" w:space="0" w:color="auto"/>
              <w:bottom w:val="single" w:sz="4" w:space="0" w:color="auto"/>
            </w:tcBorders>
            <w:shd w:val="clear" w:color="auto" w:fill="auto"/>
          </w:tcPr>
          <w:p w14:paraId="50A160DE"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5A0E0A06"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w:t>
            </w:r>
          </w:p>
        </w:tc>
        <w:tc>
          <w:tcPr>
            <w:tcW w:w="701" w:type="dxa"/>
            <w:tcBorders>
              <w:top w:val="single" w:sz="4" w:space="0" w:color="auto"/>
              <w:bottom w:val="single" w:sz="4" w:space="0" w:color="auto"/>
            </w:tcBorders>
            <w:shd w:val="clear" w:color="auto" w:fill="auto"/>
          </w:tcPr>
          <w:p w14:paraId="67A37F2A"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23E885E8" w14:textId="77777777" w:rsidTr="00CE1151">
        <w:trPr>
          <w:trHeight w:val="57"/>
        </w:trPr>
        <w:tc>
          <w:tcPr>
            <w:tcW w:w="591" w:type="dxa"/>
            <w:gridSpan w:val="2"/>
            <w:vMerge/>
            <w:tcBorders>
              <w:top w:val="single" w:sz="4" w:space="0" w:color="auto"/>
              <w:bottom w:val="single" w:sz="4" w:space="0" w:color="auto"/>
            </w:tcBorders>
            <w:shd w:val="clear" w:color="auto" w:fill="auto"/>
          </w:tcPr>
          <w:p w14:paraId="20341B45"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0A06EC94"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sonstige Stoffe und Gegenstände der Klasse 8</w:t>
            </w:r>
          </w:p>
        </w:tc>
        <w:tc>
          <w:tcPr>
            <w:tcW w:w="820" w:type="dxa"/>
            <w:tcBorders>
              <w:top w:val="single" w:sz="4" w:space="0" w:color="auto"/>
              <w:bottom w:val="single" w:sz="4" w:space="0" w:color="auto"/>
            </w:tcBorders>
            <w:shd w:val="clear" w:color="auto" w:fill="auto"/>
          </w:tcPr>
          <w:p w14:paraId="46AE9A52"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3000</w:t>
            </w:r>
          </w:p>
        </w:tc>
        <w:tc>
          <w:tcPr>
            <w:tcW w:w="821" w:type="dxa"/>
            <w:tcBorders>
              <w:top w:val="single" w:sz="4" w:space="0" w:color="auto"/>
              <w:bottom w:val="single" w:sz="4" w:space="0" w:color="auto"/>
            </w:tcBorders>
            <w:shd w:val="clear" w:color="auto" w:fill="auto"/>
          </w:tcPr>
          <w:p w14:paraId="33630A3D"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798CA6D1"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563522" w:rsidRPr="00AD6C7D" w14:paraId="2ED20851" w14:textId="77777777" w:rsidTr="00CE1151">
        <w:trPr>
          <w:trHeight w:val="57"/>
        </w:trPr>
        <w:tc>
          <w:tcPr>
            <w:tcW w:w="591" w:type="dxa"/>
            <w:gridSpan w:val="2"/>
            <w:tcBorders>
              <w:top w:val="single" w:sz="4" w:space="0" w:color="auto"/>
            </w:tcBorders>
            <w:shd w:val="clear" w:color="auto" w:fill="auto"/>
          </w:tcPr>
          <w:p w14:paraId="2A65D100"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AD6C7D">
              <w:rPr>
                <w:rFonts w:eastAsia="Calibri"/>
                <w:b/>
                <w:szCs w:val="18"/>
                <w:lang w:val="de-DE"/>
              </w:rPr>
              <w:t>9</w:t>
            </w:r>
          </w:p>
        </w:tc>
        <w:tc>
          <w:tcPr>
            <w:tcW w:w="4437" w:type="dxa"/>
            <w:tcBorders>
              <w:top w:val="single" w:sz="4" w:space="0" w:color="auto"/>
            </w:tcBorders>
            <w:shd w:val="clear" w:color="auto" w:fill="auto"/>
          </w:tcPr>
          <w:p w14:paraId="1F0FBDED"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alle Stoffe und Gegenstände der Klasse 9</w:t>
            </w:r>
          </w:p>
        </w:tc>
        <w:tc>
          <w:tcPr>
            <w:tcW w:w="820" w:type="dxa"/>
            <w:tcBorders>
              <w:top w:val="single" w:sz="4" w:space="0" w:color="auto"/>
            </w:tcBorders>
            <w:shd w:val="clear" w:color="auto" w:fill="auto"/>
          </w:tcPr>
          <w:p w14:paraId="39F5E72B"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r w:rsidRPr="00AD6C7D">
              <w:rPr>
                <w:rFonts w:eastAsia="Calibri"/>
                <w:szCs w:val="18"/>
                <w:lang w:val="de-DE"/>
              </w:rPr>
              <w:t>3000</w:t>
            </w:r>
          </w:p>
        </w:tc>
        <w:tc>
          <w:tcPr>
            <w:tcW w:w="821" w:type="dxa"/>
            <w:tcBorders>
              <w:top w:val="single" w:sz="4" w:space="0" w:color="auto"/>
            </w:tcBorders>
            <w:shd w:val="clear" w:color="auto" w:fill="auto"/>
          </w:tcPr>
          <w:p w14:paraId="29B22DB2"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tcBorders>
            <w:shd w:val="clear" w:color="auto" w:fill="auto"/>
          </w:tcPr>
          <w:p w14:paraId="338FCDAC" w14:textId="77777777" w:rsidR="00563522" w:rsidRPr="00AD6C7D" w:rsidRDefault="00563522" w:rsidP="00563522">
            <w:pPr>
              <w:suppressAutoHyphens w:val="0"/>
              <w:kinsoku w:val="0"/>
              <w:overflowPunct w:val="0"/>
              <w:autoSpaceDE w:val="0"/>
              <w:autoSpaceDN w:val="0"/>
              <w:adjustRightInd w:val="0"/>
              <w:spacing w:before="40" w:after="120" w:line="220" w:lineRule="exact"/>
              <w:ind w:right="113"/>
              <w:rPr>
                <w:rFonts w:eastAsia="Calibri"/>
                <w:szCs w:val="18"/>
                <w:lang w:val="de-DE"/>
              </w:rPr>
            </w:pPr>
          </w:p>
        </w:tc>
      </w:tr>
    </w:tbl>
    <w:p w14:paraId="4A95D42E" w14:textId="77777777" w:rsidR="00563522" w:rsidRPr="00AD6C7D" w:rsidRDefault="00563522" w:rsidP="00563522">
      <w:pPr>
        <w:spacing w:before="120"/>
        <w:ind w:left="1134" w:right="1134"/>
        <w:jc w:val="both"/>
        <w:rPr>
          <w:i/>
          <w:iCs/>
          <w:lang w:val="de-DE"/>
        </w:rPr>
      </w:pPr>
      <w:r w:rsidRPr="00AD6C7D">
        <w:rPr>
          <w:lang w:val="de-DE"/>
        </w:rPr>
        <w:t>“</w:t>
      </w:r>
      <w:r w:rsidRPr="00AD6C7D">
        <w:rPr>
          <w:i/>
          <w:iCs/>
          <w:lang w:val="de-DE"/>
        </w:rPr>
        <w:t>.</w:t>
      </w:r>
    </w:p>
    <w:p w14:paraId="70F9D0DC" w14:textId="6ACD9DF0" w:rsidR="00563522" w:rsidRPr="00AD6C7D" w:rsidRDefault="00563522" w:rsidP="00563522">
      <w:pPr>
        <w:spacing w:after="120"/>
        <w:ind w:left="1134" w:right="1134"/>
        <w:jc w:val="both"/>
        <w:rPr>
          <w:lang w:val="de-DE"/>
        </w:rPr>
      </w:pPr>
      <w:r w:rsidRPr="00AD6C7D">
        <w:rPr>
          <w:i/>
          <w:iCs/>
          <w:lang w:val="de-DE"/>
        </w:rPr>
        <w:t xml:space="preserve">(Referenzdokumente: </w:t>
      </w:r>
      <w:r w:rsidRPr="00AD6C7D">
        <w:rPr>
          <w:i/>
          <w:lang w:val="de-DE"/>
        </w:rPr>
        <w:t xml:space="preserve">ECE/TRANS/WP.15/AC.2/2019/23 und </w:t>
      </w:r>
      <w:r w:rsidRPr="00AD6C7D">
        <w:rPr>
          <w:i/>
          <w:iCs/>
          <w:lang w:val="de-DE"/>
        </w:rPr>
        <w:t>ECE/TRANS/WP.15/AC.2/70)</w:t>
      </w:r>
    </w:p>
    <w:p w14:paraId="0FC42865" w14:textId="77777777" w:rsidR="00563522" w:rsidRPr="00AD6C7D" w:rsidRDefault="00563522" w:rsidP="005955F6">
      <w:pPr>
        <w:pStyle w:val="SingleTxtG"/>
        <w:rPr>
          <w:lang w:val="de-DE"/>
        </w:rPr>
      </w:pPr>
    </w:p>
    <w:p w14:paraId="05CA58AD" w14:textId="2E603F54" w:rsidR="005955F6" w:rsidRPr="00AD6C7D" w:rsidRDefault="005955F6" w:rsidP="001E620D">
      <w:pPr>
        <w:pStyle w:val="SingleTxtG"/>
        <w:tabs>
          <w:tab w:val="left" w:pos="2268"/>
        </w:tabs>
        <w:jc w:val="left"/>
        <w:rPr>
          <w:lang w:val="de-DE"/>
        </w:rPr>
      </w:pPr>
      <w:r w:rsidRPr="00AD6C7D">
        <w:rPr>
          <w:lang w:val="de-DE"/>
        </w:rPr>
        <w:t>1.1.3.6.2</w:t>
      </w:r>
      <w:r w:rsidRPr="00AD6C7D">
        <w:rPr>
          <w:lang w:val="de-DE"/>
        </w:rPr>
        <w:tab/>
      </w:r>
      <w:r w:rsidR="004E6404" w:rsidRPr="00AD6C7D">
        <w:rPr>
          <w:lang w:val="de-DE"/>
        </w:rPr>
        <w:t>Folgende Änderungen vornehmen:</w:t>
      </w:r>
    </w:p>
    <w:p w14:paraId="2B00011A" w14:textId="6E88C511" w:rsidR="004E6404" w:rsidRPr="00AD6C7D" w:rsidRDefault="004E6404" w:rsidP="001E620D">
      <w:pPr>
        <w:pStyle w:val="SingleTxtG"/>
        <w:ind w:left="2268"/>
        <w:jc w:val="left"/>
        <w:rPr>
          <w:lang w:val="de-DE"/>
        </w:rPr>
      </w:pPr>
      <w:r w:rsidRPr="00AD6C7D">
        <w:rPr>
          <w:lang w:val="de-DE"/>
        </w:rPr>
        <w:t xml:space="preserve">Einen neuen Buchstaben b) </w:t>
      </w:r>
      <w:r w:rsidR="006D4DA8" w:rsidRPr="00AD6C7D">
        <w:rPr>
          <w:lang w:val="de-DE"/>
        </w:rPr>
        <w:t xml:space="preserve">mit folgendem Wortlaut </w:t>
      </w:r>
      <w:r w:rsidRPr="00AD6C7D">
        <w:rPr>
          <w:lang w:val="de-DE"/>
        </w:rPr>
        <w:t>einfügen:</w:t>
      </w:r>
    </w:p>
    <w:p w14:paraId="3A371937" w14:textId="6CCDD59C" w:rsidR="004E6404" w:rsidRPr="00AD6C7D" w:rsidRDefault="004E6404" w:rsidP="001E620D">
      <w:pPr>
        <w:pStyle w:val="SingleTxtG"/>
        <w:ind w:left="2268"/>
        <w:jc w:val="left"/>
        <w:rPr>
          <w:lang w:val="de-DE"/>
        </w:rPr>
      </w:pPr>
      <w:r w:rsidRPr="00AD6C7D">
        <w:rPr>
          <w:lang w:val="de-DE"/>
        </w:rPr>
        <w:t>„b)</w:t>
      </w:r>
      <w:r w:rsidRPr="00AD6C7D">
        <w:rPr>
          <w:lang w:val="de-DE"/>
        </w:rPr>
        <w:tab/>
        <w:t>Die Vorschriften der Abschnitte 1.10.1, 1.10.2 und 1.10.3 gelten für Versandstücke der UN-Nummern 2910 und 2911 der Klasse 7, wenn der Aktivitätswert (je Versandstück) den A</w:t>
      </w:r>
      <w:r w:rsidRPr="00AD6C7D">
        <w:rPr>
          <w:vertAlign w:val="subscript"/>
          <w:lang w:val="de-DE"/>
        </w:rPr>
        <w:t>2</w:t>
      </w:r>
      <w:r w:rsidRPr="00AD6C7D">
        <w:rPr>
          <w:lang w:val="de-DE"/>
        </w:rPr>
        <w:t>-Wert überschreitet.“</w:t>
      </w:r>
      <w:r w:rsidR="003E7111" w:rsidRPr="00AD6C7D">
        <w:rPr>
          <w:lang w:val="de-DE"/>
        </w:rPr>
        <w:t>.</w:t>
      </w:r>
    </w:p>
    <w:p w14:paraId="7F75D2CD" w14:textId="7952C064" w:rsidR="006D4DA8" w:rsidRPr="00AD6C7D" w:rsidRDefault="006D4DA8" w:rsidP="001E620D">
      <w:pPr>
        <w:pStyle w:val="SingleTxtG"/>
        <w:ind w:left="2268"/>
        <w:jc w:val="left"/>
        <w:rPr>
          <w:lang w:val="de-DE"/>
        </w:rPr>
      </w:pPr>
      <w:r w:rsidRPr="00AD6C7D">
        <w:rPr>
          <w:iCs/>
          <w:lang w:val="de-DE"/>
        </w:rPr>
        <w:t xml:space="preserve">Die nachfolgenden Absätze entsprechend </w:t>
      </w:r>
      <w:proofErr w:type="spellStart"/>
      <w:r w:rsidRPr="00AD6C7D">
        <w:rPr>
          <w:iCs/>
          <w:lang w:val="de-DE"/>
        </w:rPr>
        <w:t>umnummerieren</w:t>
      </w:r>
      <w:proofErr w:type="spellEnd"/>
      <w:r w:rsidRPr="00AD6C7D">
        <w:rPr>
          <w:iCs/>
          <w:lang w:val="de-DE"/>
        </w:rPr>
        <w:t>.</w:t>
      </w:r>
    </w:p>
    <w:p w14:paraId="192BB1AD" w14:textId="2EF57C7A" w:rsidR="004E6404" w:rsidRPr="00AD6C7D" w:rsidRDefault="006D4DA8" w:rsidP="001E620D">
      <w:pPr>
        <w:pStyle w:val="SingleTxtG"/>
        <w:ind w:left="2268"/>
        <w:jc w:val="left"/>
        <w:rPr>
          <w:lang w:val="de-DE"/>
        </w:rPr>
      </w:pPr>
      <w:r w:rsidRPr="00AD6C7D">
        <w:rPr>
          <w:lang w:val="de-DE"/>
        </w:rPr>
        <w:t>In Buchstabe g) (bisheri</w:t>
      </w:r>
      <w:r w:rsidR="003E7111" w:rsidRPr="00AD6C7D">
        <w:rPr>
          <w:lang w:val="de-DE"/>
        </w:rPr>
        <w:t>g</w:t>
      </w:r>
      <w:r w:rsidRPr="00AD6C7D">
        <w:rPr>
          <w:lang w:val="de-DE"/>
        </w:rPr>
        <w:t xml:space="preserve"> f)) </w:t>
      </w:r>
      <w:r w:rsidR="004E6404" w:rsidRPr="00AD6C7D">
        <w:rPr>
          <w:lang w:val="de-DE"/>
        </w:rPr>
        <w:t xml:space="preserve">„in d) und e)“ </w:t>
      </w:r>
      <w:r w:rsidRPr="00AD6C7D">
        <w:rPr>
          <w:lang w:val="de-DE"/>
        </w:rPr>
        <w:t>ändern in:</w:t>
      </w:r>
      <w:r w:rsidR="004E6404" w:rsidRPr="00AD6C7D">
        <w:rPr>
          <w:lang w:val="de-DE"/>
        </w:rPr>
        <w:t xml:space="preserve"> „in e) und f)“.</w:t>
      </w:r>
    </w:p>
    <w:p w14:paraId="784C4BC9" w14:textId="6C0AD8D7" w:rsidR="005955F6" w:rsidRPr="00AD6C7D" w:rsidRDefault="005955F6" w:rsidP="005955F6">
      <w:pPr>
        <w:pStyle w:val="SingleTxtG"/>
        <w:rPr>
          <w:rFonts w:eastAsia="MS Mincho"/>
          <w:lang w:val="de-DE"/>
        </w:rPr>
      </w:pPr>
      <w:r w:rsidRPr="00AD6C7D">
        <w:rPr>
          <w:i/>
          <w:lang w:val="de-DE"/>
        </w:rPr>
        <w:t>(</w:t>
      </w:r>
      <w:r w:rsidR="006D4DA8" w:rsidRPr="00AD6C7D">
        <w:rPr>
          <w:i/>
          <w:lang w:val="de-DE"/>
        </w:rPr>
        <w:t>Referenzdokument</w:t>
      </w:r>
      <w:r w:rsidRPr="00AD6C7D">
        <w:rPr>
          <w:i/>
          <w:lang w:val="de-DE"/>
        </w:rPr>
        <w:t>: ECE/TRANS/WP.15/AC.2/2019/19)</w:t>
      </w:r>
    </w:p>
    <w:p w14:paraId="22045FB9" w14:textId="1B1C900B" w:rsidR="005955F6" w:rsidRPr="00AD6C7D" w:rsidRDefault="005955F6" w:rsidP="005955F6">
      <w:pPr>
        <w:pStyle w:val="H23G"/>
        <w:kinsoku w:val="0"/>
        <w:overflowPunct w:val="0"/>
        <w:autoSpaceDE w:val="0"/>
        <w:autoSpaceDN w:val="0"/>
        <w:adjustRightInd w:val="0"/>
        <w:snapToGrid w:val="0"/>
        <w:rPr>
          <w:rStyle w:val="Emphasis"/>
          <w:lang w:val="de-DE"/>
        </w:rPr>
      </w:pPr>
      <w:r w:rsidRPr="00AD6C7D">
        <w:rPr>
          <w:lang w:val="de-DE"/>
        </w:rPr>
        <w:tab/>
      </w:r>
      <w:r w:rsidRPr="00AD6C7D">
        <w:rPr>
          <w:lang w:val="de-DE"/>
        </w:rPr>
        <w:tab/>
      </w:r>
      <w:r w:rsidR="000D3664" w:rsidRPr="00AD6C7D">
        <w:rPr>
          <w:lang w:val="de-DE"/>
        </w:rPr>
        <w:t>Kapitel</w:t>
      </w:r>
      <w:r w:rsidRPr="00AD6C7D">
        <w:rPr>
          <w:lang w:val="de-DE"/>
        </w:rPr>
        <w:t xml:space="preserve"> 1.2</w:t>
      </w:r>
    </w:p>
    <w:p w14:paraId="30C058BE" w14:textId="193BAA5A" w:rsidR="00242E8C" w:rsidRPr="00242E8C" w:rsidRDefault="005955F6" w:rsidP="00242E8C">
      <w:pPr>
        <w:suppressAutoHyphens w:val="0"/>
        <w:autoSpaceDE w:val="0"/>
        <w:autoSpaceDN w:val="0"/>
        <w:adjustRightInd w:val="0"/>
        <w:spacing w:line="240" w:lineRule="auto"/>
        <w:ind w:left="1134" w:right="1134"/>
        <w:rPr>
          <w:rFonts w:eastAsia="SimSun"/>
          <w:lang w:val="de-DE" w:eastAsia="zh-CN"/>
        </w:rPr>
      </w:pPr>
      <w:r w:rsidRPr="00AD6C7D">
        <w:rPr>
          <w:lang w:val="de-DE"/>
        </w:rPr>
        <w:t>1.2.1</w:t>
      </w:r>
      <w:r w:rsidRPr="00AD6C7D">
        <w:rPr>
          <w:lang w:val="de-DE"/>
        </w:rPr>
        <w:tab/>
      </w:r>
      <w:r w:rsidR="00242E8C">
        <w:rPr>
          <w:lang w:val="de-DE"/>
        </w:rPr>
        <w:t>In der</w:t>
      </w:r>
      <w:r w:rsidR="000D3664" w:rsidRPr="00AD6C7D">
        <w:rPr>
          <w:lang w:val="de-DE"/>
        </w:rPr>
        <w:t xml:space="preserve"> Begriffsbestimmung von</w:t>
      </w:r>
      <w:r w:rsidRPr="00AD6C7D">
        <w:rPr>
          <w:lang w:val="de-DE"/>
        </w:rPr>
        <w:t xml:space="preserve"> </w:t>
      </w:r>
      <w:r w:rsidR="000D3664" w:rsidRPr="00AD6C7D">
        <w:rPr>
          <w:b/>
          <w:bCs/>
          <w:lang w:val="de-DE"/>
        </w:rPr>
        <w:t>„</w:t>
      </w:r>
      <w:r w:rsidR="000D3664" w:rsidRPr="00AD6C7D">
        <w:rPr>
          <w:b/>
          <w:bCs/>
          <w:i/>
          <w:iCs/>
          <w:lang w:val="de-DE"/>
        </w:rPr>
        <w:t>Gasrückfuhrleitung (an Land)“</w:t>
      </w:r>
      <w:r w:rsidRPr="00AD6C7D">
        <w:rPr>
          <w:lang w:val="de-DE"/>
        </w:rPr>
        <w:t xml:space="preserve"> </w:t>
      </w:r>
      <w:r w:rsidR="00242E8C">
        <w:rPr>
          <w:lang w:val="de-DE"/>
        </w:rPr>
        <w:t xml:space="preserve">streichen: </w:t>
      </w:r>
      <w:r w:rsidR="00242E8C" w:rsidRPr="00242E8C">
        <w:rPr>
          <w:rFonts w:eastAsia="SimSun"/>
          <w:lang w:val="de-DE" w:eastAsia="zh-CN"/>
        </w:rPr>
        <w:t>„und die so ausgeführt ist, dass das Schiff gegen Detonation und Flammendurchschlag von Land aus geschützt ist“</w:t>
      </w:r>
      <w:r w:rsidR="00242E8C">
        <w:rPr>
          <w:rFonts w:eastAsia="SimSun"/>
          <w:lang w:val="de-DE" w:eastAsia="zh-CN"/>
        </w:rPr>
        <w:t>.</w:t>
      </w:r>
    </w:p>
    <w:p w14:paraId="4BDCC250" w14:textId="2A4778B5" w:rsidR="005955F6" w:rsidRPr="00AD6C7D" w:rsidRDefault="005955F6" w:rsidP="00242E8C">
      <w:pPr>
        <w:pStyle w:val="SingleTxtG"/>
        <w:spacing w:before="120"/>
        <w:rPr>
          <w:i/>
          <w:lang w:val="de-DE"/>
        </w:rPr>
      </w:pPr>
      <w:r w:rsidRPr="00AD6C7D">
        <w:rPr>
          <w:i/>
          <w:lang w:val="de-DE"/>
        </w:rPr>
        <w:t>(</w:t>
      </w:r>
      <w:bookmarkStart w:id="15" w:name="_Hlk19524598"/>
      <w:r w:rsidR="000D3664" w:rsidRPr="00AD6C7D">
        <w:rPr>
          <w:i/>
          <w:lang w:val="de-DE"/>
        </w:rPr>
        <w:t>Referenzdokument</w:t>
      </w:r>
      <w:bookmarkEnd w:id="15"/>
      <w:r w:rsidRPr="00AD6C7D">
        <w:rPr>
          <w:i/>
          <w:lang w:val="de-DE"/>
        </w:rPr>
        <w:t>: ECE/TRANS/WP.15/AC.2/2019/33)</w:t>
      </w:r>
    </w:p>
    <w:p w14:paraId="6F1748A8" w14:textId="55FF9620" w:rsidR="005955F6" w:rsidRPr="00AD6C7D" w:rsidRDefault="005955F6" w:rsidP="005955F6">
      <w:pPr>
        <w:pStyle w:val="H23G"/>
        <w:kinsoku w:val="0"/>
        <w:overflowPunct w:val="0"/>
        <w:autoSpaceDE w:val="0"/>
        <w:autoSpaceDN w:val="0"/>
        <w:adjustRightInd w:val="0"/>
        <w:snapToGrid w:val="0"/>
        <w:rPr>
          <w:rFonts w:eastAsiaTheme="minorHAnsi"/>
          <w:i/>
          <w:iCs/>
          <w:lang w:val="de-DE"/>
        </w:rPr>
      </w:pPr>
      <w:r w:rsidRPr="00AD6C7D">
        <w:rPr>
          <w:lang w:val="de-DE"/>
        </w:rPr>
        <w:tab/>
      </w:r>
      <w:r w:rsidRPr="00AD6C7D">
        <w:rPr>
          <w:lang w:val="de-DE"/>
        </w:rPr>
        <w:tab/>
      </w:r>
      <w:r w:rsidR="000D3664" w:rsidRPr="00AD6C7D">
        <w:rPr>
          <w:lang w:val="de-DE"/>
        </w:rPr>
        <w:t>Kapitel</w:t>
      </w:r>
      <w:r w:rsidRPr="00AD6C7D">
        <w:rPr>
          <w:lang w:val="de-DE"/>
        </w:rPr>
        <w:t xml:space="preserve"> 1.6</w:t>
      </w:r>
    </w:p>
    <w:p w14:paraId="6B4B4DD0" w14:textId="3E925870" w:rsidR="005955F6" w:rsidRPr="00AD6C7D" w:rsidRDefault="005955F6" w:rsidP="005955F6">
      <w:pPr>
        <w:pStyle w:val="SingleTxtG"/>
        <w:rPr>
          <w:lang w:val="de-DE"/>
        </w:rPr>
      </w:pPr>
      <w:r w:rsidRPr="00AD6C7D">
        <w:rPr>
          <w:lang w:val="de-DE"/>
        </w:rPr>
        <w:t>1.6.7.2.1.3</w:t>
      </w:r>
      <w:r w:rsidRPr="00AD6C7D">
        <w:rPr>
          <w:lang w:val="de-DE"/>
        </w:rPr>
        <w:tab/>
      </w:r>
      <w:bookmarkStart w:id="16" w:name="_Hlk19535276"/>
      <w:bookmarkStart w:id="17" w:name="_Hlk19525352"/>
      <w:r w:rsidR="00AF0895" w:rsidRPr="00AD6C7D">
        <w:rPr>
          <w:lang w:val="de-DE"/>
        </w:rPr>
        <w:t>Erhält folgenden Wortlaut: „</w:t>
      </w:r>
      <w:r w:rsidRPr="00AD6C7D">
        <w:rPr>
          <w:lang w:val="de-DE"/>
        </w:rPr>
        <w:t>1.6.7.2.1.3</w:t>
      </w:r>
      <w:r w:rsidRPr="00AD6C7D">
        <w:rPr>
          <w:lang w:val="de-DE"/>
        </w:rPr>
        <w:tab/>
        <w:t>(</w:t>
      </w:r>
      <w:r w:rsidR="00AF0895" w:rsidRPr="00AD6C7D">
        <w:rPr>
          <w:lang w:val="de-DE"/>
        </w:rPr>
        <w:t>gestrichen)“</w:t>
      </w:r>
      <w:r w:rsidRPr="00AD6C7D">
        <w:rPr>
          <w:lang w:val="de-DE"/>
        </w:rPr>
        <w:t>.</w:t>
      </w:r>
      <w:bookmarkEnd w:id="16"/>
    </w:p>
    <w:bookmarkEnd w:id="17"/>
    <w:p w14:paraId="42F51D46" w14:textId="2BE1F34D" w:rsidR="005955F6" w:rsidRPr="00AD6C7D" w:rsidRDefault="005955F6" w:rsidP="005955F6">
      <w:pPr>
        <w:pStyle w:val="SingleTxtG"/>
        <w:rPr>
          <w:i/>
          <w:lang w:val="de-DE"/>
        </w:rPr>
      </w:pPr>
      <w:r w:rsidRPr="00AD6C7D">
        <w:rPr>
          <w:i/>
          <w:lang w:val="de-DE"/>
        </w:rPr>
        <w:t>(</w:t>
      </w:r>
      <w:r w:rsidR="002A23EF" w:rsidRPr="00AD6C7D">
        <w:rPr>
          <w:i/>
          <w:lang w:val="de-DE"/>
        </w:rPr>
        <w:t>Referenzdokument</w:t>
      </w:r>
      <w:r w:rsidRPr="00AD6C7D">
        <w:rPr>
          <w:i/>
          <w:lang w:val="de-DE"/>
        </w:rPr>
        <w:t>: ECE/TRANS/WP.15/AC.2/2019/21)</w:t>
      </w:r>
    </w:p>
    <w:p w14:paraId="5070D1E2" w14:textId="3E702041" w:rsidR="005955F6" w:rsidRPr="00AD6C7D" w:rsidRDefault="005955F6" w:rsidP="009706B5">
      <w:pPr>
        <w:pStyle w:val="SingleTxtG"/>
        <w:rPr>
          <w:lang w:val="de-DE"/>
        </w:rPr>
      </w:pPr>
      <w:r w:rsidRPr="00AD6C7D">
        <w:rPr>
          <w:lang w:val="de-DE"/>
        </w:rPr>
        <w:t>1.6.7.2.2.2</w:t>
      </w:r>
      <w:r w:rsidRPr="00AD6C7D">
        <w:rPr>
          <w:lang w:val="de-DE"/>
        </w:rPr>
        <w:tab/>
      </w:r>
      <w:bookmarkStart w:id="18" w:name="_Hlk19524982"/>
      <w:r w:rsidR="009706B5" w:rsidRPr="00AD6C7D">
        <w:rPr>
          <w:lang w:val="de-DE"/>
        </w:rPr>
        <w:t xml:space="preserve">Die Übergangsvorschrift für </w:t>
      </w:r>
      <w:bookmarkEnd w:id="18"/>
      <w:r w:rsidRPr="00AD6C7D">
        <w:rPr>
          <w:lang w:val="de-DE"/>
        </w:rPr>
        <w:t>7.2.3.20.1</w:t>
      </w:r>
      <w:r w:rsidR="009706B5" w:rsidRPr="00AD6C7D">
        <w:rPr>
          <w:lang w:val="de-DE"/>
        </w:rPr>
        <w:t xml:space="preserve"> (Einrichtung von Niveau-Anzeigegeräten für Ballasttanks/-zellen) streichen</w:t>
      </w:r>
      <w:r w:rsidRPr="00AD6C7D">
        <w:rPr>
          <w:lang w:val="de-DE"/>
        </w:rPr>
        <w:t>.</w:t>
      </w:r>
    </w:p>
    <w:p w14:paraId="1330A192" w14:textId="0E7A7C24" w:rsidR="005955F6" w:rsidRPr="00AD6C7D" w:rsidRDefault="005955F6" w:rsidP="005955F6">
      <w:pPr>
        <w:pStyle w:val="SingleTxtG"/>
        <w:rPr>
          <w:lang w:val="de-DE"/>
        </w:rPr>
      </w:pPr>
      <w:r w:rsidRPr="00AD6C7D">
        <w:rPr>
          <w:i/>
          <w:lang w:val="de-DE"/>
        </w:rPr>
        <w:t>(</w:t>
      </w:r>
      <w:bookmarkStart w:id="19" w:name="_Hlk19524954"/>
      <w:r w:rsidR="002A23EF" w:rsidRPr="00AD6C7D">
        <w:rPr>
          <w:i/>
          <w:lang w:val="de-DE"/>
        </w:rPr>
        <w:t>Referenzdokument</w:t>
      </w:r>
      <w:bookmarkEnd w:id="19"/>
      <w:r w:rsidRPr="00AD6C7D">
        <w:rPr>
          <w:i/>
          <w:lang w:val="de-DE"/>
        </w:rPr>
        <w:t>: ECE/TRANS/WP.15/AC.2/2019/21)</w:t>
      </w:r>
    </w:p>
    <w:p w14:paraId="4BB3290B" w14:textId="63E15F47" w:rsidR="005955F6" w:rsidRPr="00AD6C7D" w:rsidRDefault="005955F6" w:rsidP="002C03D0">
      <w:pPr>
        <w:suppressAutoHyphens w:val="0"/>
        <w:spacing w:after="120" w:line="276" w:lineRule="auto"/>
        <w:ind w:left="567" w:firstLine="567"/>
        <w:rPr>
          <w:lang w:val="de-DE"/>
        </w:rPr>
      </w:pPr>
      <w:r w:rsidRPr="00AD6C7D">
        <w:rPr>
          <w:lang w:val="de-DE"/>
        </w:rPr>
        <w:t>1.6.7.2.2.2</w:t>
      </w:r>
      <w:r w:rsidRPr="00AD6C7D">
        <w:rPr>
          <w:lang w:val="de-DE"/>
        </w:rPr>
        <w:tab/>
      </w:r>
      <w:r w:rsidR="009706B5" w:rsidRPr="00AD6C7D">
        <w:rPr>
          <w:lang w:val="de-DE"/>
        </w:rPr>
        <w:t xml:space="preserve">Die Übergangsvorschrift für </w:t>
      </w:r>
      <w:r w:rsidRPr="00AD6C7D">
        <w:rPr>
          <w:lang w:val="de-DE"/>
        </w:rPr>
        <w:t>8.1.6.2</w:t>
      </w:r>
      <w:r w:rsidR="009706B5" w:rsidRPr="00AD6C7D">
        <w:rPr>
          <w:lang w:val="de-DE"/>
        </w:rPr>
        <w:t xml:space="preserve"> (Schlauchleitungen) streichen</w:t>
      </w:r>
      <w:r w:rsidRPr="00AD6C7D">
        <w:rPr>
          <w:lang w:val="de-DE"/>
        </w:rPr>
        <w:t>.</w:t>
      </w:r>
    </w:p>
    <w:p w14:paraId="333A5E05" w14:textId="13B8A87B" w:rsidR="005955F6" w:rsidRPr="00AD6C7D" w:rsidRDefault="005955F6" w:rsidP="002C03D0">
      <w:pPr>
        <w:pStyle w:val="SingleTxtG"/>
        <w:spacing w:after="0"/>
        <w:rPr>
          <w:lang w:val="de-DE"/>
        </w:rPr>
      </w:pPr>
      <w:r w:rsidRPr="00AD6C7D">
        <w:rPr>
          <w:i/>
          <w:lang w:val="de-DE"/>
        </w:rPr>
        <w:t>(</w:t>
      </w:r>
      <w:r w:rsidR="009706B5" w:rsidRPr="00AD6C7D">
        <w:rPr>
          <w:i/>
          <w:lang w:val="de-DE"/>
        </w:rPr>
        <w:t>Referenzdokument</w:t>
      </w:r>
      <w:r w:rsidRPr="00AD6C7D">
        <w:rPr>
          <w:i/>
          <w:lang w:val="de-DE"/>
        </w:rPr>
        <w:t>: ECE/TRANS/WP.15/AC.2/2019/21)</w:t>
      </w:r>
      <w:r w:rsidRPr="00AD6C7D">
        <w:rPr>
          <w:lang w:val="de-DE"/>
        </w:rPr>
        <w:t xml:space="preserve"> </w:t>
      </w:r>
    </w:p>
    <w:p w14:paraId="1F521887" w14:textId="77777777" w:rsidR="005D29C2" w:rsidRDefault="005D29C2">
      <w:pPr>
        <w:suppressAutoHyphens w:val="0"/>
        <w:spacing w:after="200" w:line="276" w:lineRule="auto"/>
        <w:rPr>
          <w:rFonts w:eastAsia="SimSun"/>
          <w:lang w:val="de-DE" w:eastAsia="zh-CN"/>
        </w:rPr>
      </w:pPr>
      <w:r>
        <w:rPr>
          <w:lang w:val="de-DE"/>
        </w:rPr>
        <w:br w:type="page"/>
      </w:r>
    </w:p>
    <w:p w14:paraId="6135A32E" w14:textId="581100A1" w:rsidR="005955F6" w:rsidRPr="00AD6C7D" w:rsidRDefault="005955F6" w:rsidP="009706B5">
      <w:pPr>
        <w:pStyle w:val="SingleTxtG"/>
        <w:rPr>
          <w:lang w:val="de-DE"/>
        </w:rPr>
      </w:pPr>
      <w:r w:rsidRPr="00AD6C7D">
        <w:rPr>
          <w:lang w:val="de-DE"/>
        </w:rPr>
        <w:lastRenderedPageBreak/>
        <w:t>1.6.7.2.2.2</w:t>
      </w:r>
      <w:r w:rsidRPr="00AD6C7D">
        <w:rPr>
          <w:lang w:val="de-DE"/>
        </w:rPr>
        <w:tab/>
      </w:r>
      <w:r w:rsidR="009706B5" w:rsidRPr="00AD6C7D">
        <w:rPr>
          <w:lang w:val="de-DE"/>
        </w:rPr>
        <w:t xml:space="preserve">Die Übergangsvorschrift für </w:t>
      </w:r>
      <w:r w:rsidRPr="00AD6C7D">
        <w:rPr>
          <w:lang w:val="de-DE"/>
        </w:rPr>
        <w:t xml:space="preserve">9.3.1.21.5 b), 9.3.2.21.5 b), 9.3.3.21.5 d): </w:t>
      </w:r>
      <w:r w:rsidR="009706B5" w:rsidRPr="00AD6C7D">
        <w:rPr>
          <w:lang w:val="de-DE"/>
        </w:rPr>
        <w:t>(Einrichtung zum Abschalten der Bordpumpe von Land aus) streichen.</w:t>
      </w:r>
    </w:p>
    <w:p w14:paraId="61C212D8" w14:textId="1EECB539" w:rsidR="005955F6" w:rsidRPr="00AD6C7D" w:rsidRDefault="005955F6" w:rsidP="005955F6">
      <w:pPr>
        <w:pStyle w:val="SingleTxtG"/>
        <w:rPr>
          <w:lang w:val="de-DE"/>
        </w:rPr>
      </w:pPr>
      <w:r w:rsidRPr="00AD6C7D">
        <w:rPr>
          <w:i/>
          <w:lang w:val="de-DE"/>
        </w:rPr>
        <w:t>(</w:t>
      </w:r>
      <w:r w:rsidR="009706B5" w:rsidRPr="00AD6C7D">
        <w:rPr>
          <w:i/>
          <w:lang w:val="de-DE"/>
        </w:rPr>
        <w:t>Referenzdokument</w:t>
      </w:r>
      <w:r w:rsidRPr="00AD6C7D">
        <w:rPr>
          <w:i/>
          <w:lang w:val="de-DE"/>
        </w:rPr>
        <w:t>: ECE/TRANS/WP.15/AC.2/2019/21)</w:t>
      </w:r>
    </w:p>
    <w:p w14:paraId="6D59E153" w14:textId="083E15A9" w:rsidR="005955F6" w:rsidRPr="00AD6C7D" w:rsidRDefault="005955F6" w:rsidP="000739E7">
      <w:pPr>
        <w:pStyle w:val="SingleTxtG"/>
        <w:rPr>
          <w:lang w:val="de-DE"/>
        </w:rPr>
      </w:pPr>
      <w:r w:rsidRPr="00AD6C7D">
        <w:rPr>
          <w:lang w:val="de-DE"/>
        </w:rPr>
        <w:t>1.6.7.2.2.2</w:t>
      </w:r>
      <w:r w:rsidRPr="00AD6C7D">
        <w:rPr>
          <w:lang w:val="de-DE"/>
        </w:rPr>
        <w:tab/>
      </w:r>
      <w:r w:rsidR="009706B5" w:rsidRPr="00AD6C7D">
        <w:rPr>
          <w:lang w:val="de-DE"/>
        </w:rPr>
        <w:t xml:space="preserve">Die Übergangsvorschrift für </w:t>
      </w:r>
      <w:r w:rsidRPr="00AD6C7D">
        <w:rPr>
          <w:lang w:val="de-DE"/>
        </w:rPr>
        <w:t>9.3.2.21.5 c)</w:t>
      </w:r>
      <w:r w:rsidR="000739E7" w:rsidRPr="00AD6C7D">
        <w:rPr>
          <w:lang w:val="de-DE"/>
        </w:rPr>
        <w:t xml:space="preserve"> </w:t>
      </w:r>
      <w:r w:rsidR="002A1557" w:rsidRPr="00AD6C7D">
        <w:rPr>
          <w:lang w:val="de-DE"/>
        </w:rPr>
        <w:t>(</w:t>
      </w:r>
      <w:r w:rsidR="000739E7" w:rsidRPr="00AD6C7D">
        <w:rPr>
          <w:lang w:val="de-DE"/>
        </w:rPr>
        <w:t>Schnellschlusseinrichtung zum Unterbrechen des Bunkerns) streichen.</w:t>
      </w:r>
    </w:p>
    <w:p w14:paraId="2C262CD5" w14:textId="3162D2BE" w:rsidR="005955F6" w:rsidRPr="00AD6C7D" w:rsidRDefault="005955F6" w:rsidP="005955F6">
      <w:pPr>
        <w:pStyle w:val="SingleTxtG"/>
        <w:rPr>
          <w:lang w:val="de-DE"/>
        </w:rPr>
      </w:pPr>
      <w:r w:rsidRPr="00AD6C7D">
        <w:rPr>
          <w:i/>
          <w:lang w:val="de-DE"/>
        </w:rPr>
        <w:t>(</w:t>
      </w:r>
      <w:r w:rsidR="009706B5" w:rsidRPr="00AD6C7D">
        <w:rPr>
          <w:i/>
          <w:lang w:val="de-DE"/>
        </w:rPr>
        <w:t>Referenzdokument</w:t>
      </w:r>
      <w:r w:rsidRPr="00AD6C7D">
        <w:rPr>
          <w:i/>
          <w:lang w:val="de-DE"/>
        </w:rPr>
        <w:t>: ECE/TRANS/WP.15/AC.2/2019/21)</w:t>
      </w:r>
    </w:p>
    <w:p w14:paraId="4F92AEA3" w14:textId="0F71D22E" w:rsidR="005955F6" w:rsidRPr="00AD6C7D" w:rsidRDefault="005955F6" w:rsidP="005955F6">
      <w:pPr>
        <w:pStyle w:val="SingleTxtG"/>
        <w:rPr>
          <w:lang w:val="de-DE"/>
        </w:rPr>
      </w:pPr>
      <w:r w:rsidRPr="00AD6C7D">
        <w:rPr>
          <w:lang w:val="de-DE"/>
        </w:rPr>
        <w:t>1.6.7.2.2.2</w:t>
      </w:r>
      <w:r w:rsidRPr="00AD6C7D">
        <w:rPr>
          <w:lang w:val="de-DE"/>
        </w:rPr>
        <w:tab/>
      </w:r>
      <w:r w:rsidR="009706B5" w:rsidRPr="00AD6C7D">
        <w:rPr>
          <w:lang w:val="de-DE"/>
        </w:rPr>
        <w:t xml:space="preserve">Die Übergangsvorschrift für </w:t>
      </w:r>
      <w:r w:rsidRPr="00AD6C7D">
        <w:rPr>
          <w:lang w:val="de-DE"/>
        </w:rPr>
        <w:t xml:space="preserve">9.3.1.41.2, 9.3.2.41.2, 9.3.3.41.2, in </w:t>
      </w:r>
      <w:r w:rsidR="002A1557" w:rsidRPr="00AD6C7D">
        <w:rPr>
          <w:lang w:val="de-DE"/>
        </w:rPr>
        <w:t>Verbindung mit</w:t>
      </w:r>
      <w:r w:rsidRPr="00AD6C7D">
        <w:rPr>
          <w:lang w:val="de-DE"/>
        </w:rPr>
        <w:t xml:space="preserve"> 7.2.3.41</w:t>
      </w:r>
      <w:r w:rsidR="002A1557" w:rsidRPr="00AD6C7D">
        <w:rPr>
          <w:lang w:val="de-DE"/>
        </w:rPr>
        <w:t xml:space="preserve"> (Heiz-, Koch- und Kühlgeräte) streichen</w:t>
      </w:r>
      <w:r w:rsidRPr="00AD6C7D">
        <w:rPr>
          <w:lang w:val="de-DE"/>
        </w:rPr>
        <w:t>.</w:t>
      </w:r>
    </w:p>
    <w:p w14:paraId="49427317" w14:textId="0F6C4B5E" w:rsidR="005955F6" w:rsidRPr="00AD6C7D" w:rsidRDefault="005955F6" w:rsidP="005955F6">
      <w:pPr>
        <w:pStyle w:val="SingleTxtG"/>
        <w:rPr>
          <w:lang w:val="de-DE"/>
        </w:rPr>
      </w:pPr>
      <w:r w:rsidRPr="00AD6C7D">
        <w:rPr>
          <w:i/>
          <w:lang w:val="de-DE"/>
        </w:rPr>
        <w:t>(</w:t>
      </w:r>
      <w:r w:rsidR="009706B5" w:rsidRPr="00AD6C7D">
        <w:rPr>
          <w:i/>
          <w:lang w:val="de-DE"/>
        </w:rPr>
        <w:t>Referenzdokument</w:t>
      </w:r>
      <w:r w:rsidRPr="00AD6C7D">
        <w:rPr>
          <w:i/>
          <w:lang w:val="de-DE"/>
        </w:rPr>
        <w:t>: ECE/TRANS/WP.15/AC.2/2019/21)</w:t>
      </w:r>
    </w:p>
    <w:p w14:paraId="52B81B40" w14:textId="4F6D4706" w:rsidR="0097540B" w:rsidRPr="00AD6C7D" w:rsidRDefault="005955F6" w:rsidP="005955F6">
      <w:pPr>
        <w:pStyle w:val="SingleTxtG"/>
        <w:rPr>
          <w:lang w:val="de-DE"/>
        </w:rPr>
      </w:pPr>
      <w:r w:rsidRPr="00AD6C7D">
        <w:rPr>
          <w:lang w:val="de-DE"/>
        </w:rPr>
        <w:t>1.6.7.2.2.3.1</w:t>
      </w:r>
      <w:r w:rsidRPr="00AD6C7D">
        <w:rPr>
          <w:lang w:val="de-DE"/>
        </w:rPr>
        <w:tab/>
      </w:r>
      <w:r w:rsidR="0097540B" w:rsidRPr="00AD6C7D">
        <w:rPr>
          <w:lang w:val="de-DE"/>
        </w:rPr>
        <w:t>Erhält folgenden Wortlaut: „1.6.7.2.2.3.1</w:t>
      </w:r>
      <w:r w:rsidR="0097540B" w:rsidRPr="00AD6C7D">
        <w:rPr>
          <w:lang w:val="de-DE"/>
        </w:rPr>
        <w:tab/>
        <w:t>(gestrichen)“.</w:t>
      </w:r>
    </w:p>
    <w:p w14:paraId="3A390F69" w14:textId="559F8492" w:rsidR="005955F6" w:rsidRPr="00AD6C7D" w:rsidRDefault="005955F6" w:rsidP="005955F6">
      <w:pPr>
        <w:pStyle w:val="SingleTxtG"/>
        <w:rPr>
          <w:i/>
          <w:lang w:val="de-DE"/>
        </w:rPr>
      </w:pPr>
      <w:r w:rsidRPr="00AD6C7D">
        <w:rPr>
          <w:i/>
          <w:lang w:val="de-DE"/>
        </w:rPr>
        <w:t>(</w:t>
      </w:r>
      <w:r w:rsidR="002A1557" w:rsidRPr="00AD6C7D">
        <w:rPr>
          <w:i/>
          <w:lang w:val="de-DE"/>
        </w:rPr>
        <w:t>Referenzdokument</w:t>
      </w:r>
      <w:r w:rsidRPr="00AD6C7D">
        <w:rPr>
          <w:i/>
          <w:lang w:val="de-DE"/>
        </w:rPr>
        <w:t>: ECE/TRANS/WP.15/AC.2/2019/21)</w:t>
      </w:r>
    </w:p>
    <w:p w14:paraId="3A10F1E8" w14:textId="52BDC25C" w:rsidR="005955F6" w:rsidRPr="00AD6C7D" w:rsidRDefault="005955F6" w:rsidP="005955F6">
      <w:pPr>
        <w:pStyle w:val="H23G"/>
        <w:kinsoku w:val="0"/>
        <w:overflowPunct w:val="0"/>
        <w:autoSpaceDE w:val="0"/>
        <w:autoSpaceDN w:val="0"/>
        <w:adjustRightInd w:val="0"/>
        <w:snapToGrid w:val="0"/>
        <w:rPr>
          <w:rFonts w:eastAsiaTheme="minorHAnsi"/>
          <w:i/>
          <w:iCs/>
          <w:lang w:val="de-DE"/>
        </w:rPr>
      </w:pPr>
      <w:r w:rsidRPr="00AD6C7D">
        <w:rPr>
          <w:lang w:val="de-DE"/>
        </w:rPr>
        <w:tab/>
      </w:r>
      <w:r w:rsidRPr="00AD6C7D">
        <w:rPr>
          <w:lang w:val="de-DE"/>
        </w:rPr>
        <w:tab/>
      </w:r>
      <w:r w:rsidR="002A1557" w:rsidRPr="00AD6C7D">
        <w:rPr>
          <w:lang w:val="de-DE"/>
        </w:rPr>
        <w:t>Kapitel</w:t>
      </w:r>
      <w:r w:rsidRPr="00AD6C7D">
        <w:rPr>
          <w:lang w:val="de-DE"/>
        </w:rPr>
        <w:t xml:space="preserve"> 1.8</w:t>
      </w:r>
    </w:p>
    <w:p w14:paraId="371D250D" w14:textId="534E4117" w:rsidR="005955F6" w:rsidRPr="00AD6C7D" w:rsidRDefault="005955F6" w:rsidP="005955F6">
      <w:pPr>
        <w:pStyle w:val="SingleTxtG"/>
        <w:rPr>
          <w:lang w:val="de-DE"/>
        </w:rPr>
      </w:pPr>
      <w:r w:rsidRPr="00AD6C7D">
        <w:rPr>
          <w:lang w:val="de-DE"/>
        </w:rPr>
        <w:t>1.8.1.2</w:t>
      </w:r>
      <w:r w:rsidRPr="00AD6C7D">
        <w:rPr>
          <w:lang w:val="de-DE"/>
        </w:rPr>
        <w:tab/>
      </w:r>
      <w:r w:rsidRPr="00AD6C7D">
        <w:rPr>
          <w:lang w:val="de-DE"/>
        </w:rPr>
        <w:tab/>
      </w:r>
      <w:r w:rsidR="0041307F" w:rsidRPr="00AD6C7D">
        <w:rPr>
          <w:lang w:val="de-DE"/>
        </w:rPr>
        <w:t>Folgenden neuen Absatz</w:t>
      </w:r>
      <w:r w:rsidRPr="00AD6C7D">
        <w:rPr>
          <w:lang w:val="de-DE"/>
        </w:rPr>
        <w:t xml:space="preserve"> 1.8.1.2.4 </w:t>
      </w:r>
      <w:r w:rsidR="0041307F" w:rsidRPr="00AD6C7D">
        <w:rPr>
          <w:lang w:val="de-DE"/>
        </w:rPr>
        <w:t>hinzufügen</w:t>
      </w:r>
      <w:r w:rsidRPr="00AD6C7D">
        <w:rPr>
          <w:lang w:val="de-DE"/>
        </w:rPr>
        <w:t>:</w:t>
      </w:r>
    </w:p>
    <w:p w14:paraId="2B878730" w14:textId="71EAE959" w:rsidR="0041307F" w:rsidRPr="00AD6C7D" w:rsidRDefault="0041307F" w:rsidP="005955F6">
      <w:pPr>
        <w:pStyle w:val="SingleTxtG"/>
        <w:rPr>
          <w:lang w:val="de-DE"/>
        </w:rPr>
      </w:pPr>
      <w:r w:rsidRPr="00AD6C7D">
        <w:rPr>
          <w:lang w:val="de-DE"/>
        </w:rPr>
        <w:t>„</w:t>
      </w:r>
      <w:r w:rsidR="005955F6" w:rsidRPr="00AD6C7D">
        <w:rPr>
          <w:lang w:val="de-DE"/>
        </w:rPr>
        <w:t>1.8.1.2.4</w:t>
      </w:r>
      <w:r w:rsidR="005955F6" w:rsidRPr="00AD6C7D">
        <w:rPr>
          <w:lang w:val="de-DE"/>
        </w:rPr>
        <w:tab/>
      </w:r>
      <w:r w:rsidRPr="00AD6C7D">
        <w:rPr>
          <w:lang w:val="de-DE"/>
        </w:rPr>
        <w:t>Die von den Behörden der Vertragsparteien verwendeten Kontrolllisten sind in der Sprache des Ausgabestaates, und, wenn diese Sprache nicht Französisch, Englisch oder Deutsch ist, auch in Französisch, Englisch oder Deutsch, abzufassen.</w:t>
      </w:r>
      <w:r w:rsidRPr="00AD6C7D">
        <w:rPr>
          <w:rStyle w:val="EndnoteReference"/>
          <w:lang w:val="de-DE"/>
        </w:rPr>
        <w:t xml:space="preserve"> </w:t>
      </w:r>
      <w:r w:rsidRPr="00AD6C7D">
        <w:rPr>
          <w:rStyle w:val="EndnoteReference"/>
          <w:lang w:val="de-DE"/>
        </w:rPr>
        <w:endnoteReference w:id="1"/>
      </w:r>
      <w:r w:rsidRPr="00AD6C7D">
        <w:rPr>
          <w:lang w:val="de-DE"/>
        </w:rPr>
        <w:t>“.</w:t>
      </w:r>
    </w:p>
    <w:p w14:paraId="076ACA13" w14:textId="77777777" w:rsidR="005955F6" w:rsidRPr="00AD6C7D" w:rsidRDefault="005955F6" w:rsidP="005955F6">
      <w:pPr>
        <w:pStyle w:val="SingleTxtG"/>
        <w:rPr>
          <w:lang w:val="de-DE"/>
        </w:rPr>
      </w:pPr>
      <w:r w:rsidRPr="00AD6C7D">
        <w:rPr>
          <w:lang w:val="de-DE"/>
        </w:rPr>
        <w:t>_____________________</w:t>
      </w:r>
    </w:p>
    <w:p w14:paraId="26D6EAC9" w14:textId="1E68F15F" w:rsidR="005955F6" w:rsidRPr="00AD6C7D" w:rsidRDefault="005955F6" w:rsidP="005955F6">
      <w:pPr>
        <w:pStyle w:val="SingleTxtG"/>
        <w:rPr>
          <w:lang w:val="de-DE"/>
        </w:rPr>
      </w:pPr>
      <w:r w:rsidRPr="00AD6C7D">
        <w:rPr>
          <w:rStyle w:val="EndnoteReference"/>
          <w:lang w:val="de-DE"/>
        </w:rPr>
        <w:footnoteRef/>
      </w:r>
      <w:r w:rsidRPr="00AD6C7D">
        <w:rPr>
          <w:i/>
          <w:iCs/>
          <w:lang w:val="de-DE"/>
        </w:rPr>
        <w:t xml:space="preserve"> </w:t>
      </w:r>
      <w:r w:rsidRPr="00AD6C7D">
        <w:rPr>
          <w:i/>
          <w:iCs/>
          <w:lang w:val="de-DE"/>
        </w:rPr>
        <w:tab/>
      </w:r>
      <w:r w:rsidR="0041307F" w:rsidRPr="00AD6C7D">
        <w:rPr>
          <w:i/>
          <w:iCs/>
          <w:lang w:val="de-DE"/>
        </w:rPr>
        <w:t>Die Kontrollliste ist nicht in den Dokumenten enthalten, die gemäß Unterabschnitt 8.1.2.1 an Bord mitzuführen sind.</w:t>
      </w:r>
    </w:p>
    <w:p w14:paraId="1DF9D71F" w14:textId="27BC2D16" w:rsidR="005955F6" w:rsidRPr="00AD6C7D" w:rsidRDefault="005955F6" w:rsidP="005955F6">
      <w:pPr>
        <w:pStyle w:val="SingleTxtG"/>
        <w:rPr>
          <w:i/>
          <w:iCs/>
          <w:lang w:val="de-DE"/>
        </w:rPr>
      </w:pPr>
      <w:r w:rsidRPr="00AD6C7D">
        <w:rPr>
          <w:i/>
          <w:iCs/>
          <w:lang w:val="de-DE"/>
        </w:rPr>
        <w:t>(</w:t>
      </w:r>
      <w:r w:rsidR="003D1BA6" w:rsidRPr="00AD6C7D">
        <w:rPr>
          <w:i/>
          <w:iCs/>
          <w:lang w:val="de-DE"/>
        </w:rPr>
        <w:t>Referenzdokument</w:t>
      </w:r>
      <w:r w:rsidRPr="00AD6C7D">
        <w:rPr>
          <w:i/>
          <w:iCs/>
          <w:lang w:val="de-DE"/>
        </w:rPr>
        <w:t>: ECE/TRANS/WP.15/AC.2/2019/26</w:t>
      </w:r>
      <w:r w:rsidR="003D1BA6" w:rsidRPr="00AD6C7D">
        <w:rPr>
          <w:i/>
          <w:iCs/>
          <w:lang w:val="de-DE"/>
        </w:rPr>
        <w:t>, wie geändert</w:t>
      </w:r>
      <w:r w:rsidRPr="00AD6C7D">
        <w:rPr>
          <w:i/>
          <w:iCs/>
          <w:lang w:val="de-DE"/>
        </w:rPr>
        <w:t>)</w:t>
      </w:r>
    </w:p>
    <w:p w14:paraId="14BE7949" w14:textId="686A3830" w:rsidR="005955F6" w:rsidRPr="00AD6C7D" w:rsidRDefault="005955F6" w:rsidP="005955F6">
      <w:pPr>
        <w:pStyle w:val="H23G"/>
        <w:kinsoku w:val="0"/>
        <w:overflowPunct w:val="0"/>
        <w:autoSpaceDE w:val="0"/>
        <w:autoSpaceDN w:val="0"/>
        <w:adjustRightInd w:val="0"/>
        <w:snapToGrid w:val="0"/>
        <w:rPr>
          <w:rFonts w:eastAsiaTheme="minorHAnsi"/>
          <w:i/>
          <w:iCs/>
          <w:lang w:val="de-DE"/>
        </w:rPr>
      </w:pPr>
      <w:r w:rsidRPr="00AD6C7D">
        <w:rPr>
          <w:lang w:val="de-DE"/>
        </w:rPr>
        <w:tab/>
      </w:r>
      <w:r w:rsidRPr="00AD6C7D">
        <w:rPr>
          <w:lang w:val="de-DE"/>
        </w:rPr>
        <w:tab/>
      </w:r>
      <w:r w:rsidR="003D1BA6" w:rsidRPr="00AD6C7D">
        <w:rPr>
          <w:lang w:val="de-DE"/>
        </w:rPr>
        <w:t>Kapitel</w:t>
      </w:r>
      <w:r w:rsidRPr="00AD6C7D">
        <w:rPr>
          <w:lang w:val="de-DE"/>
        </w:rPr>
        <w:t xml:space="preserve"> 1.10</w:t>
      </w:r>
    </w:p>
    <w:p w14:paraId="4E2EFD34" w14:textId="112161E8" w:rsidR="00AF7109" w:rsidRPr="00AD6C7D" w:rsidRDefault="005955F6" w:rsidP="005955F6">
      <w:pPr>
        <w:pStyle w:val="SingleTxtG"/>
        <w:tabs>
          <w:tab w:val="left" w:pos="2268"/>
        </w:tabs>
        <w:rPr>
          <w:rFonts w:eastAsia="MS Mincho"/>
          <w:lang w:val="de-DE"/>
        </w:rPr>
      </w:pPr>
      <w:r w:rsidRPr="00AD6C7D">
        <w:rPr>
          <w:rFonts w:eastAsia="MS Mincho"/>
          <w:lang w:val="de-DE"/>
        </w:rPr>
        <w:t>1.10.4</w:t>
      </w:r>
      <w:r w:rsidRPr="00AD6C7D">
        <w:rPr>
          <w:rFonts w:eastAsia="MS Mincho"/>
          <w:lang w:val="de-DE"/>
        </w:rPr>
        <w:tab/>
      </w:r>
      <w:r w:rsidR="00AF7109" w:rsidRPr="00AD6C7D">
        <w:rPr>
          <w:rFonts w:eastAsia="MS Mincho"/>
          <w:lang w:val="de-DE"/>
        </w:rPr>
        <w:t>Der erste Satz erhält folgenden Wortlaut: „</w:t>
      </w:r>
      <w:r w:rsidR="00AF7109" w:rsidRPr="00AD6C7D">
        <w:rPr>
          <w:lang w:val="de-DE"/>
        </w:rPr>
        <w:t>Außer für radioaktive Stoffe der UN-Nummern 2910 und 2911, wenn der Aktivitätswert (je Versandstück) den A</w:t>
      </w:r>
      <w:r w:rsidR="00AF7109" w:rsidRPr="00AD6C7D">
        <w:rPr>
          <w:vertAlign w:val="subscript"/>
          <w:lang w:val="de-DE"/>
        </w:rPr>
        <w:t>2</w:t>
      </w:r>
      <w:r w:rsidR="00AF7109" w:rsidRPr="00AD6C7D">
        <w:rPr>
          <w:lang w:val="de-DE"/>
        </w:rPr>
        <w:t>-Wert überschreitet gelten die Vorschriften der Abschnitte 1.10.1. 1.10.2 und 1.10.3 nicht, wenn die Mengen je Schiff nicht größer sind als die in 1.1.3.6.1 aufgeführten Mengen.“.</w:t>
      </w:r>
    </w:p>
    <w:p w14:paraId="262D912E" w14:textId="001D6E8C" w:rsidR="005955F6" w:rsidRPr="00AD6C7D" w:rsidRDefault="005955F6" w:rsidP="005955F6">
      <w:pPr>
        <w:pStyle w:val="SingleTxtG"/>
        <w:spacing w:after="0"/>
        <w:rPr>
          <w:i/>
          <w:lang w:val="de-DE"/>
        </w:rPr>
      </w:pPr>
      <w:r w:rsidRPr="00AD6C7D">
        <w:rPr>
          <w:i/>
          <w:lang w:val="de-DE"/>
        </w:rPr>
        <w:t>(</w:t>
      </w:r>
      <w:r w:rsidR="003D1BA6" w:rsidRPr="00AD6C7D">
        <w:rPr>
          <w:i/>
          <w:lang w:val="de-DE"/>
        </w:rPr>
        <w:t>Referenzdokument</w:t>
      </w:r>
      <w:r w:rsidRPr="00AD6C7D">
        <w:rPr>
          <w:i/>
          <w:lang w:val="de-DE"/>
        </w:rPr>
        <w:t>: ECE/TRANS/WP.15/AC.2/2019/19)</w:t>
      </w:r>
    </w:p>
    <w:p w14:paraId="3D27554C" w14:textId="4E54D5B3" w:rsidR="005955F6" w:rsidRPr="00AD6C7D" w:rsidRDefault="005955F6" w:rsidP="005955F6">
      <w:pPr>
        <w:pStyle w:val="H23G"/>
        <w:kinsoku w:val="0"/>
        <w:overflowPunct w:val="0"/>
        <w:autoSpaceDE w:val="0"/>
        <w:autoSpaceDN w:val="0"/>
        <w:adjustRightInd w:val="0"/>
        <w:snapToGrid w:val="0"/>
        <w:rPr>
          <w:lang w:val="de-DE"/>
        </w:rPr>
      </w:pPr>
      <w:r w:rsidRPr="00AD6C7D">
        <w:rPr>
          <w:lang w:val="de-DE"/>
        </w:rPr>
        <w:tab/>
      </w:r>
      <w:r w:rsidRPr="00AD6C7D">
        <w:rPr>
          <w:lang w:val="de-DE"/>
        </w:rPr>
        <w:tab/>
      </w:r>
      <w:r w:rsidR="003D1BA6" w:rsidRPr="00AD6C7D">
        <w:rPr>
          <w:lang w:val="de-DE"/>
        </w:rPr>
        <w:t>Kapitel</w:t>
      </w:r>
      <w:r w:rsidRPr="00AD6C7D">
        <w:rPr>
          <w:lang w:val="de-DE"/>
        </w:rPr>
        <w:t xml:space="preserve"> 2.2</w:t>
      </w:r>
    </w:p>
    <w:p w14:paraId="2900184E" w14:textId="4B20D499" w:rsidR="005955F6" w:rsidRPr="00AD6C7D" w:rsidRDefault="005955F6" w:rsidP="005955F6">
      <w:pPr>
        <w:pStyle w:val="SingleTxtG"/>
        <w:rPr>
          <w:lang w:val="de-DE"/>
        </w:rPr>
      </w:pPr>
      <w:r w:rsidRPr="00AD6C7D">
        <w:rPr>
          <w:lang w:val="de-DE"/>
        </w:rPr>
        <w:t>2.2.41.2.3</w:t>
      </w:r>
      <w:r w:rsidRPr="00AD6C7D">
        <w:rPr>
          <w:lang w:val="de-DE"/>
        </w:rPr>
        <w:tab/>
      </w:r>
      <w:r w:rsidR="00FC6615" w:rsidRPr="00AD6C7D">
        <w:rPr>
          <w:lang w:val="de-DE"/>
        </w:rPr>
        <w:t>Den letzten Anstrich streichen</w:t>
      </w:r>
      <w:r w:rsidRPr="00AD6C7D">
        <w:rPr>
          <w:lang w:val="de-DE"/>
        </w:rPr>
        <w:t xml:space="preserve">: </w:t>
      </w:r>
      <w:r w:rsidR="00FC6615" w:rsidRPr="00AD6C7D">
        <w:rPr>
          <w:lang w:val="de-DE"/>
        </w:rPr>
        <w:t>„- Bariumazid mit einem Wassergehalt von weniger als 50 Masse-%.</w:t>
      </w:r>
      <w:r w:rsidRPr="00AD6C7D">
        <w:rPr>
          <w:lang w:val="de-DE"/>
        </w:rPr>
        <w:t>“.</w:t>
      </w:r>
    </w:p>
    <w:p w14:paraId="03B13E0F" w14:textId="55099076" w:rsidR="005955F6" w:rsidRPr="00AD6C7D" w:rsidRDefault="005955F6" w:rsidP="005955F6">
      <w:pPr>
        <w:pStyle w:val="SingleTxtG"/>
        <w:rPr>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informelles Dokument</w:t>
      </w:r>
      <w:r w:rsidRPr="00AD6C7D">
        <w:rPr>
          <w:i/>
          <w:iCs/>
          <w:lang w:val="de-DE"/>
        </w:rPr>
        <w:t xml:space="preserve"> INF.7)</w:t>
      </w:r>
    </w:p>
    <w:p w14:paraId="41A67122" w14:textId="54851B00" w:rsidR="005955F6" w:rsidRPr="00AD6C7D" w:rsidRDefault="005955F6" w:rsidP="005955F6">
      <w:pPr>
        <w:pStyle w:val="SingleTxtG"/>
        <w:rPr>
          <w:lang w:val="de-DE"/>
        </w:rPr>
      </w:pPr>
      <w:r w:rsidRPr="00AD6C7D">
        <w:rPr>
          <w:lang w:val="de-DE"/>
        </w:rPr>
        <w:t>2.2.61.1.14</w:t>
      </w:r>
      <w:r w:rsidRPr="00AD6C7D">
        <w:rPr>
          <w:lang w:val="de-DE"/>
        </w:rPr>
        <w:tab/>
      </w:r>
      <w:r w:rsidR="00CE1151" w:rsidRPr="00AD6C7D">
        <w:rPr>
          <w:lang w:val="de-DE"/>
        </w:rPr>
        <w:t>In Fußnote 3) „Amtsblatt“ ändern in: „Amtsblatt der Europäischen Union“.</w:t>
      </w:r>
    </w:p>
    <w:p w14:paraId="294EFB39" w14:textId="644B3C0A" w:rsidR="005955F6" w:rsidRPr="00AD6C7D" w:rsidRDefault="005955F6" w:rsidP="005955F6">
      <w:pPr>
        <w:pStyle w:val="SingleTxtG"/>
        <w:rPr>
          <w:lang w:val="de-DE"/>
        </w:rPr>
      </w:pPr>
      <w:r w:rsidRPr="00AD6C7D">
        <w:rPr>
          <w:i/>
          <w:lang w:val="de-DE"/>
        </w:rPr>
        <w:t>(</w:t>
      </w:r>
      <w:r w:rsidR="003D1BA6" w:rsidRPr="00AD6C7D">
        <w:rPr>
          <w:i/>
          <w:lang w:val="de-DE"/>
        </w:rPr>
        <w:t>Referenzdokument</w:t>
      </w:r>
      <w:r w:rsidRPr="00AD6C7D">
        <w:rPr>
          <w:i/>
          <w:lang w:val="de-DE"/>
        </w:rPr>
        <w:t>: ECE/TRANS/WP.15/AC.2/2019/21)</w:t>
      </w:r>
    </w:p>
    <w:p w14:paraId="56087353" w14:textId="1442F433" w:rsidR="005955F6" w:rsidRPr="00AD6C7D" w:rsidRDefault="005955F6" w:rsidP="00F306E8">
      <w:pPr>
        <w:pStyle w:val="SingleTxtG"/>
        <w:rPr>
          <w:lang w:val="de-DE"/>
        </w:rPr>
      </w:pPr>
      <w:r w:rsidRPr="00AD6C7D">
        <w:rPr>
          <w:lang w:val="de-DE"/>
        </w:rPr>
        <w:t>2.2.9.1.2</w:t>
      </w:r>
      <w:r w:rsidRPr="00AD6C7D">
        <w:rPr>
          <w:lang w:val="de-DE"/>
        </w:rPr>
        <w:tab/>
      </w:r>
      <w:r w:rsidR="00F306E8" w:rsidRPr="00AD6C7D">
        <w:rPr>
          <w:lang w:val="de-DE"/>
        </w:rPr>
        <w:t>Am Ende hinzufügen</w:t>
      </w:r>
      <w:r w:rsidRPr="00AD6C7D">
        <w:rPr>
          <w:lang w:val="de-DE"/>
        </w:rPr>
        <w:t xml:space="preserve">: </w:t>
      </w:r>
      <w:r w:rsidR="00F306E8" w:rsidRPr="00AD6C7D">
        <w:rPr>
          <w:lang w:val="de-DE"/>
        </w:rPr>
        <w:t>„</w:t>
      </w:r>
      <w:r w:rsidRPr="00AD6C7D">
        <w:rPr>
          <w:lang w:val="de-DE"/>
        </w:rPr>
        <w:t>M12</w:t>
      </w:r>
      <w:r w:rsidRPr="00AD6C7D">
        <w:rPr>
          <w:lang w:val="de-DE"/>
        </w:rPr>
        <w:tab/>
      </w:r>
      <w:r w:rsidR="00F306E8" w:rsidRPr="00AD6C7D">
        <w:rPr>
          <w:lang w:val="de-DE"/>
        </w:rPr>
        <w:t>Andere Stoffe und Gegenstände, die während der Beförderung in Tankschiffen eine Gefahr darstellen und nicht unter die Definition einer anderen Klasse fallen.“.</w:t>
      </w:r>
    </w:p>
    <w:p w14:paraId="1D3D2B25" w14:textId="6AF7DB67" w:rsidR="005955F6" w:rsidRPr="00AD6C7D" w:rsidRDefault="005955F6" w:rsidP="005955F6">
      <w:pPr>
        <w:pStyle w:val="SingleTxtG"/>
        <w:rPr>
          <w:i/>
          <w:iCs/>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 xml:space="preserve">informelles Dokument </w:t>
      </w:r>
      <w:r w:rsidRPr="00AD6C7D">
        <w:rPr>
          <w:i/>
          <w:iCs/>
          <w:lang w:val="de-DE"/>
        </w:rPr>
        <w:t>INF.7)</w:t>
      </w:r>
    </w:p>
    <w:p w14:paraId="4EACE4CF" w14:textId="6D101779" w:rsidR="005955F6" w:rsidRPr="00AD6C7D" w:rsidRDefault="005955F6" w:rsidP="005955F6">
      <w:pPr>
        <w:pStyle w:val="SingleTxtG"/>
        <w:rPr>
          <w:lang w:val="de-DE"/>
        </w:rPr>
      </w:pPr>
      <w:r w:rsidRPr="00AD6C7D">
        <w:rPr>
          <w:lang w:val="de-DE"/>
        </w:rPr>
        <w:t>2.2.9.1.10.3</w:t>
      </w:r>
      <w:r w:rsidRPr="00AD6C7D">
        <w:rPr>
          <w:lang w:val="de-DE"/>
        </w:rPr>
        <w:tab/>
      </w:r>
      <w:r w:rsidR="00CE1151" w:rsidRPr="00AD6C7D">
        <w:rPr>
          <w:lang w:val="de-DE"/>
        </w:rPr>
        <w:t>In Fußnote 11) „Amtsblatt“ ändern in: „Amtsblatt der Europäischen Union“.</w:t>
      </w:r>
    </w:p>
    <w:p w14:paraId="59D2C625" w14:textId="7C474BF5" w:rsidR="005955F6" w:rsidRPr="00AD6C7D" w:rsidRDefault="005955F6" w:rsidP="005955F6">
      <w:pPr>
        <w:pStyle w:val="SingleTxtG"/>
        <w:rPr>
          <w:i/>
          <w:lang w:val="de-DE"/>
        </w:rPr>
      </w:pPr>
      <w:r w:rsidRPr="00AD6C7D">
        <w:rPr>
          <w:i/>
          <w:lang w:val="de-DE"/>
        </w:rPr>
        <w:t>(</w:t>
      </w:r>
      <w:r w:rsidR="003D1BA6" w:rsidRPr="00AD6C7D">
        <w:rPr>
          <w:i/>
          <w:lang w:val="de-DE"/>
        </w:rPr>
        <w:t>Referenzdokument</w:t>
      </w:r>
      <w:r w:rsidRPr="00AD6C7D">
        <w:rPr>
          <w:i/>
          <w:lang w:val="de-DE"/>
        </w:rPr>
        <w:t>: ECE/TRANS/WP.15/AC.2/2019/21)</w:t>
      </w:r>
    </w:p>
    <w:p w14:paraId="06085755" w14:textId="254663AF" w:rsidR="005955F6" w:rsidRPr="00AD6C7D" w:rsidRDefault="005955F6" w:rsidP="005955F6">
      <w:pPr>
        <w:pStyle w:val="SingleTxtG"/>
        <w:rPr>
          <w:lang w:val="de-DE"/>
        </w:rPr>
      </w:pPr>
      <w:r w:rsidRPr="00AD6C7D">
        <w:rPr>
          <w:lang w:val="de-DE"/>
        </w:rPr>
        <w:t>2.2.9.3</w:t>
      </w:r>
      <w:r w:rsidR="00034066" w:rsidRPr="00AD6C7D">
        <w:rPr>
          <w:lang w:val="de-DE"/>
        </w:rPr>
        <w:tab/>
      </w:r>
      <w:r w:rsidRPr="00AD6C7D">
        <w:rPr>
          <w:lang w:val="de-DE"/>
        </w:rPr>
        <w:tab/>
      </w:r>
      <w:r w:rsidR="00A048DB" w:rsidRPr="00AD6C7D">
        <w:rPr>
          <w:lang w:val="de-DE"/>
        </w:rPr>
        <w:t>[Die Änderung zum Klassifizierungscode M6 in der englischen und französischen Fassung hat keine Auswirkungen auf den deutschen Text.]</w:t>
      </w:r>
    </w:p>
    <w:p w14:paraId="090AFBD9" w14:textId="22028087" w:rsidR="005955F6" w:rsidRPr="00AD6C7D" w:rsidRDefault="005955F6" w:rsidP="005955F6">
      <w:pPr>
        <w:pStyle w:val="SingleTxtG"/>
        <w:rPr>
          <w:i/>
          <w:iCs/>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informelles Dokument</w:t>
      </w:r>
      <w:r w:rsidRPr="00AD6C7D">
        <w:rPr>
          <w:i/>
          <w:iCs/>
          <w:lang w:val="de-DE"/>
        </w:rPr>
        <w:t xml:space="preserve"> INF.7)</w:t>
      </w:r>
    </w:p>
    <w:p w14:paraId="51757C3C" w14:textId="77777777" w:rsidR="002C03D0" w:rsidRDefault="002C03D0">
      <w:pPr>
        <w:suppressAutoHyphens w:val="0"/>
        <w:spacing w:after="200" w:line="276" w:lineRule="auto"/>
        <w:rPr>
          <w:rFonts w:eastAsia="SimSun"/>
          <w:lang w:val="de-DE" w:eastAsia="zh-CN"/>
        </w:rPr>
      </w:pPr>
      <w:r>
        <w:rPr>
          <w:lang w:val="de-DE"/>
        </w:rPr>
        <w:br w:type="page"/>
      </w:r>
    </w:p>
    <w:p w14:paraId="76A8A949" w14:textId="712C7445" w:rsidR="004132F8" w:rsidRPr="00AD6C7D" w:rsidRDefault="005955F6" w:rsidP="004132F8">
      <w:pPr>
        <w:pStyle w:val="SingleTxtG"/>
        <w:rPr>
          <w:lang w:val="de-DE"/>
        </w:rPr>
      </w:pPr>
      <w:r w:rsidRPr="00AD6C7D">
        <w:rPr>
          <w:lang w:val="de-DE"/>
        </w:rPr>
        <w:lastRenderedPageBreak/>
        <w:t>2.2.9.3</w:t>
      </w:r>
      <w:r w:rsidR="00034066" w:rsidRPr="00AD6C7D">
        <w:rPr>
          <w:lang w:val="de-DE"/>
        </w:rPr>
        <w:tab/>
      </w:r>
      <w:r w:rsidR="00034066" w:rsidRPr="00AD6C7D">
        <w:rPr>
          <w:lang w:val="de-DE"/>
        </w:rPr>
        <w:tab/>
      </w:r>
      <w:r w:rsidR="004132F8" w:rsidRPr="00AD6C7D">
        <w:rPr>
          <w:lang w:val="de-DE"/>
        </w:rPr>
        <w:t>Verzeichnis der Eintragungen</w:t>
      </w:r>
      <w:r w:rsidRPr="00AD6C7D">
        <w:rPr>
          <w:lang w:val="de-DE"/>
        </w:rPr>
        <w:tab/>
      </w:r>
      <w:r w:rsidR="004132F8" w:rsidRPr="00AD6C7D">
        <w:rPr>
          <w:lang w:val="de-DE"/>
        </w:rPr>
        <w:t>Unter Klassifizierungscode M11 folgende Eintragungen hinzufügen: „2216 FISCHMEHL, STABILISIERT“ und „2216 FISCHABFALL, STABILISIERT“.</w:t>
      </w:r>
    </w:p>
    <w:p w14:paraId="2116329F" w14:textId="3F38317A" w:rsidR="005955F6" w:rsidRPr="00AD6C7D" w:rsidRDefault="005955F6" w:rsidP="005955F6">
      <w:pPr>
        <w:pStyle w:val="SingleTxtG"/>
        <w:rPr>
          <w:i/>
          <w:iCs/>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informelles Dokument</w:t>
      </w:r>
      <w:r w:rsidRPr="00AD6C7D">
        <w:rPr>
          <w:i/>
          <w:iCs/>
          <w:lang w:val="de-DE"/>
        </w:rPr>
        <w:t xml:space="preserve"> INF.7)</w:t>
      </w:r>
    </w:p>
    <w:p w14:paraId="6BA0B428" w14:textId="760C002F" w:rsidR="005955F6" w:rsidRPr="00AD6C7D" w:rsidRDefault="005955F6" w:rsidP="002903F2">
      <w:pPr>
        <w:pStyle w:val="SingleTxtG"/>
        <w:rPr>
          <w:lang w:val="de-DE"/>
        </w:rPr>
      </w:pPr>
      <w:r w:rsidRPr="00AD6C7D">
        <w:rPr>
          <w:lang w:val="de-DE"/>
        </w:rPr>
        <w:t>2.2.9.3</w:t>
      </w:r>
      <w:r w:rsidR="00034066" w:rsidRPr="00AD6C7D">
        <w:rPr>
          <w:lang w:val="de-DE"/>
        </w:rPr>
        <w:tab/>
      </w:r>
      <w:r w:rsidR="005633E4" w:rsidRPr="00AD6C7D">
        <w:rPr>
          <w:lang w:val="de-DE"/>
        </w:rPr>
        <w:tab/>
      </w:r>
      <w:r w:rsidR="00A66FBA" w:rsidRPr="00AD6C7D">
        <w:rPr>
          <w:lang w:val="de-DE"/>
        </w:rPr>
        <w:t>Verzeichnis der Eintragungen</w:t>
      </w:r>
      <w:r w:rsidRPr="00AD6C7D">
        <w:rPr>
          <w:lang w:val="de-DE"/>
        </w:rPr>
        <w:tab/>
      </w:r>
      <w:r w:rsidR="00A66FBA" w:rsidRPr="00AD6C7D">
        <w:rPr>
          <w:lang w:val="de-DE"/>
        </w:rPr>
        <w:t>Folgende neue Eintragung am Ende hinzufügen</w:t>
      </w:r>
      <w:r w:rsidRPr="00AD6C7D">
        <w:rPr>
          <w:lang w:val="de-DE"/>
        </w:rPr>
        <w:t>:</w:t>
      </w:r>
    </w:p>
    <w:p w14:paraId="4570129F" w14:textId="44F52F8F" w:rsidR="0005586C" w:rsidRPr="00AD6C7D" w:rsidRDefault="0005586C" w:rsidP="002903F2">
      <w:pPr>
        <w:pStyle w:val="SingleTxtG"/>
        <w:rPr>
          <w:lang w:val="de-DE"/>
        </w:rPr>
      </w:pPr>
      <w:r w:rsidRPr="00AD6C7D">
        <w:rPr>
          <w:lang w:val="de-DE"/>
        </w:rPr>
        <w:t>„</w:t>
      </w:r>
    </w:p>
    <w:tbl>
      <w:tblPr>
        <w:tblW w:w="8547" w:type="dxa"/>
        <w:tblInd w:w="51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1"/>
        <w:gridCol w:w="851"/>
        <w:gridCol w:w="5145"/>
      </w:tblGrid>
      <w:tr w:rsidR="0005586C" w:rsidRPr="004D1157" w14:paraId="529D9D5D" w14:textId="77777777" w:rsidTr="00DA237B">
        <w:tc>
          <w:tcPr>
            <w:tcW w:w="2551" w:type="dxa"/>
            <w:tcBorders>
              <w:top w:val="nil"/>
              <w:bottom w:val="single" w:sz="4" w:space="0" w:color="auto"/>
            </w:tcBorders>
          </w:tcPr>
          <w:p w14:paraId="1E51ECF1" w14:textId="77777777" w:rsidR="0005586C" w:rsidRPr="00AD6C7D" w:rsidRDefault="0005586C" w:rsidP="00DA237B">
            <w:pPr>
              <w:ind w:right="566"/>
              <w:jc w:val="both"/>
              <w:rPr>
                <w:b/>
                <w:lang w:val="de-DE" w:eastAsia="de-DE"/>
              </w:rPr>
            </w:pPr>
          </w:p>
        </w:tc>
        <w:tc>
          <w:tcPr>
            <w:tcW w:w="851" w:type="dxa"/>
            <w:tcBorders>
              <w:top w:val="nil"/>
              <w:bottom w:val="single" w:sz="4" w:space="0" w:color="auto"/>
              <w:right w:val="single" w:sz="4" w:space="0" w:color="auto"/>
            </w:tcBorders>
          </w:tcPr>
          <w:p w14:paraId="47FB9F89" w14:textId="77777777" w:rsidR="0005586C" w:rsidRPr="00AD6C7D" w:rsidRDefault="0005586C" w:rsidP="00DA237B">
            <w:pPr>
              <w:ind w:right="566"/>
              <w:jc w:val="both"/>
              <w:rPr>
                <w:b/>
                <w:lang w:val="de-DE" w:eastAsia="de-DE"/>
              </w:rPr>
            </w:pPr>
          </w:p>
        </w:tc>
        <w:tc>
          <w:tcPr>
            <w:tcW w:w="5145" w:type="dxa"/>
            <w:tcBorders>
              <w:top w:val="single" w:sz="6" w:space="0" w:color="auto"/>
              <w:left w:val="single" w:sz="4" w:space="0" w:color="auto"/>
              <w:bottom w:val="nil"/>
            </w:tcBorders>
          </w:tcPr>
          <w:p w14:paraId="1B241746" w14:textId="77777777" w:rsidR="0005586C" w:rsidRPr="00AD6C7D" w:rsidRDefault="0005586C" w:rsidP="00DA237B">
            <w:pPr>
              <w:tabs>
                <w:tab w:val="left" w:pos="567"/>
              </w:tabs>
              <w:ind w:right="566"/>
              <w:jc w:val="both"/>
              <w:rPr>
                <w:lang w:val="de-DE" w:eastAsia="de-DE"/>
              </w:rPr>
            </w:pPr>
            <w:r w:rsidRPr="00AD6C7D">
              <w:rPr>
                <w:lang w:val="de-DE" w:eastAsia="de-DE"/>
              </w:rPr>
              <w:t>Nur die folgenden, in Kapitel 3.2 Tabelle A mit diesem Klassifizierungscode aufgeführten Stoffe und Gegenstände unterliegen den Vorschriften der Klasse 9:</w:t>
            </w:r>
          </w:p>
        </w:tc>
      </w:tr>
      <w:tr w:rsidR="0005586C" w:rsidRPr="004D1157" w14:paraId="2C4DA2AC" w14:textId="77777777" w:rsidTr="00DA237B">
        <w:tc>
          <w:tcPr>
            <w:tcW w:w="2551" w:type="dxa"/>
            <w:tcBorders>
              <w:top w:val="single" w:sz="4" w:space="0" w:color="auto"/>
              <w:bottom w:val="single" w:sz="4" w:space="0" w:color="auto"/>
            </w:tcBorders>
          </w:tcPr>
          <w:p w14:paraId="03AAD6D3" w14:textId="77777777" w:rsidR="0005586C" w:rsidRPr="00AD6C7D" w:rsidRDefault="0005586C" w:rsidP="00DA237B">
            <w:pPr>
              <w:ind w:right="175"/>
              <w:rPr>
                <w:b/>
                <w:lang w:val="de-DE" w:eastAsia="de-DE"/>
              </w:rPr>
            </w:pPr>
            <w:r w:rsidRPr="00AD6C7D">
              <w:rPr>
                <w:b/>
                <w:lang w:val="de-DE" w:eastAsia="de-DE"/>
              </w:rPr>
              <w:t>andere Stoffe und Gegenstände, die während der Beförderung in Tankschiffen eine Gefahr darstellen und nicht unter die Definition einer anderen Klasse fallen</w:t>
            </w:r>
          </w:p>
        </w:tc>
        <w:tc>
          <w:tcPr>
            <w:tcW w:w="851" w:type="dxa"/>
            <w:tcBorders>
              <w:top w:val="single" w:sz="4" w:space="0" w:color="auto"/>
              <w:bottom w:val="single" w:sz="4" w:space="0" w:color="auto"/>
              <w:right w:val="single" w:sz="4" w:space="0" w:color="auto"/>
            </w:tcBorders>
          </w:tcPr>
          <w:p w14:paraId="4C000E8E" w14:textId="77777777" w:rsidR="0005586C" w:rsidRPr="00AD6C7D" w:rsidRDefault="0005586C" w:rsidP="00DA237B">
            <w:pPr>
              <w:ind w:right="316"/>
              <w:rPr>
                <w:b/>
                <w:lang w:val="de-DE" w:eastAsia="de-DE"/>
              </w:rPr>
            </w:pPr>
            <w:r w:rsidRPr="00AD6C7D">
              <w:rPr>
                <w:b/>
                <w:lang w:val="de-DE" w:eastAsia="de-DE"/>
              </w:rPr>
              <w:t>M12</w:t>
            </w:r>
          </w:p>
        </w:tc>
        <w:tc>
          <w:tcPr>
            <w:tcW w:w="5145" w:type="dxa"/>
            <w:tcBorders>
              <w:top w:val="nil"/>
              <w:left w:val="single" w:sz="4" w:space="0" w:color="auto"/>
              <w:bottom w:val="single" w:sz="4" w:space="0" w:color="auto"/>
            </w:tcBorders>
          </w:tcPr>
          <w:p w14:paraId="393B3660" w14:textId="77777777" w:rsidR="0005586C" w:rsidRPr="00AD6C7D" w:rsidRDefault="0005586C" w:rsidP="00DA237B">
            <w:pPr>
              <w:tabs>
                <w:tab w:val="left" w:pos="567"/>
              </w:tabs>
              <w:ind w:left="567" w:right="566" w:hanging="567"/>
              <w:jc w:val="both"/>
              <w:rPr>
                <w:lang w:val="de-DE" w:eastAsia="de-DE"/>
              </w:rPr>
            </w:pPr>
            <w:r w:rsidRPr="00AD6C7D">
              <w:rPr>
                <w:lang w:val="de-DE" w:eastAsia="de-DE"/>
              </w:rPr>
              <w:t>9003</w:t>
            </w:r>
            <w:r w:rsidRPr="00AD6C7D">
              <w:rPr>
                <w:lang w:val="de-DE" w:eastAsia="de-DE"/>
              </w:rPr>
              <w:tab/>
            </w:r>
            <w:r w:rsidRPr="00AD6C7D">
              <w:rPr>
                <w:caps/>
                <w:lang w:val="de-DE" w:eastAsia="de-DE"/>
              </w:rPr>
              <w:t xml:space="preserve">STOFFE MIT EINEM FLAMMPUNKT ÜBER 60 °C UND HÖCHSTENS 100 °C, </w:t>
            </w:r>
            <w:r w:rsidRPr="00AD6C7D">
              <w:rPr>
                <w:lang w:val="de-DE" w:eastAsia="de-DE"/>
              </w:rPr>
              <w:t>die nicht anderen Klassen zuzuordnen sind</w:t>
            </w:r>
          </w:p>
          <w:p w14:paraId="2FA1E415" w14:textId="77777777" w:rsidR="0005586C" w:rsidRPr="00AD6C7D" w:rsidRDefault="0005586C" w:rsidP="00DA237B">
            <w:pPr>
              <w:tabs>
                <w:tab w:val="left" w:pos="567"/>
              </w:tabs>
              <w:ind w:left="567" w:right="566" w:hanging="567"/>
              <w:jc w:val="both"/>
              <w:rPr>
                <w:caps/>
                <w:color w:val="000000"/>
                <w:lang w:val="de-DE" w:eastAsia="de-DE"/>
              </w:rPr>
            </w:pPr>
            <w:r w:rsidRPr="00AD6C7D">
              <w:rPr>
                <w:lang w:val="de-DE" w:eastAsia="de-DE"/>
              </w:rPr>
              <w:t>9004</w:t>
            </w:r>
            <w:r w:rsidRPr="00AD6C7D">
              <w:rPr>
                <w:lang w:val="de-DE" w:eastAsia="de-DE"/>
              </w:rPr>
              <w:tab/>
            </w:r>
            <w:r w:rsidRPr="00AD6C7D">
              <w:rPr>
                <w:caps/>
                <w:lang w:val="de-DE" w:eastAsia="de-DE"/>
              </w:rPr>
              <w:t>DIPHENYLMETHAN-4,4'-DIISOCYANAT</w:t>
            </w:r>
          </w:p>
          <w:p w14:paraId="70B7BFFC" w14:textId="77777777" w:rsidR="0005586C" w:rsidRPr="00AD6C7D" w:rsidRDefault="0005586C" w:rsidP="00DA237B">
            <w:pPr>
              <w:tabs>
                <w:tab w:val="left" w:pos="567"/>
              </w:tabs>
              <w:ind w:left="567" w:right="566" w:hanging="567"/>
              <w:jc w:val="both"/>
              <w:rPr>
                <w:caps/>
                <w:color w:val="000000"/>
                <w:lang w:val="de-DE" w:eastAsia="de-DE"/>
              </w:rPr>
            </w:pPr>
            <w:r w:rsidRPr="00AD6C7D">
              <w:rPr>
                <w:caps/>
                <w:color w:val="000000"/>
                <w:lang w:val="de-DE" w:eastAsia="de-DE"/>
              </w:rPr>
              <w:t>9005</w:t>
            </w:r>
            <w:r w:rsidRPr="00AD6C7D">
              <w:rPr>
                <w:caps/>
                <w:color w:val="000000"/>
                <w:lang w:val="de-DE" w:eastAsia="de-DE"/>
              </w:rPr>
              <w:tab/>
              <w:t>UMWELTGEFÄHRDENDER STOFF, FEST, GESCHMOLZEN, N.A.G.</w:t>
            </w:r>
          </w:p>
          <w:p w14:paraId="544D15E4" w14:textId="77777777" w:rsidR="0005586C" w:rsidRPr="00AD6C7D" w:rsidRDefault="0005586C" w:rsidP="00DA237B">
            <w:pPr>
              <w:tabs>
                <w:tab w:val="left" w:pos="567"/>
              </w:tabs>
              <w:ind w:left="567" w:right="566" w:hanging="567"/>
              <w:jc w:val="both"/>
              <w:rPr>
                <w:lang w:val="de-DE" w:eastAsia="de-DE"/>
              </w:rPr>
            </w:pPr>
            <w:r w:rsidRPr="00AD6C7D">
              <w:rPr>
                <w:caps/>
                <w:color w:val="000000"/>
                <w:lang w:val="de-DE" w:eastAsia="de-DE"/>
              </w:rPr>
              <w:t>9006</w:t>
            </w:r>
            <w:r w:rsidRPr="00AD6C7D">
              <w:rPr>
                <w:caps/>
                <w:color w:val="000000"/>
                <w:lang w:val="de-DE" w:eastAsia="de-DE"/>
              </w:rPr>
              <w:tab/>
              <w:t>UMWELTGEFÄHRDENDER STOFF, FLÜSSIG, N.A.G.</w:t>
            </w:r>
          </w:p>
        </w:tc>
      </w:tr>
    </w:tbl>
    <w:p w14:paraId="2F542ABC" w14:textId="77777777" w:rsidR="0005586C" w:rsidRPr="00AD6C7D" w:rsidRDefault="0005586C" w:rsidP="005955F6">
      <w:pPr>
        <w:pStyle w:val="SingleTxtG"/>
        <w:spacing w:before="120"/>
        <w:rPr>
          <w:i/>
          <w:iCs/>
          <w:lang w:val="de-DE"/>
        </w:rPr>
      </w:pPr>
      <w:r w:rsidRPr="00AD6C7D">
        <w:rPr>
          <w:i/>
          <w:iCs/>
          <w:lang w:val="de-DE"/>
        </w:rPr>
        <w:t>„.</w:t>
      </w:r>
    </w:p>
    <w:p w14:paraId="3368066C" w14:textId="46546930" w:rsidR="005955F6" w:rsidRPr="00AD6C7D" w:rsidRDefault="005955F6" w:rsidP="005955F6">
      <w:pPr>
        <w:pStyle w:val="SingleTxtG"/>
        <w:spacing w:before="120"/>
        <w:rPr>
          <w:i/>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 xml:space="preserve">informelles Dokument </w:t>
      </w:r>
      <w:r w:rsidRPr="00AD6C7D">
        <w:rPr>
          <w:i/>
          <w:iCs/>
          <w:lang w:val="de-DE"/>
        </w:rPr>
        <w:t>INF.7)</w:t>
      </w:r>
    </w:p>
    <w:p w14:paraId="38CB21CB" w14:textId="2DEFFBDB" w:rsidR="005955F6" w:rsidRPr="00AD6C7D" w:rsidRDefault="005955F6" w:rsidP="005955F6">
      <w:pPr>
        <w:pStyle w:val="H23G"/>
        <w:kinsoku w:val="0"/>
        <w:overflowPunct w:val="0"/>
        <w:autoSpaceDE w:val="0"/>
        <w:autoSpaceDN w:val="0"/>
        <w:adjustRightInd w:val="0"/>
        <w:snapToGrid w:val="0"/>
        <w:rPr>
          <w:rFonts w:eastAsiaTheme="minorHAnsi"/>
          <w:i/>
          <w:iCs/>
          <w:lang w:val="de-DE"/>
        </w:rPr>
      </w:pPr>
      <w:r w:rsidRPr="00AD6C7D">
        <w:rPr>
          <w:lang w:val="de-DE"/>
        </w:rPr>
        <w:tab/>
      </w:r>
      <w:r w:rsidRPr="00AD6C7D">
        <w:rPr>
          <w:lang w:val="de-DE"/>
        </w:rPr>
        <w:tab/>
      </w:r>
      <w:r w:rsidR="003D1BA6" w:rsidRPr="00AD6C7D">
        <w:rPr>
          <w:lang w:val="de-DE"/>
        </w:rPr>
        <w:t>Kapitel</w:t>
      </w:r>
      <w:r w:rsidRPr="00AD6C7D">
        <w:rPr>
          <w:lang w:val="de-DE"/>
        </w:rPr>
        <w:t xml:space="preserve"> 3.1</w:t>
      </w:r>
    </w:p>
    <w:p w14:paraId="63DC4A4D" w14:textId="36141DD9" w:rsidR="005955F6" w:rsidRPr="00AD6C7D" w:rsidRDefault="005955F6" w:rsidP="005955F6">
      <w:pPr>
        <w:pStyle w:val="SingleTxtG"/>
        <w:rPr>
          <w:lang w:val="de-DE"/>
        </w:rPr>
      </w:pPr>
      <w:bookmarkStart w:id="20" w:name="_Hlk19535284"/>
      <w:r w:rsidRPr="00AD6C7D">
        <w:rPr>
          <w:lang w:val="de-DE"/>
        </w:rPr>
        <w:t>3.1.2.8.1.4</w:t>
      </w:r>
      <w:bookmarkEnd w:id="20"/>
      <w:r w:rsidRPr="00AD6C7D">
        <w:rPr>
          <w:lang w:val="de-DE"/>
        </w:rPr>
        <w:tab/>
      </w:r>
      <w:r w:rsidR="00212F1B" w:rsidRPr="00AD6C7D">
        <w:rPr>
          <w:lang w:val="de-DE"/>
        </w:rPr>
        <w:t>Erhält folgenden Wortlaut: „3.1.2.8.1.4</w:t>
      </w:r>
      <w:r w:rsidR="00212F1B" w:rsidRPr="00AD6C7D">
        <w:rPr>
          <w:lang w:val="de-DE"/>
        </w:rPr>
        <w:tab/>
        <w:t>(gestrichen)“.</w:t>
      </w:r>
    </w:p>
    <w:p w14:paraId="151B58D9" w14:textId="6EFF8785" w:rsidR="005955F6" w:rsidRPr="00AD6C7D" w:rsidRDefault="005955F6" w:rsidP="005955F6">
      <w:pPr>
        <w:pStyle w:val="SingleTxtG"/>
        <w:rPr>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 xml:space="preserve">informelles Dokument </w:t>
      </w:r>
      <w:r w:rsidRPr="00AD6C7D">
        <w:rPr>
          <w:i/>
          <w:iCs/>
          <w:lang w:val="de-DE"/>
        </w:rPr>
        <w:t>INF.7)</w:t>
      </w:r>
    </w:p>
    <w:p w14:paraId="552C2D62" w14:textId="30D8745C" w:rsidR="005955F6" w:rsidRPr="00AD6C7D" w:rsidRDefault="005955F6" w:rsidP="005955F6">
      <w:pPr>
        <w:pStyle w:val="H23G"/>
        <w:kinsoku w:val="0"/>
        <w:overflowPunct w:val="0"/>
        <w:autoSpaceDE w:val="0"/>
        <w:autoSpaceDN w:val="0"/>
        <w:adjustRightInd w:val="0"/>
        <w:snapToGrid w:val="0"/>
        <w:rPr>
          <w:rFonts w:eastAsiaTheme="minorHAnsi"/>
          <w:lang w:val="de-DE"/>
        </w:rPr>
      </w:pPr>
      <w:r w:rsidRPr="00AD6C7D">
        <w:rPr>
          <w:lang w:val="de-DE"/>
        </w:rPr>
        <w:tab/>
      </w:r>
      <w:r w:rsidRPr="00AD6C7D">
        <w:rPr>
          <w:lang w:val="de-DE"/>
        </w:rPr>
        <w:tab/>
      </w:r>
      <w:r w:rsidR="003D1BA6" w:rsidRPr="00AD6C7D">
        <w:rPr>
          <w:lang w:val="de-DE"/>
        </w:rPr>
        <w:t>Kapitel</w:t>
      </w:r>
      <w:r w:rsidRPr="00AD6C7D">
        <w:rPr>
          <w:lang w:val="de-DE"/>
        </w:rPr>
        <w:t xml:space="preserve"> 3.2, </w:t>
      </w:r>
      <w:r w:rsidR="002C03D0">
        <w:rPr>
          <w:lang w:val="de-DE"/>
        </w:rPr>
        <w:t>Tabelle</w:t>
      </w:r>
      <w:r w:rsidRPr="00AD6C7D">
        <w:rPr>
          <w:lang w:val="de-DE"/>
        </w:rPr>
        <w:t xml:space="preserve"> A</w:t>
      </w:r>
    </w:p>
    <w:p w14:paraId="199B77AD" w14:textId="6FA97AD6" w:rsidR="0061597D" w:rsidRPr="00AD6C7D" w:rsidRDefault="005955F6" w:rsidP="005955F6">
      <w:pPr>
        <w:pStyle w:val="SingleTxtG"/>
        <w:rPr>
          <w:lang w:val="de-DE"/>
        </w:rPr>
      </w:pPr>
      <w:r w:rsidRPr="00AD6C7D">
        <w:rPr>
          <w:lang w:val="de-DE"/>
        </w:rPr>
        <w:t>3.2.1</w:t>
      </w:r>
      <w:r w:rsidRPr="00AD6C7D">
        <w:rPr>
          <w:lang w:val="de-DE"/>
        </w:rPr>
        <w:tab/>
      </w:r>
      <w:bookmarkStart w:id="21" w:name="_Hlk19541125"/>
      <w:r w:rsidR="0061597D" w:rsidRPr="00AD6C7D">
        <w:rPr>
          <w:lang w:val="de-DE"/>
        </w:rPr>
        <w:t xml:space="preserve">Bei den UN-Nrn. 2074, 3468 und 1153, VG II, </w:t>
      </w:r>
      <w:bookmarkStart w:id="22" w:name="_Hlk19540918"/>
      <w:r w:rsidR="0061597D" w:rsidRPr="00AD6C7D">
        <w:rPr>
          <w:lang w:val="de-DE"/>
        </w:rPr>
        <w:t>in Spalte (8) streichen</w:t>
      </w:r>
      <w:r w:rsidR="00704BDA" w:rsidRPr="00AD6C7D">
        <w:rPr>
          <w:lang w:val="de-DE"/>
        </w:rPr>
        <w:t>:</w:t>
      </w:r>
      <w:r w:rsidR="0061597D" w:rsidRPr="00AD6C7D">
        <w:rPr>
          <w:lang w:val="de-DE"/>
        </w:rPr>
        <w:t xml:space="preserve"> „T“.</w:t>
      </w:r>
      <w:bookmarkEnd w:id="21"/>
    </w:p>
    <w:bookmarkEnd w:id="22"/>
    <w:p w14:paraId="1E67AC2B" w14:textId="0C49BBA2" w:rsidR="005955F6" w:rsidRPr="00AD6C7D" w:rsidRDefault="005955F6" w:rsidP="005955F6">
      <w:pPr>
        <w:pStyle w:val="SingleTxtG"/>
        <w:rPr>
          <w:i/>
          <w:iCs/>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 xml:space="preserve">informelles Dokument </w:t>
      </w:r>
      <w:r w:rsidRPr="00AD6C7D">
        <w:rPr>
          <w:i/>
          <w:iCs/>
          <w:lang w:val="de-DE"/>
        </w:rPr>
        <w:t>INF.7)</w:t>
      </w:r>
    </w:p>
    <w:p w14:paraId="73803526" w14:textId="3DE70872" w:rsidR="0061597D" w:rsidRPr="00AD6C7D" w:rsidRDefault="005955F6" w:rsidP="005955F6">
      <w:pPr>
        <w:pStyle w:val="SingleTxtG"/>
        <w:rPr>
          <w:lang w:val="de-DE"/>
        </w:rPr>
      </w:pPr>
      <w:r w:rsidRPr="00AD6C7D">
        <w:rPr>
          <w:lang w:val="de-DE"/>
        </w:rPr>
        <w:t>3.2.1</w:t>
      </w:r>
      <w:r w:rsidRPr="00AD6C7D">
        <w:rPr>
          <w:lang w:val="de-DE"/>
        </w:rPr>
        <w:tab/>
      </w:r>
      <w:bookmarkStart w:id="23" w:name="_Hlk19541221"/>
      <w:r w:rsidR="0061597D" w:rsidRPr="00AD6C7D">
        <w:rPr>
          <w:lang w:val="de-DE"/>
        </w:rPr>
        <w:t xml:space="preserve">Bei der </w:t>
      </w:r>
      <w:bookmarkStart w:id="24" w:name="_Hlk19541053"/>
      <w:r w:rsidR="0061597D" w:rsidRPr="00AD6C7D">
        <w:rPr>
          <w:lang w:val="de-DE"/>
        </w:rPr>
        <w:t xml:space="preserve">UN-Nr. </w:t>
      </w:r>
      <w:bookmarkEnd w:id="24"/>
      <w:r w:rsidR="0061597D" w:rsidRPr="00AD6C7D">
        <w:rPr>
          <w:lang w:val="de-DE"/>
        </w:rPr>
        <w:t xml:space="preserve">2216 erhält die Benennung in Spalte (2) folgenden Wortlaut: </w:t>
      </w:r>
      <w:bookmarkEnd w:id="23"/>
      <w:r w:rsidR="0061597D" w:rsidRPr="00AD6C7D">
        <w:rPr>
          <w:bCs/>
          <w:lang w:val="de-DE"/>
        </w:rPr>
        <w:t>„FISCHMEHL, STABILISIERT oder FISCHABFALL, STABILISIERT“.</w:t>
      </w:r>
    </w:p>
    <w:p w14:paraId="07B6B8CF" w14:textId="09D4A941" w:rsidR="005955F6" w:rsidRPr="00AD6C7D" w:rsidRDefault="005955F6" w:rsidP="005955F6">
      <w:pPr>
        <w:pStyle w:val="SingleTxtG"/>
        <w:rPr>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 xml:space="preserve">informelles Dokument </w:t>
      </w:r>
      <w:r w:rsidRPr="00AD6C7D">
        <w:rPr>
          <w:i/>
          <w:iCs/>
          <w:lang w:val="de-DE"/>
        </w:rPr>
        <w:t>INF.7)</w:t>
      </w:r>
    </w:p>
    <w:p w14:paraId="07DC80CB" w14:textId="4B8BF7E6" w:rsidR="005955F6" w:rsidRPr="00AD6C7D" w:rsidRDefault="005955F6" w:rsidP="005955F6">
      <w:pPr>
        <w:pStyle w:val="SingleTxtG"/>
        <w:rPr>
          <w:lang w:val="de-DE"/>
        </w:rPr>
      </w:pPr>
      <w:r w:rsidRPr="00AD6C7D">
        <w:rPr>
          <w:lang w:val="de-DE"/>
        </w:rPr>
        <w:t>3.2.1</w:t>
      </w:r>
      <w:r w:rsidRPr="00AD6C7D">
        <w:rPr>
          <w:lang w:val="de-DE"/>
        </w:rPr>
        <w:tab/>
      </w:r>
      <w:r w:rsidR="00704BDA" w:rsidRPr="00AD6C7D">
        <w:rPr>
          <w:lang w:val="de-DE"/>
        </w:rPr>
        <w:t>Bei den UN-Nrn.</w:t>
      </w:r>
      <w:r w:rsidRPr="00AD6C7D">
        <w:rPr>
          <w:lang w:val="de-DE"/>
        </w:rPr>
        <w:t xml:space="preserve"> 2288, 2582, 2785, 2984 </w:t>
      </w:r>
      <w:r w:rsidR="00704BDA" w:rsidRPr="00AD6C7D">
        <w:rPr>
          <w:lang w:val="de-DE"/>
        </w:rPr>
        <w:t>und</w:t>
      </w:r>
      <w:r w:rsidRPr="00AD6C7D">
        <w:rPr>
          <w:lang w:val="de-DE"/>
        </w:rPr>
        <w:t xml:space="preserve"> 3429, </w:t>
      </w:r>
      <w:r w:rsidR="00704BDA" w:rsidRPr="00AD6C7D">
        <w:rPr>
          <w:lang w:val="de-DE"/>
        </w:rPr>
        <w:t>in Spalte (8) einfügen: „T“.</w:t>
      </w:r>
    </w:p>
    <w:p w14:paraId="3145A9F0" w14:textId="0ECFBC06" w:rsidR="005955F6" w:rsidRPr="00AD6C7D" w:rsidRDefault="005955F6" w:rsidP="005955F6">
      <w:pPr>
        <w:pStyle w:val="SingleTxtG"/>
        <w:rPr>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 xml:space="preserve">informelles Dokument </w:t>
      </w:r>
      <w:r w:rsidRPr="00AD6C7D">
        <w:rPr>
          <w:i/>
          <w:iCs/>
          <w:lang w:val="de-DE"/>
        </w:rPr>
        <w:t>INF.7)</w:t>
      </w:r>
    </w:p>
    <w:p w14:paraId="65FE3DCB" w14:textId="600366F4" w:rsidR="00C85158" w:rsidRPr="00AD6C7D" w:rsidRDefault="005955F6" w:rsidP="00C85158">
      <w:pPr>
        <w:pStyle w:val="SingleTxtG"/>
        <w:rPr>
          <w:lang w:val="de-DE"/>
        </w:rPr>
      </w:pPr>
      <w:r w:rsidRPr="00AD6C7D">
        <w:rPr>
          <w:lang w:val="de-DE"/>
        </w:rPr>
        <w:t>3.2.1</w:t>
      </w:r>
      <w:r w:rsidRPr="00AD6C7D">
        <w:rPr>
          <w:lang w:val="de-DE"/>
        </w:rPr>
        <w:tab/>
      </w:r>
      <w:bookmarkStart w:id="25" w:name="_Hlk19610984"/>
      <w:r w:rsidR="00C85158" w:rsidRPr="00AD6C7D">
        <w:rPr>
          <w:lang w:val="de-DE"/>
        </w:rPr>
        <w:t>[Die Änderung zur UN-Nr. 2785 in der französischen Fassung hat keine Auswirkungen auf den deutschen Text.]</w:t>
      </w:r>
    </w:p>
    <w:bookmarkEnd w:id="25"/>
    <w:p w14:paraId="7089ACB5" w14:textId="5E7D4331" w:rsidR="005955F6" w:rsidRPr="00AD6C7D" w:rsidRDefault="005955F6" w:rsidP="005955F6">
      <w:pPr>
        <w:pStyle w:val="SingleTxtG"/>
        <w:rPr>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 xml:space="preserve">informelles Dokument </w:t>
      </w:r>
      <w:r w:rsidRPr="00AD6C7D">
        <w:rPr>
          <w:i/>
          <w:iCs/>
          <w:lang w:val="de-DE"/>
        </w:rPr>
        <w:t>INF.7)</w:t>
      </w:r>
    </w:p>
    <w:p w14:paraId="59307528" w14:textId="0B719A64" w:rsidR="00E42417" w:rsidRPr="00AD6C7D" w:rsidRDefault="005955F6" w:rsidP="005955F6">
      <w:pPr>
        <w:pStyle w:val="SingleTxtG"/>
        <w:rPr>
          <w:lang w:val="de-DE"/>
        </w:rPr>
      </w:pPr>
      <w:r w:rsidRPr="00AD6C7D">
        <w:rPr>
          <w:lang w:val="de-DE"/>
        </w:rPr>
        <w:t>3.2.1</w:t>
      </w:r>
      <w:r w:rsidRPr="00AD6C7D">
        <w:rPr>
          <w:lang w:val="de-DE"/>
        </w:rPr>
        <w:tab/>
      </w:r>
      <w:r w:rsidR="00E42417" w:rsidRPr="00AD6C7D">
        <w:rPr>
          <w:lang w:val="de-DE"/>
        </w:rPr>
        <w:t>Bei der UN-Nr. 3456, in Spalte (8) streichen: „T3“.</w:t>
      </w:r>
    </w:p>
    <w:p w14:paraId="3E9E7857" w14:textId="53799217" w:rsidR="005955F6" w:rsidRPr="00AD6C7D" w:rsidRDefault="005955F6" w:rsidP="005955F6">
      <w:pPr>
        <w:pStyle w:val="SingleTxtG"/>
        <w:rPr>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informelles Dokument</w:t>
      </w:r>
      <w:r w:rsidRPr="00AD6C7D">
        <w:rPr>
          <w:i/>
          <w:iCs/>
          <w:lang w:val="de-DE"/>
        </w:rPr>
        <w:t xml:space="preserve"> INF.7)</w:t>
      </w:r>
    </w:p>
    <w:p w14:paraId="11210BCA" w14:textId="3D9BD927" w:rsidR="000B54B2" w:rsidRPr="00AD6C7D" w:rsidRDefault="005955F6" w:rsidP="005955F6">
      <w:pPr>
        <w:pStyle w:val="SingleTxtG"/>
        <w:rPr>
          <w:lang w:val="de-DE"/>
        </w:rPr>
      </w:pPr>
      <w:bookmarkStart w:id="26" w:name="_Hlk20229104"/>
      <w:r w:rsidRPr="00AD6C7D">
        <w:rPr>
          <w:lang w:val="de-DE"/>
        </w:rPr>
        <w:t>3.2.1</w:t>
      </w:r>
      <w:r w:rsidRPr="00AD6C7D">
        <w:rPr>
          <w:lang w:val="de-DE"/>
        </w:rPr>
        <w:tab/>
      </w:r>
      <w:bookmarkStart w:id="27" w:name="_Hlk19611617"/>
      <w:r w:rsidR="000B54B2" w:rsidRPr="00AD6C7D">
        <w:rPr>
          <w:lang w:val="de-DE"/>
        </w:rPr>
        <w:t>Bei der Stoffnummer 9001 erhält die Benennung in Spalte (2) folgenden Wortlaut:</w:t>
      </w:r>
      <w:r w:rsidRPr="00AD6C7D">
        <w:rPr>
          <w:lang w:val="de-DE"/>
        </w:rPr>
        <w:t xml:space="preserve"> </w:t>
      </w:r>
      <w:bookmarkStart w:id="28" w:name="_Hlk19611642"/>
      <w:bookmarkEnd w:id="27"/>
      <w:r w:rsidR="000B54B2" w:rsidRPr="00AD6C7D">
        <w:rPr>
          <w:lang w:val="de-DE"/>
        </w:rPr>
        <w:t xml:space="preserve">„STOFF MIT EINEM FLAMMPUNKT ÜBER 60 °C, </w:t>
      </w:r>
      <w:r w:rsidR="0052156C" w:rsidRPr="00AD6C7D">
        <w:rPr>
          <w:lang w:val="de-DE"/>
        </w:rPr>
        <w:t xml:space="preserve">ERWÄRMT </w:t>
      </w:r>
      <w:r w:rsidR="000B54B2" w:rsidRPr="00AD6C7D">
        <w:rPr>
          <w:lang w:val="de-DE"/>
        </w:rPr>
        <w:t>in einem Bereich von 15 K unterhalb seines Flammpunkts“.</w:t>
      </w:r>
    </w:p>
    <w:bookmarkEnd w:id="28"/>
    <w:p w14:paraId="7DA0060C" w14:textId="214245CD" w:rsidR="005955F6" w:rsidRPr="00AD6C7D" w:rsidRDefault="005955F6" w:rsidP="005955F6">
      <w:pPr>
        <w:pStyle w:val="SingleTxtG"/>
        <w:rPr>
          <w:i/>
          <w:iCs/>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informelles Dokument</w:t>
      </w:r>
      <w:r w:rsidRPr="00AD6C7D">
        <w:rPr>
          <w:i/>
          <w:iCs/>
          <w:lang w:val="de-DE"/>
        </w:rPr>
        <w:t xml:space="preserve"> INF.7</w:t>
      </w:r>
      <w:r w:rsidR="00CE1151" w:rsidRPr="00AD6C7D">
        <w:rPr>
          <w:i/>
          <w:iCs/>
          <w:lang w:val="de-DE"/>
        </w:rPr>
        <w:t>,</w:t>
      </w:r>
      <w:r w:rsidRPr="00AD6C7D">
        <w:rPr>
          <w:i/>
          <w:iCs/>
          <w:lang w:val="de-DE"/>
        </w:rPr>
        <w:t xml:space="preserve"> </w:t>
      </w:r>
      <w:r w:rsidR="00CE1151" w:rsidRPr="00AD6C7D">
        <w:rPr>
          <w:i/>
          <w:iCs/>
          <w:lang w:val="de-DE"/>
        </w:rPr>
        <w:t>wie geändert</w:t>
      </w:r>
      <w:r w:rsidRPr="00AD6C7D">
        <w:rPr>
          <w:i/>
          <w:iCs/>
          <w:lang w:val="de-DE"/>
        </w:rPr>
        <w:t>)</w:t>
      </w:r>
    </w:p>
    <w:bookmarkEnd w:id="26"/>
    <w:p w14:paraId="7F14EDD2" w14:textId="7AF4AB9C" w:rsidR="005955F6" w:rsidRPr="00AD6C7D" w:rsidRDefault="005955F6" w:rsidP="005955F6">
      <w:pPr>
        <w:pStyle w:val="SingleTxtG"/>
        <w:rPr>
          <w:lang w:val="de-DE"/>
        </w:rPr>
      </w:pPr>
      <w:r w:rsidRPr="00AD6C7D">
        <w:rPr>
          <w:lang w:val="de-DE"/>
        </w:rPr>
        <w:t>3.2.1</w:t>
      </w:r>
      <w:r w:rsidRPr="00AD6C7D">
        <w:rPr>
          <w:lang w:val="de-DE"/>
        </w:rPr>
        <w:tab/>
      </w:r>
      <w:r w:rsidR="00F53B6E" w:rsidRPr="00AD6C7D">
        <w:rPr>
          <w:lang w:val="de-DE"/>
        </w:rPr>
        <w:t xml:space="preserve">Bei den Stoffnummern </w:t>
      </w:r>
      <w:r w:rsidRPr="00AD6C7D">
        <w:rPr>
          <w:lang w:val="de-DE"/>
        </w:rPr>
        <w:t xml:space="preserve">9003, 9004, 9005 </w:t>
      </w:r>
      <w:r w:rsidR="00F53B6E" w:rsidRPr="00AD6C7D">
        <w:rPr>
          <w:lang w:val="de-DE"/>
        </w:rPr>
        <w:t>u</w:t>
      </w:r>
      <w:r w:rsidRPr="00AD6C7D">
        <w:rPr>
          <w:lang w:val="de-DE"/>
        </w:rPr>
        <w:t>nd 9006,</w:t>
      </w:r>
      <w:r w:rsidR="00F53B6E" w:rsidRPr="00AD6C7D">
        <w:rPr>
          <w:lang w:val="de-DE"/>
        </w:rPr>
        <w:t xml:space="preserve"> in Spalte</w:t>
      </w:r>
      <w:r w:rsidRPr="00AD6C7D">
        <w:rPr>
          <w:lang w:val="de-DE"/>
        </w:rPr>
        <w:t xml:space="preserve"> 3(b) </w:t>
      </w:r>
      <w:r w:rsidR="00F53B6E" w:rsidRPr="00AD6C7D">
        <w:rPr>
          <w:lang w:val="de-DE"/>
        </w:rPr>
        <w:t>einfügen:</w:t>
      </w:r>
      <w:r w:rsidRPr="00AD6C7D">
        <w:rPr>
          <w:lang w:val="de-DE"/>
        </w:rPr>
        <w:t xml:space="preserve"> </w:t>
      </w:r>
      <w:r w:rsidR="00F53B6E" w:rsidRPr="00AD6C7D">
        <w:rPr>
          <w:lang w:val="de-DE"/>
        </w:rPr>
        <w:t>„</w:t>
      </w:r>
      <w:r w:rsidRPr="00AD6C7D">
        <w:rPr>
          <w:lang w:val="de-DE"/>
        </w:rPr>
        <w:t>M12</w:t>
      </w:r>
      <w:r w:rsidR="00F53B6E" w:rsidRPr="00AD6C7D">
        <w:rPr>
          <w:lang w:val="de-DE"/>
        </w:rPr>
        <w:t>“</w:t>
      </w:r>
      <w:r w:rsidRPr="00AD6C7D">
        <w:rPr>
          <w:lang w:val="de-DE"/>
        </w:rPr>
        <w:t>.</w:t>
      </w:r>
    </w:p>
    <w:p w14:paraId="60F48E0B" w14:textId="74A2807A" w:rsidR="005955F6" w:rsidRPr="00AD6C7D" w:rsidRDefault="005955F6" w:rsidP="005955F6">
      <w:pPr>
        <w:pStyle w:val="SingleTxtG"/>
        <w:rPr>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informelles Dokument</w:t>
      </w:r>
      <w:r w:rsidRPr="00AD6C7D">
        <w:rPr>
          <w:i/>
          <w:iCs/>
          <w:lang w:val="de-DE"/>
        </w:rPr>
        <w:t xml:space="preserve"> INF.7)</w:t>
      </w:r>
    </w:p>
    <w:p w14:paraId="70C110A7" w14:textId="77777777" w:rsidR="00AD0209" w:rsidRDefault="00AD0209">
      <w:pPr>
        <w:suppressAutoHyphens w:val="0"/>
        <w:spacing w:after="200" w:line="276" w:lineRule="auto"/>
        <w:rPr>
          <w:b/>
          <w:lang w:val="de-DE"/>
        </w:rPr>
      </w:pPr>
      <w:r>
        <w:rPr>
          <w:lang w:val="de-DE"/>
        </w:rPr>
        <w:br w:type="page"/>
      </w:r>
    </w:p>
    <w:p w14:paraId="20FA2679" w14:textId="466A22AD" w:rsidR="005955F6" w:rsidRPr="00AD6C7D" w:rsidRDefault="005955F6" w:rsidP="005955F6">
      <w:pPr>
        <w:pStyle w:val="H23G"/>
        <w:kinsoku w:val="0"/>
        <w:overflowPunct w:val="0"/>
        <w:autoSpaceDE w:val="0"/>
        <w:autoSpaceDN w:val="0"/>
        <w:adjustRightInd w:val="0"/>
        <w:snapToGrid w:val="0"/>
        <w:rPr>
          <w:rFonts w:eastAsiaTheme="minorHAnsi"/>
          <w:lang w:val="de-DE"/>
        </w:rPr>
      </w:pPr>
      <w:r w:rsidRPr="00AD6C7D">
        <w:rPr>
          <w:lang w:val="de-DE"/>
        </w:rPr>
        <w:lastRenderedPageBreak/>
        <w:tab/>
      </w:r>
      <w:r w:rsidRPr="00AD6C7D">
        <w:rPr>
          <w:lang w:val="de-DE"/>
        </w:rPr>
        <w:tab/>
      </w:r>
      <w:r w:rsidR="003D1BA6" w:rsidRPr="00AD6C7D">
        <w:rPr>
          <w:lang w:val="de-DE"/>
        </w:rPr>
        <w:t>Kapitel</w:t>
      </w:r>
      <w:r w:rsidRPr="00AD6C7D">
        <w:rPr>
          <w:lang w:val="de-DE"/>
        </w:rPr>
        <w:t xml:space="preserve"> 3.2, </w:t>
      </w:r>
      <w:r w:rsidR="000B54B2" w:rsidRPr="00AD6C7D">
        <w:rPr>
          <w:lang w:val="de-DE"/>
        </w:rPr>
        <w:t>Tabelle</w:t>
      </w:r>
      <w:r w:rsidRPr="00AD6C7D">
        <w:rPr>
          <w:lang w:val="de-DE"/>
        </w:rPr>
        <w:t xml:space="preserve"> C</w:t>
      </w:r>
    </w:p>
    <w:p w14:paraId="437A7D31" w14:textId="6A265A78" w:rsidR="00F53B6E" w:rsidRPr="00AD6C7D" w:rsidRDefault="005955F6" w:rsidP="00F53B6E">
      <w:pPr>
        <w:pStyle w:val="SingleTxtG"/>
        <w:rPr>
          <w:lang w:val="de-DE"/>
        </w:rPr>
      </w:pPr>
      <w:r w:rsidRPr="00AD6C7D">
        <w:rPr>
          <w:lang w:val="de-DE"/>
        </w:rPr>
        <w:t>3.2.3.2</w:t>
      </w:r>
      <w:r w:rsidRPr="00AD6C7D">
        <w:rPr>
          <w:lang w:val="de-DE"/>
        </w:rPr>
        <w:tab/>
      </w:r>
      <w:r w:rsidRPr="00AD6C7D">
        <w:rPr>
          <w:lang w:val="de-DE"/>
        </w:rPr>
        <w:tab/>
      </w:r>
      <w:r w:rsidR="00F53B6E" w:rsidRPr="00AD6C7D">
        <w:rPr>
          <w:lang w:val="de-DE"/>
        </w:rPr>
        <w:t>[Die Änderung zur UN-Nr. 1177 in der französischen Fassung hat keine Auswirkungen auf den deutschen Text.]</w:t>
      </w:r>
    </w:p>
    <w:p w14:paraId="3FAE65CB" w14:textId="5D543BBF" w:rsidR="005955F6" w:rsidRPr="00AD6C7D" w:rsidRDefault="005955F6" w:rsidP="005955F6">
      <w:pPr>
        <w:pStyle w:val="SingleTxtG"/>
        <w:rPr>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informelles Dokument</w:t>
      </w:r>
      <w:r w:rsidRPr="00AD6C7D">
        <w:rPr>
          <w:i/>
          <w:iCs/>
          <w:lang w:val="de-DE"/>
        </w:rPr>
        <w:t xml:space="preserve"> INF.7</w:t>
      </w:r>
      <w:r w:rsidR="00CE1151" w:rsidRPr="00AD6C7D">
        <w:rPr>
          <w:i/>
          <w:iCs/>
          <w:lang w:val="de-DE"/>
        </w:rPr>
        <w:t>,</w:t>
      </w:r>
      <w:r w:rsidRPr="00AD6C7D">
        <w:rPr>
          <w:i/>
          <w:iCs/>
          <w:lang w:val="de-DE"/>
        </w:rPr>
        <w:t xml:space="preserve"> </w:t>
      </w:r>
      <w:r w:rsidR="00CE1151" w:rsidRPr="00AD6C7D">
        <w:rPr>
          <w:i/>
          <w:iCs/>
          <w:lang w:val="de-DE"/>
        </w:rPr>
        <w:t>wie geändert</w:t>
      </w:r>
      <w:r w:rsidRPr="00AD6C7D">
        <w:rPr>
          <w:i/>
          <w:iCs/>
          <w:lang w:val="de-DE"/>
        </w:rPr>
        <w:t>)</w:t>
      </w:r>
    </w:p>
    <w:p w14:paraId="0006C3CE" w14:textId="1E34BCE5" w:rsidR="00DA237B" w:rsidRPr="00AD6C7D" w:rsidRDefault="005955F6" w:rsidP="00DA237B">
      <w:pPr>
        <w:pStyle w:val="SingleTxtG"/>
        <w:rPr>
          <w:lang w:val="de-DE"/>
        </w:rPr>
      </w:pPr>
      <w:r w:rsidRPr="00AD6C7D">
        <w:rPr>
          <w:lang w:val="de-DE"/>
        </w:rPr>
        <w:t>3.2.3.2</w:t>
      </w:r>
      <w:r w:rsidRPr="00AD6C7D">
        <w:rPr>
          <w:lang w:val="de-DE"/>
        </w:rPr>
        <w:tab/>
      </w:r>
      <w:r w:rsidRPr="00AD6C7D">
        <w:rPr>
          <w:lang w:val="de-DE"/>
        </w:rPr>
        <w:tab/>
      </w:r>
      <w:bookmarkStart w:id="29" w:name="_Hlk19625027"/>
      <w:r w:rsidR="00DA237B" w:rsidRPr="00AD6C7D">
        <w:rPr>
          <w:lang w:val="de-DE"/>
        </w:rPr>
        <w:t>[Die Änderung zur UN-Nr. 2785 in der englischen Fassung hat keine Auswirkungen auf den deutschen Text.]</w:t>
      </w:r>
    </w:p>
    <w:bookmarkEnd w:id="29"/>
    <w:p w14:paraId="03131919" w14:textId="6516E777" w:rsidR="005955F6" w:rsidRPr="00AD6C7D" w:rsidRDefault="005955F6" w:rsidP="005955F6">
      <w:pPr>
        <w:pStyle w:val="SingleTxtG"/>
        <w:rPr>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informelles Dokument</w:t>
      </w:r>
      <w:r w:rsidRPr="00AD6C7D">
        <w:rPr>
          <w:i/>
          <w:iCs/>
          <w:lang w:val="de-DE"/>
        </w:rPr>
        <w:t xml:space="preserve"> INF.7)</w:t>
      </w:r>
    </w:p>
    <w:p w14:paraId="257EFE52" w14:textId="6622AF10" w:rsidR="00832DCC" w:rsidRPr="00AD6C7D" w:rsidRDefault="005955F6" w:rsidP="005955F6">
      <w:pPr>
        <w:pStyle w:val="SingleTxtG"/>
        <w:rPr>
          <w:lang w:val="de-DE"/>
        </w:rPr>
      </w:pPr>
      <w:r w:rsidRPr="00AD6C7D">
        <w:rPr>
          <w:lang w:val="de-DE"/>
        </w:rPr>
        <w:t>3.2.3.2</w:t>
      </w:r>
      <w:r w:rsidRPr="00AD6C7D">
        <w:rPr>
          <w:lang w:val="de-DE"/>
        </w:rPr>
        <w:tab/>
      </w:r>
      <w:r w:rsidRPr="00AD6C7D">
        <w:rPr>
          <w:lang w:val="de-DE"/>
        </w:rPr>
        <w:tab/>
      </w:r>
      <w:r w:rsidR="00832DCC" w:rsidRPr="00AD6C7D">
        <w:rPr>
          <w:lang w:val="de-DE"/>
        </w:rPr>
        <w:t>Bei der Stoffnummer 9001 erhält die Benennung in Spalte (2) folgenden Wortlaut:</w:t>
      </w:r>
      <w:r w:rsidRPr="00AD6C7D">
        <w:rPr>
          <w:lang w:val="de-DE"/>
        </w:rPr>
        <w:t xml:space="preserve"> </w:t>
      </w:r>
      <w:r w:rsidR="00832DCC" w:rsidRPr="00AD6C7D">
        <w:rPr>
          <w:lang w:val="de-DE"/>
        </w:rPr>
        <w:t xml:space="preserve">„STOFF MIT EINEM FLAMMPUNKT ÜBER 60 °C, </w:t>
      </w:r>
      <w:r w:rsidR="0052156C" w:rsidRPr="00AD6C7D">
        <w:rPr>
          <w:lang w:val="de-DE"/>
        </w:rPr>
        <w:t xml:space="preserve">ERWÄRMT </w:t>
      </w:r>
      <w:r w:rsidR="00832DCC" w:rsidRPr="00AD6C7D">
        <w:rPr>
          <w:lang w:val="de-DE"/>
        </w:rPr>
        <w:t xml:space="preserve">in einem Bereich von 15 K unterhalb seines Flammpunkts“. </w:t>
      </w:r>
    </w:p>
    <w:p w14:paraId="0A61974D" w14:textId="604FA146" w:rsidR="005955F6" w:rsidRPr="00AD6C7D" w:rsidRDefault="005955F6" w:rsidP="005955F6">
      <w:pPr>
        <w:pStyle w:val="SingleTxtG"/>
        <w:rPr>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informelles Dokument</w:t>
      </w:r>
      <w:r w:rsidRPr="00AD6C7D">
        <w:rPr>
          <w:i/>
          <w:iCs/>
          <w:lang w:val="de-DE"/>
        </w:rPr>
        <w:t xml:space="preserve"> INF.7</w:t>
      </w:r>
      <w:r w:rsidR="00CE1151" w:rsidRPr="00AD6C7D">
        <w:rPr>
          <w:i/>
          <w:iCs/>
          <w:lang w:val="de-DE"/>
        </w:rPr>
        <w:t>, wie geändert</w:t>
      </w:r>
      <w:r w:rsidRPr="00AD6C7D">
        <w:rPr>
          <w:i/>
          <w:iCs/>
          <w:lang w:val="de-DE"/>
        </w:rPr>
        <w:t>)</w:t>
      </w:r>
    </w:p>
    <w:p w14:paraId="5CF61CDE" w14:textId="39A8C44A" w:rsidR="005955F6" w:rsidRPr="00AD6C7D" w:rsidRDefault="005955F6" w:rsidP="005955F6">
      <w:pPr>
        <w:pStyle w:val="SingleTxtG"/>
        <w:rPr>
          <w:lang w:val="de-DE"/>
        </w:rPr>
      </w:pPr>
      <w:r w:rsidRPr="00AD6C7D">
        <w:rPr>
          <w:lang w:val="de-DE"/>
        </w:rPr>
        <w:t>3.2.3.2</w:t>
      </w:r>
      <w:r w:rsidRPr="00AD6C7D">
        <w:rPr>
          <w:lang w:val="de-DE"/>
        </w:rPr>
        <w:tab/>
      </w:r>
      <w:r w:rsidRPr="00AD6C7D">
        <w:rPr>
          <w:lang w:val="de-DE"/>
        </w:rPr>
        <w:tab/>
      </w:r>
      <w:r w:rsidR="0095718D" w:rsidRPr="00AD6C7D">
        <w:rPr>
          <w:lang w:val="de-DE"/>
        </w:rPr>
        <w:t>Bei den Stoffnummern 9003, 9004, 9005 und 9006, in Spalte 3(b) einfügen: „M12“.</w:t>
      </w:r>
    </w:p>
    <w:p w14:paraId="68BE5DD1" w14:textId="3DD046DA" w:rsidR="005955F6" w:rsidRPr="00AD6C7D" w:rsidRDefault="005955F6" w:rsidP="005955F6">
      <w:pPr>
        <w:pStyle w:val="SingleTxtG"/>
        <w:rPr>
          <w:i/>
          <w:iCs/>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informelles Dokument</w:t>
      </w:r>
      <w:r w:rsidRPr="00AD6C7D">
        <w:rPr>
          <w:i/>
          <w:iCs/>
          <w:lang w:val="de-DE"/>
        </w:rPr>
        <w:t xml:space="preserve"> INF.7)</w:t>
      </w:r>
    </w:p>
    <w:p w14:paraId="6A220DB7" w14:textId="77777777" w:rsidR="005955F6" w:rsidRPr="00AD6C7D" w:rsidRDefault="005955F6" w:rsidP="005955F6">
      <w:pPr>
        <w:pStyle w:val="SingleTxtG"/>
        <w:rPr>
          <w:i/>
          <w:iCs/>
          <w:lang w:val="de-DE"/>
        </w:rPr>
        <w:sectPr w:rsidR="005955F6" w:rsidRPr="00AD6C7D" w:rsidSect="00660988">
          <w:headerReference w:type="even" r:id="rId9"/>
          <w:headerReference w:type="default" r:id="rId10"/>
          <w:footerReference w:type="even" r:id="rId11"/>
          <w:footerReference w:type="default" r:id="rId12"/>
          <w:endnotePr>
            <w:numFmt w:val="decimal"/>
          </w:endnotePr>
          <w:type w:val="continuous"/>
          <w:pgSz w:w="11907" w:h="16840" w:code="9"/>
          <w:pgMar w:top="1077" w:right="1134" w:bottom="1021" w:left="1134" w:header="851" w:footer="567" w:gutter="0"/>
          <w:cols w:space="720"/>
          <w:titlePg/>
          <w:docGrid w:linePitch="272"/>
        </w:sectPr>
      </w:pPr>
    </w:p>
    <w:p w14:paraId="377509CF" w14:textId="5829B2E5" w:rsidR="005955F6" w:rsidRPr="00AD6C7D" w:rsidRDefault="005955F6" w:rsidP="005955F6">
      <w:pPr>
        <w:pStyle w:val="SingleTxtG"/>
        <w:rPr>
          <w:lang w:val="de-DE"/>
        </w:rPr>
      </w:pPr>
      <w:r w:rsidRPr="00AD6C7D">
        <w:rPr>
          <w:lang w:val="de-DE"/>
        </w:rPr>
        <w:lastRenderedPageBreak/>
        <w:t>3.2.3.3</w:t>
      </w:r>
      <w:r w:rsidRPr="00AD6C7D">
        <w:rPr>
          <w:lang w:val="de-DE"/>
        </w:rPr>
        <w:tab/>
      </w:r>
      <w:r w:rsidRPr="00AD6C7D">
        <w:rPr>
          <w:lang w:val="de-DE"/>
        </w:rPr>
        <w:tab/>
      </w:r>
      <w:bookmarkStart w:id="34" w:name="_Hlk19612259"/>
      <w:r w:rsidR="00C503D3" w:rsidRPr="00AD6C7D">
        <w:rPr>
          <w:lang w:val="de-DE"/>
        </w:rPr>
        <w:t xml:space="preserve">Schema </w:t>
      </w:r>
      <w:r w:rsidRPr="00AD6C7D">
        <w:rPr>
          <w:lang w:val="de-DE"/>
        </w:rPr>
        <w:t>A</w:t>
      </w:r>
      <w:r w:rsidR="00C503D3" w:rsidRPr="00AD6C7D">
        <w:rPr>
          <w:lang w:val="de-DE"/>
        </w:rPr>
        <w:t xml:space="preserve"> erhält folgenden Wortlaut</w:t>
      </w:r>
      <w:r w:rsidRPr="00AD6C7D">
        <w:rPr>
          <w:lang w:val="de-DE"/>
        </w:rPr>
        <w:t>:</w:t>
      </w:r>
    </w:p>
    <w:bookmarkEnd w:id="34"/>
    <w:p w14:paraId="3CC2336D" w14:textId="77777777" w:rsidR="00C503D3" w:rsidRPr="00AD6C7D" w:rsidRDefault="005955F6" w:rsidP="00C503D3">
      <w:pPr>
        <w:tabs>
          <w:tab w:val="left" w:pos="0"/>
        </w:tabs>
        <w:spacing w:after="40"/>
        <w:jc w:val="both"/>
        <w:rPr>
          <w:rFonts w:cs="Arial"/>
          <w:b/>
          <w:szCs w:val="24"/>
          <w:lang w:val="de-DE" w:eastAsia="de-DE"/>
        </w:rPr>
      </w:pPr>
      <w:r w:rsidRPr="00AD6C7D">
        <w:rPr>
          <w:b/>
          <w:bCs/>
          <w:szCs w:val="24"/>
          <w:lang w:val="de-DE"/>
        </w:rPr>
        <w:tab/>
      </w:r>
      <w:r w:rsidRPr="00AD6C7D">
        <w:rPr>
          <w:b/>
          <w:bCs/>
          <w:szCs w:val="24"/>
          <w:lang w:val="de-DE"/>
        </w:rPr>
        <w:tab/>
      </w:r>
      <w:r w:rsidR="00C503D3" w:rsidRPr="00AD6C7D">
        <w:rPr>
          <w:rFonts w:cs="Arial"/>
          <w:b/>
          <w:szCs w:val="24"/>
          <w:lang w:val="de-DE" w:eastAsia="de-DE"/>
        </w:rPr>
        <w:t>„</w:t>
      </w:r>
      <w:bookmarkStart w:id="35" w:name="_Hlk19612204"/>
      <w:r w:rsidR="00C503D3" w:rsidRPr="00AD6C7D">
        <w:rPr>
          <w:rFonts w:cs="Arial"/>
          <w:b/>
          <w:szCs w:val="24"/>
          <w:lang w:val="de-DE" w:eastAsia="de-DE"/>
        </w:rPr>
        <w:t xml:space="preserve">Schema </w:t>
      </w:r>
      <w:bookmarkEnd w:id="35"/>
      <w:r w:rsidR="00C503D3" w:rsidRPr="00AD6C7D">
        <w:rPr>
          <w:rFonts w:cs="Arial"/>
          <w:b/>
          <w:szCs w:val="24"/>
          <w:lang w:val="de-DE" w:eastAsia="de-DE"/>
        </w:rPr>
        <w:t>A: Kriterien für die Ladetankausrüstung von C-Schiffen</w:t>
      </w:r>
    </w:p>
    <w:p w14:paraId="013BB265" w14:textId="77777777" w:rsidR="00C503D3" w:rsidRPr="00AD6C7D" w:rsidRDefault="00C503D3" w:rsidP="00C503D3">
      <w:pPr>
        <w:tabs>
          <w:tab w:val="left" w:pos="0"/>
        </w:tabs>
        <w:spacing w:after="40"/>
        <w:jc w:val="both"/>
        <w:rPr>
          <w:rFonts w:cs="Arial"/>
          <w:lang w:val="de-DE" w:eastAsia="de-DE"/>
        </w:rPr>
      </w:pPr>
    </w:p>
    <w:p w14:paraId="6A377F57" w14:textId="77777777" w:rsidR="00C503D3" w:rsidRPr="00AD6C7D" w:rsidRDefault="00C503D3" w:rsidP="00C503D3">
      <w:pPr>
        <w:spacing w:after="40"/>
        <w:ind w:left="1134"/>
        <w:jc w:val="both"/>
        <w:rPr>
          <w:rFonts w:cs="Arial"/>
          <w:lang w:val="de-DE" w:eastAsia="de-DE"/>
        </w:rPr>
      </w:pPr>
      <w:r w:rsidRPr="00AD6C7D">
        <w:rPr>
          <w:rFonts w:cs="Arial"/>
          <w:lang w:val="de-DE" w:eastAsia="de-DE"/>
        </w:rPr>
        <w:t>Feststellen, welche Stoff-/Ladetank-Eigenschaften aus den ersten drei Spalten relevant sind. In der relevanten Spalte die anwendbare Zeile auswählen. In dieser Zeile sind dann in der vierten Spalte die sich ergebenden Anforderungen für die Ladetankausrüstung in C-Schiffen dargestellt.</w:t>
      </w:r>
    </w:p>
    <w:p w14:paraId="6E1D24B7" w14:textId="77777777" w:rsidR="00C503D3" w:rsidRPr="00AD6C7D" w:rsidRDefault="00C503D3" w:rsidP="00C503D3">
      <w:pPr>
        <w:tabs>
          <w:tab w:val="left" w:pos="0"/>
        </w:tabs>
        <w:spacing w:after="40"/>
        <w:jc w:val="both"/>
        <w:rPr>
          <w:rFonts w:cs="Arial"/>
          <w:sz w:val="18"/>
          <w:szCs w:val="18"/>
          <w:lang w:val="de-DE" w:eastAsia="de-DE"/>
        </w:rPr>
      </w:pP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2"/>
        <w:gridCol w:w="2911"/>
        <w:gridCol w:w="2735"/>
        <w:gridCol w:w="2559"/>
      </w:tblGrid>
      <w:tr w:rsidR="00C503D3" w:rsidRPr="00AD6C7D" w14:paraId="6E4426F5" w14:textId="77777777" w:rsidTr="005A0614">
        <w:trPr>
          <w:jc w:val="center"/>
        </w:trPr>
        <w:tc>
          <w:tcPr>
            <w:tcW w:w="8398" w:type="dxa"/>
            <w:gridSpan w:val="3"/>
          </w:tcPr>
          <w:p w14:paraId="6F166C4D" w14:textId="77777777" w:rsidR="00C503D3" w:rsidRPr="00AD6C7D" w:rsidRDefault="00C503D3" w:rsidP="005A0614">
            <w:pPr>
              <w:spacing w:before="60" w:after="60"/>
              <w:jc w:val="both"/>
              <w:rPr>
                <w:rFonts w:cs="Arial"/>
                <w:sz w:val="18"/>
                <w:szCs w:val="18"/>
                <w:lang w:val="de-DE" w:eastAsia="fr-FR"/>
              </w:rPr>
            </w:pPr>
            <w:r w:rsidRPr="00AD6C7D">
              <w:rPr>
                <w:rFonts w:cs="Arial"/>
                <w:sz w:val="18"/>
                <w:szCs w:val="18"/>
                <w:lang w:val="de-DE" w:eastAsia="de-DE"/>
              </w:rPr>
              <w:t>Stoff-/Ladetank-Eigenschaften</w:t>
            </w:r>
          </w:p>
        </w:tc>
        <w:tc>
          <w:tcPr>
            <w:tcW w:w="2559" w:type="dxa"/>
            <w:vAlign w:val="center"/>
          </w:tcPr>
          <w:p w14:paraId="4A45AE7F" w14:textId="77777777" w:rsidR="00C503D3" w:rsidRPr="00AD6C7D" w:rsidRDefault="00C503D3" w:rsidP="005A0614">
            <w:pPr>
              <w:spacing w:before="60" w:after="60"/>
              <w:jc w:val="both"/>
              <w:outlineLvl w:val="4"/>
              <w:rPr>
                <w:rFonts w:cs="Arial"/>
                <w:bCs/>
                <w:sz w:val="18"/>
                <w:szCs w:val="18"/>
                <w:lang w:val="de-DE" w:eastAsia="fr-FR"/>
              </w:rPr>
            </w:pPr>
            <w:r w:rsidRPr="00AD6C7D">
              <w:rPr>
                <w:rFonts w:cs="Arial"/>
                <w:sz w:val="18"/>
                <w:szCs w:val="18"/>
                <w:lang w:val="de-DE" w:eastAsia="de-DE"/>
              </w:rPr>
              <w:t>sich ergebenden Anforderungen</w:t>
            </w:r>
          </w:p>
        </w:tc>
      </w:tr>
      <w:tr w:rsidR="00C503D3" w:rsidRPr="00AD6C7D" w14:paraId="506AA525" w14:textId="77777777" w:rsidTr="005A0614">
        <w:trPr>
          <w:jc w:val="center"/>
        </w:trPr>
        <w:tc>
          <w:tcPr>
            <w:tcW w:w="2752" w:type="dxa"/>
          </w:tcPr>
          <w:p w14:paraId="479789A0" w14:textId="77777777" w:rsidR="00C503D3" w:rsidRPr="00AD6C7D" w:rsidRDefault="00C503D3" w:rsidP="005A0614">
            <w:pPr>
              <w:spacing w:before="60" w:after="60"/>
              <w:rPr>
                <w:rFonts w:cs="Arial"/>
                <w:sz w:val="18"/>
                <w:szCs w:val="18"/>
                <w:lang w:val="de-DE" w:eastAsia="fr-FR"/>
              </w:rPr>
            </w:pPr>
            <w:r w:rsidRPr="00AD6C7D">
              <w:rPr>
                <w:rFonts w:cs="Arial"/>
                <w:sz w:val="18"/>
                <w:szCs w:val="18"/>
                <w:lang w:val="de-DE" w:eastAsia="fr-FR"/>
              </w:rPr>
              <w:t xml:space="preserve">Tankinnenüberdruck für </w:t>
            </w:r>
            <w:r w:rsidRPr="00AD6C7D">
              <w:rPr>
                <w:rFonts w:cs="Arial"/>
                <w:sz w:val="18"/>
                <w:szCs w:val="18"/>
                <w:lang w:val="de-DE" w:eastAsia="fr-FR"/>
              </w:rPr>
              <w:br/>
              <w:t xml:space="preserve">30 °C Flüssigkeitstemperatur und 37,8 °C Dampfraumtemperatur </w:t>
            </w:r>
            <w:r w:rsidRPr="00AD6C7D">
              <w:rPr>
                <w:rFonts w:cs="Arial"/>
                <w:sz w:val="18"/>
                <w:szCs w:val="18"/>
                <w:lang w:val="de-DE" w:eastAsia="fr-FR"/>
              </w:rPr>
              <w:br/>
              <w:t>&gt; 50 kPa</w:t>
            </w:r>
          </w:p>
        </w:tc>
        <w:tc>
          <w:tcPr>
            <w:tcW w:w="2911" w:type="dxa"/>
          </w:tcPr>
          <w:p w14:paraId="1B87AC73" w14:textId="77777777" w:rsidR="00C503D3" w:rsidRPr="00AD6C7D" w:rsidRDefault="00C503D3" w:rsidP="005A0614">
            <w:pPr>
              <w:spacing w:before="60" w:after="60"/>
              <w:rPr>
                <w:rFonts w:cs="Arial"/>
                <w:sz w:val="18"/>
                <w:szCs w:val="18"/>
                <w:lang w:val="de-DE" w:eastAsia="fr-FR"/>
              </w:rPr>
            </w:pPr>
            <w:r w:rsidRPr="00AD6C7D">
              <w:rPr>
                <w:rFonts w:cs="Arial"/>
                <w:sz w:val="18"/>
                <w:szCs w:val="18"/>
                <w:lang w:val="de-DE" w:eastAsia="fr-FR"/>
              </w:rPr>
              <w:t>Tankinnenüberdruck für</w:t>
            </w:r>
            <w:r w:rsidRPr="00AD6C7D">
              <w:rPr>
                <w:rFonts w:cs="Arial"/>
                <w:sz w:val="18"/>
                <w:szCs w:val="18"/>
                <w:lang w:val="de-DE" w:eastAsia="fr-FR"/>
              </w:rPr>
              <w:br/>
              <w:t>30 °C Flüssigkeitstemperatur und 37,8 °C Dampfraumtemperatur</w:t>
            </w:r>
            <w:r w:rsidRPr="00AD6C7D">
              <w:rPr>
                <w:rFonts w:cs="Arial"/>
                <w:sz w:val="18"/>
                <w:szCs w:val="18"/>
                <w:lang w:val="de-DE" w:eastAsia="fr-FR"/>
              </w:rPr>
              <w:br/>
            </w:r>
            <w:r w:rsidRPr="00AD6C7D">
              <w:rPr>
                <w:rFonts w:cs="Arial"/>
                <w:sz w:val="18"/>
                <w:szCs w:val="18"/>
                <w:lang w:val="de-DE" w:eastAsia="fr-FR"/>
              </w:rPr>
              <w:sym w:font="Symbol" w:char="F0A3"/>
            </w:r>
            <w:r w:rsidRPr="00AD6C7D">
              <w:rPr>
                <w:rFonts w:cs="Arial"/>
                <w:sz w:val="18"/>
                <w:szCs w:val="18"/>
                <w:lang w:val="de-DE" w:eastAsia="fr-FR"/>
              </w:rPr>
              <w:t xml:space="preserve"> 50 kPa</w:t>
            </w:r>
          </w:p>
        </w:tc>
        <w:tc>
          <w:tcPr>
            <w:tcW w:w="2735" w:type="dxa"/>
            <w:vAlign w:val="center"/>
          </w:tcPr>
          <w:p w14:paraId="3EEF6BC7" w14:textId="77777777" w:rsidR="00C503D3" w:rsidRPr="00AD6C7D" w:rsidRDefault="00C503D3" w:rsidP="005A0614">
            <w:pPr>
              <w:spacing w:before="60" w:after="60"/>
              <w:rPr>
                <w:rFonts w:cs="Arial"/>
                <w:sz w:val="18"/>
                <w:szCs w:val="18"/>
                <w:lang w:val="de-DE" w:eastAsia="fr-FR"/>
              </w:rPr>
            </w:pPr>
            <w:r w:rsidRPr="00AD6C7D">
              <w:rPr>
                <w:rFonts w:cs="Arial"/>
                <w:sz w:val="18"/>
                <w:szCs w:val="18"/>
                <w:lang w:val="de-DE" w:eastAsia="fr-FR"/>
              </w:rPr>
              <w:t>Tankinnenüberdruck unbekannt wegen Mangel an Daten</w:t>
            </w:r>
          </w:p>
        </w:tc>
        <w:tc>
          <w:tcPr>
            <w:tcW w:w="2559" w:type="dxa"/>
            <w:vAlign w:val="center"/>
          </w:tcPr>
          <w:p w14:paraId="02068D62" w14:textId="77777777" w:rsidR="00C503D3" w:rsidRPr="00AD6C7D" w:rsidRDefault="00C503D3" w:rsidP="005A0614">
            <w:pPr>
              <w:spacing w:before="60" w:after="60"/>
              <w:outlineLvl w:val="4"/>
              <w:rPr>
                <w:rFonts w:cs="Arial"/>
                <w:bCs/>
                <w:sz w:val="18"/>
                <w:szCs w:val="18"/>
                <w:lang w:val="de-DE" w:eastAsia="fr-FR"/>
              </w:rPr>
            </w:pPr>
            <w:r w:rsidRPr="00AD6C7D">
              <w:rPr>
                <w:rFonts w:cs="Arial"/>
                <w:bCs/>
                <w:sz w:val="18"/>
                <w:szCs w:val="18"/>
                <w:lang w:val="de-DE" w:eastAsia="fr-FR"/>
              </w:rPr>
              <w:t>Ladetankausrüstung</w:t>
            </w:r>
          </w:p>
        </w:tc>
      </w:tr>
      <w:tr w:rsidR="00C503D3" w:rsidRPr="004D1157" w14:paraId="711EF172" w14:textId="77777777" w:rsidTr="005A0614">
        <w:trPr>
          <w:jc w:val="center"/>
        </w:trPr>
        <w:tc>
          <w:tcPr>
            <w:tcW w:w="2752" w:type="dxa"/>
          </w:tcPr>
          <w:p w14:paraId="264E4D4B" w14:textId="77777777" w:rsidR="00C503D3" w:rsidRPr="00AD6C7D" w:rsidRDefault="00C503D3" w:rsidP="005A0614">
            <w:pPr>
              <w:spacing w:before="60" w:after="60"/>
              <w:jc w:val="both"/>
              <w:rPr>
                <w:rFonts w:cs="Arial"/>
                <w:sz w:val="18"/>
                <w:szCs w:val="18"/>
                <w:lang w:val="de-DE" w:eastAsia="fr-FR"/>
              </w:rPr>
            </w:pPr>
            <w:r w:rsidRPr="00AD6C7D">
              <w:rPr>
                <w:rFonts w:cs="Arial"/>
                <w:sz w:val="18"/>
                <w:szCs w:val="18"/>
                <w:lang w:val="de-DE" w:eastAsia="fr-FR"/>
              </w:rPr>
              <w:t>gekühlt</w:t>
            </w:r>
          </w:p>
        </w:tc>
        <w:tc>
          <w:tcPr>
            <w:tcW w:w="2911" w:type="dxa"/>
          </w:tcPr>
          <w:p w14:paraId="24F8005A" w14:textId="77777777" w:rsidR="00C503D3" w:rsidRPr="00AD6C7D" w:rsidRDefault="00C503D3" w:rsidP="005A0614">
            <w:pPr>
              <w:spacing w:before="60" w:after="60"/>
              <w:jc w:val="both"/>
              <w:rPr>
                <w:rFonts w:cs="Arial"/>
                <w:sz w:val="18"/>
                <w:szCs w:val="18"/>
                <w:lang w:val="de-DE" w:eastAsia="fr-FR"/>
              </w:rPr>
            </w:pPr>
          </w:p>
        </w:tc>
        <w:tc>
          <w:tcPr>
            <w:tcW w:w="2735" w:type="dxa"/>
          </w:tcPr>
          <w:p w14:paraId="593248D2" w14:textId="77777777" w:rsidR="00C503D3" w:rsidRPr="00AD6C7D" w:rsidRDefault="00C503D3" w:rsidP="005A0614">
            <w:pPr>
              <w:spacing w:before="60" w:after="60"/>
              <w:jc w:val="both"/>
              <w:rPr>
                <w:rFonts w:cs="Arial"/>
                <w:sz w:val="18"/>
                <w:szCs w:val="18"/>
                <w:lang w:val="de-DE" w:eastAsia="fr-FR"/>
              </w:rPr>
            </w:pPr>
          </w:p>
        </w:tc>
        <w:tc>
          <w:tcPr>
            <w:tcW w:w="2559" w:type="dxa"/>
          </w:tcPr>
          <w:p w14:paraId="79208F1B" w14:textId="77777777" w:rsidR="00C503D3" w:rsidRPr="00AD6C7D" w:rsidRDefault="00C503D3" w:rsidP="005A0614">
            <w:pPr>
              <w:spacing w:before="60" w:after="60"/>
              <w:jc w:val="both"/>
              <w:rPr>
                <w:rFonts w:cs="Arial"/>
                <w:sz w:val="18"/>
                <w:szCs w:val="18"/>
                <w:lang w:val="de-DE" w:eastAsia="fr-FR"/>
              </w:rPr>
            </w:pPr>
            <w:r w:rsidRPr="00AD6C7D">
              <w:rPr>
                <w:rFonts w:cs="Arial"/>
                <w:sz w:val="18"/>
                <w:szCs w:val="18"/>
                <w:lang w:val="de-DE" w:eastAsia="fr-FR"/>
              </w:rPr>
              <w:t>Mit Kühlanlage (Ziffer 1 in Spalte (9))</w:t>
            </w:r>
          </w:p>
        </w:tc>
      </w:tr>
      <w:tr w:rsidR="00C503D3" w:rsidRPr="00AD6C7D" w14:paraId="519EEFA8" w14:textId="77777777" w:rsidTr="005A0614">
        <w:trPr>
          <w:jc w:val="center"/>
        </w:trPr>
        <w:tc>
          <w:tcPr>
            <w:tcW w:w="2752" w:type="dxa"/>
            <w:vAlign w:val="center"/>
          </w:tcPr>
          <w:p w14:paraId="4B219F52" w14:textId="77777777" w:rsidR="00C503D3" w:rsidRPr="00AD6C7D" w:rsidRDefault="00C503D3" w:rsidP="005A0614">
            <w:pPr>
              <w:spacing w:before="60" w:after="60"/>
              <w:jc w:val="both"/>
              <w:rPr>
                <w:rFonts w:cs="Arial"/>
                <w:sz w:val="18"/>
                <w:szCs w:val="18"/>
                <w:lang w:val="de-DE" w:eastAsia="fr-FR"/>
              </w:rPr>
            </w:pPr>
            <w:r w:rsidRPr="00AD6C7D">
              <w:rPr>
                <w:rFonts w:cs="Arial"/>
                <w:sz w:val="18"/>
                <w:szCs w:val="18"/>
                <w:lang w:val="de-DE" w:eastAsia="fr-FR"/>
              </w:rPr>
              <w:t>ungekühlt</w:t>
            </w:r>
          </w:p>
        </w:tc>
        <w:tc>
          <w:tcPr>
            <w:tcW w:w="2911" w:type="dxa"/>
            <w:vAlign w:val="center"/>
          </w:tcPr>
          <w:p w14:paraId="63E9DED5" w14:textId="77777777" w:rsidR="00C503D3" w:rsidRPr="00AD6C7D" w:rsidRDefault="00C503D3" w:rsidP="005A0614">
            <w:pPr>
              <w:spacing w:before="60" w:after="60"/>
              <w:jc w:val="both"/>
              <w:rPr>
                <w:rFonts w:cs="Arial"/>
                <w:sz w:val="18"/>
                <w:szCs w:val="18"/>
                <w:lang w:val="de-DE" w:eastAsia="fr-FR"/>
              </w:rPr>
            </w:pPr>
            <w:r w:rsidRPr="00AD6C7D">
              <w:rPr>
                <w:rFonts w:cs="Arial"/>
                <w:sz w:val="18"/>
                <w:szCs w:val="18"/>
                <w:lang w:val="de-DE" w:eastAsia="fr-FR"/>
              </w:rPr>
              <w:t>Tankinnenüberdruck bei 50 °C</w:t>
            </w:r>
            <w:r w:rsidRPr="00AD6C7D">
              <w:rPr>
                <w:rFonts w:cs="Arial"/>
                <w:sz w:val="18"/>
                <w:szCs w:val="18"/>
                <w:lang w:val="de-DE" w:eastAsia="fr-FR"/>
              </w:rPr>
              <w:br/>
              <w:t>&gt; 50 kPa, ohne Berieselung</w:t>
            </w:r>
          </w:p>
        </w:tc>
        <w:tc>
          <w:tcPr>
            <w:tcW w:w="2735" w:type="dxa"/>
            <w:vAlign w:val="center"/>
          </w:tcPr>
          <w:p w14:paraId="1E168D9D" w14:textId="77777777" w:rsidR="00C503D3" w:rsidRPr="00AD6C7D" w:rsidRDefault="00C503D3" w:rsidP="005A0614">
            <w:pPr>
              <w:spacing w:before="60" w:after="60"/>
              <w:jc w:val="both"/>
              <w:rPr>
                <w:rFonts w:cs="Arial"/>
                <w:sz w:val="18"/>
                <w:szCs w:val="18"/>
                <w:lang w:val="de-DE" w:eastAsia="fr-FR"/>
              </w:rPr>
            </w:pPr>
            <w:r w:rsidRPr="00AD6C7D">
              <w:rPr>
                <w:rFonts w:cs="Arial"/>
                <w:sz w:val="18"/>
                <w:szCs w:val="18"/>
                <w:lang w:val="de-DE" w:eastAsia="fr-FR"/>
              </w:rPr>
              <w:t xml:space="preserve">Siedepunkt </w:t>
            </w:r>
            <w:r w:rsidRPr="00AD6C7D">
              <w:rPr>
                <w:rFonts w:cs="Arial"/>
                <w:sz w:val="18"/>
                <w:szCs w:val="18"/>
                <w:lang w:val="de-DE" w:eastAsia="fr-FR"/>
              </w:rPr>
              <w:sym w:font="Symbol" w:char="F0A3"/>
            </w:r>
            <w:r w:rsidRPr="00AD6C7D">
              <w:rPr>
                <w:rFonts w:cs="Arial"/>
                <w:sz w:val="18"/>
                <w:szCs w:val="18"/>
                <w:lang w:val="de-DE" w:eastAsia="fr-FR"/>
              </w:rPr>
              <w:t xml:space="preserve"> 60 °C</w:t>
            </w:r>
          </w:p>
        </w:tc>
        <w:tc>
          <w:tcPr>
            <w:tcW w:w="2559" w:type="dxa"/>
            <w:vAlign w:val="center"/>
          </w:tcPr>
          <w:p w14:paraId="624379A7" w14:textId="77777777" w:rsidR="00C503D3" w:rsidRPr="00AD6C7D" w:rsidRDefault="00C503D3" w:rsidP="005A0614">
            <w:pPr>
              <w:spacing w:before="60" w:after="60"/>
              <w:jc w:val="both"/>
              <w:rPr>
                <w:rFonts w:cs="Arial"/>
                <w:sz w:val="18"/>
                <w:szCs w:val="18"/>
                <w:lang w:val="de-DE" w:eastAsia="fr-FR"/>
              </w:rPr>
            </w:pPr>
            <w:r w:rsidRPr="00AD6C7D">
              <w:rPr>
                <w:rFonts w:cs="Arial"/>
                <w:sz w:val="18"/>
                <w:szCs w:val="18"/>
                <w:lang w:val="de-DE" w:eastAsia="fr-FR"/>
              </w:rPr>
              <w:t>Drucktank (400 kPa)</w:t>
            </w:r>
          </w:p>
        </w:tc>
      </w:tr>
      <w:tr w:rsidR="00C503D3" w:rsidRPr="004D1157" w14:paraId="65F84CB4" w14:textId="77777777" w:rsidTr="005A0614">
        <w:trPr>
          <w:jc w:val="center"/>
        </w:trPr>
        <w:tc>
          <w:tcPr>
            <w:tcW w:w="2752" w:type="dxa"/>
            <w:vAlign w:val="center"/>
          </w:tcPr>
          <w:p w14:paraId="595CE0C3" w14:textId="77777777" w:rsidR="00C503D3" w:rsidRPr="00AD6C7D" w:rsidRDefault="00C503D3" w:rsidP="005A0614">
            <w:pPr>
              <w:spacing w:before="60" w:after="60"/>
              <w:jc w:val="both"/>
              <w:rPr>
                <w:rFonts w:cs="Arial"/>
                <w:sz w:val="18"/>
                <w:szCs w:val="18"/>
                <w:lang w:val="de-DE" w:eastAsia="fr-FR"/>
              </w:rPr>
            </w:pPr>
          </w:p>
        </w:tc>
        <w:tc>
          <w:tcPr>
            <w:tcW w:w="2911" w:type="dxa"/>
            <w:vAlign w:val="center"/>
          </w:tcPr>
          <w:p w14:paraId="5B2785C9" w14:textId="77777777" w:rsidR="00C503D3" w:rsidRPr="00AD6C7D" w:rsidRDefault="00C503D3" w:rsidP="005A0614">
            <w:pPr>
              <w:spacing w:before="60" w:after="60"/>
              <w:jc w:val="both"/>
              <w:rPr>
                <w:rFonts w:cs="Arial"/>
                <w:sz w:val="18"/>
                <w:szCs w:val="18"/>
                <w:lang w:val="de-DE" w:eastAsia="fr-FR"/>
              </w:rPr>
            </w:pPr>
            <w:r w:rsidRPr="00AD6C7D">
              <w:rPr>
                <w:rFonts w:cs="Arial"/>
                <w:sz w:val="18"/>
                <w:szCs w:val="18"/>
                <w:lang w:val="de-DE" w:eastAsia="fr-FR"/>
              </w:rPr>
              <w:t>Tankinnenüberdruck bei 50 °C</w:t>
            </w:r>
            <w:r w:rsidRPr="00AD6C7D">
              <w:rPr>
                <w:rFonts w:cs="Arial"/>
                <w:sz w:val="18"/>
                <w:szCs w:val="18"/>
                <w:lang w:val="de-DE" w:eastAsia="fr-FR"/>
              </w:rPr>
              <w:br/>
              <w:t>&gt; 50 kPa, mit Berieselung</w:t>
            </w:r>
          </w:p>
        </w:tc>
        <w:tc>
          <w:tcPr>
            <w:tcW w:w="2735" w:type="dxa"/>
            <w:vAlign w:val="center"/>
          </w:tcPr>
          <w:p w14:paraId="16444DE8" w14:textId="77777777" w:rsidR="00C503D3" w:rsidRPr="00AD6C7D" w:rsidRDefault="00C503D3" w:rsidP="005A0614">
            <w:pPr>
              <w:spacing w:before="60" w:after="60"/>
              <w:jc w:val="both"/>
              <w:rPr>
                <w:rFonts w:cs="Arial"/>
                <w:sz w:val="18"/>
                <w:szCs w:val="18"/>
                <w:lang w:val="de-DE" w:eastAsia="fr-FR"/>
              </w:rPr>
            </w:pPr>
            <w:r w:rsidRPr="00AD6C7D">
              <w:rPr>
                <w:rFonts w:cs="Arial"/>
                <w:sz w:val="18"/>
                <w:szCs w:val="18"/>
                <w:lang w:val="de-DE" w:eastAsia="fr-FR"/>
              </w:rPr>
              <w:t xml:space="preserve">60 °C &lt; Siedepunkt </w:t>
            </w:r>
            <w:r w:rsidRPr="00AD6C7D">
              <w:rPr>
                <w:rFonts w:cs="Arial"/>
                <w:sz w:val="18"/>
                <w:szCs w:val="18"/>
                <w:lang w:val="de-DE" w:eastAsia="fr-FR"/>
              </w:rPr>
              <w:sym w:font="Symbol" w:char="F0A3"/>
            </w:r>
            <w:r w:rsidRPr="00AD6C7D">
              <w:rPr>
                <w:rFonts w:cs="Arial"/>
                <w:sz w:val="18"/>
                <w:szCs w:val="18"/>
                <w:lang w:val="de-DE" w:eastAsia="fr-FR"/>
              </w:rPr>
              <w:t xml:space="preserve"> 85 °C</w:t>
            </w:r>
          </w:p>
        </w:tc>
        <w:tc>
          <w:tcPr>
            <w:tcW w:w="2559" w:type="dxa"/>
          </w:tcPr>
          <w:p w14:paraId="556D879C" w14:textId="77777777" w:rsidR="00C503D3" w:rsidRPr="00AD6C7D" w:rsidRDefault="00C503D3" w:rsidP="005A0614">
            <w:pPr>
              <w:spacing w:before="60" w:after="60"/>
              <w:jc w:val="both"/>
              <w:rPr>
                <w:rFonts w:cs="Arial"/>
                <w:sz w:val="18"/>
                <w:szCs w:val="18"/>
                <w:lang w:val="de-DE" w:eastAsia="fr-FR"/>
              </w:rPr>
            </w:pPr>
            <w:r w:rsidRPr="00AD6C7D">
              <w:rPr>
                <w:rFonts w:cs="Arial"/>
                <w:sz w:val="18"/>
                <w:szCs w:val="18"/>
                <w:lang w:val="de-DE" w:eastAsia="fr-FR"/>
              </w:rPr>
              <w:t>Mit Öffnungsdruck Überdruck-/Hochgeschwindigkeitsventil</w:t>
            </w:r>
            <w:r w:rsidRPr="00AD6C7D" w:rsidDel="0021269D">
              <w:rPr>
                <w:rFonts w:cs="Arial"/>
                <w:sz w:val="18"/>
                <w:szCs w:val="18"/>
                <w:lang w:val="de-DE" w:eastAsia="fr-FR"/>
              </w:rPr>
              <w:t xml:space="preserve"> </w:t>
            </w:r>
            <w:r w:rsidRPr="00AD6C7D">
              <w:rPr>
                <w:rFonts w:cs="Arial"/>
                <w:sz w:val="18"/>
                <w:szCs w:val="18"/>
                <w:lang w:val="de-DE" w:eastAsia="fr-FR"/>
              </w:rPr>
              <w:t>50 kPa, mit Berieselungsanlage (Ziffer 3 in Spalte (9))</w:t>
            </w:r>
          </w:p>
        </w:tc>
      </w:tr>
      <w:tr w:rsidR="00C503D3" w:rsidRPr="004D1157" w14:paraId="415E4676" w14:textId="77777777" w:rsidTr="005A0614">
        <w:trPr>
          <w:jc w:val="center"/>
        </w:trPr>
        <w:tc>
          <w:tcPr>
            <w:tcW w:w="2752" w:type="dxa"/>
            <w:vAlign w:val="center"/>
          </w:tcPr>
          <w:p w14:paraId="01A377DA" w14:textId="77777777" w:rsidR="00C503D3" w:rsidRPr="00AD6C7D" w:rsidRDefault="00C503D3" w:rsidP="005A0614">
            <w:pPr>
              <w:tabs>
                <w:tab w:val="center" w:pos="4536"/>
              </w:tabs>
              <w:spacing w:before="60" w:after="60"/>
              <w:jc w:val="both"/>
              <w:rPr>
                <w:rFonts w:cs="Arial"/>
                <w:sz w:val="18"/>
                <w:szCs w:val="18"/>
                <w:lang w:val="de-DE" w:eastAsia="fr-FR"/>
              </w:rPr>
            </w:pPr>
          </w:p>
        </w:tc>
        <w:tc>
          <w:tcPr>
            <w:tcW w:w="2911" w:type="dxa"/>
            <w:vAlign w:val="center"/>
          </w:tcPr>
          <w:p w14:paraId="77398D3B" w14:textId="77777777" w:rsidR="00C503D3" w:rsidRPr="00AD6C7D" w:rsidRDefault="00C503D3" w:rsidP="005A0614">
            <w:pPr>
              <w:spacing w:before="60" w:after="60"/>
              <w:jc w:val="both"/>
              <w:rPr>
                <w:rFonts w:cs="Arial"/>
                <w:sz w:val="18"/>
                <w:szCs w:val="18"/>
                <w:lang w:val="de-DE" w:eastAsia="fr-FR"/>
              </w:rPr>
            </w:pPr>
            <w:r w:rsidRPr="00AD6C7D">
              <w:rPr>
                <w:rFonts w:cs="Arial"/>
                <w:sz w:val="18"/>
                <w:szCs w:val="18"/>
                <w:lang w:val="de-DE" w:eastAsia="fr-FR"/>
              </w:rPr>
              <w:t>Tankinnenüberdruck bei 50 °C</w:t>
            </w:r>
            <w:r w:rsidRPr="00AD6C7D">
              <w:rPr>
                <w:rFonts w:cs="Arial"/>
                <w:sz w:val="18"/>
                <w:szCs w:val="18"/>
                <w:lang w:val="de-DE" w:eastAsia="fr-FR"/>
              </w:rPr>
              <w:br/>
            </w:r>
            <w:r w:rsidRPr="00AD6C7D">
              <w:rPr>
                <w:rFonts w:cs="Arial"/>
                <w:sz w:val="18"/>
                <w:szCs w:val="18"/>
                <w:lang w:val="de-DE" w:eastAsia="fr-FR"/>
              </w:rPr>
              <w:sym w:font="Symbol" w:char="F0A3"/>
            </w:r>
            <w:r w:rsidRPr="00AD6C7D">
              <w:rPr>
                <w:rFonts w:cs="Arial"/>
                <w:sz w:val="18"/>
                <w:szCs w:val="18"/>
                <w:lang w:val="de-DE" w:eastAsia="fr-FR"/>
              </w:rPr>
              <w:t xml:space="preserve"> 50 kPa</w:t>
            </w:r>
          </w:p>
        </w:tc>
        <w:tc>
          <w:tcPr>
            <w:tcW w:w="2735" w:type="dxa"/>
            <w:vAlign w:val="center"/>
          </w:tcPr>
          <w:p w14:paraId="75EC029F" w14:textId="77777777" w:rsidR="00C503D3" w:rsidRPr="00AD6C7D" w:rsidRDefault="00C503D3" w:rsidP="005A0614">
            <w:pPr>
              <w:spacing w:before="60" w:after="60"/>
              <w:jc w:val="both"/>
              <w:rPr>
                <w:rFonts w:cs="Arial"/>
                <w:sz w:val="18"/>
                <w:szCs w:val="18"/>
                <w:lang w:val="de-DE" w:eastAsia="fr-FR"/>
              </w:rPr>
            </w:pPr>
          </w:p>
        </w:tc>
        <w:tc>
          <w:tcPr>
            <w:tcW w:w="2559" w:type="dxa"/>
          </w:tcPr>
          <w:p w14:paraId="7A2D929B" w14:textId="02C72BEC" w:rsidR="00C503D3" w:rsidRPr="00AD6C7D" w:rsidRDefault="00C503D3" w:rsidP="005A0614">
            <w:pPr>
              <w:spacing w:before="60" w:after="60"/>
              <w:jc w:val="both"/>
              <w:rPr>
                <w:rFonts w:cs="Arial"/>
                <w:sz w:val="18"/>
                <w:szCs w:val="18"/>
                <w:lang w:val="de-DE" w:eastAsia="fr-FR"/>
              </w:rPr>
            </w:pPr>
            <w:r w:rsidRPr="00AD6C7D">
              <w:rPr>
                <w:rFonts w:cs="Arial"/>
                <w:sz w:val="18"/>
                <w:szCs w:val="18"/>
                <w:lang w:val="de-DE" w:eastAsia="fr-FR"/>
              </w:rPr>
              <w:t>Mit Öffnungsdruck Überdruck-/Hochgeschwindigkeitsventil</w:t>
            </w:r>
            <w:r w:rsidRPr="00AD6C7D" w:rsidDel="0021269D">
              <w:rPr>
                <w:rFonts w:cs="Arial"/>
                <w:sz w:val="18"/>
                <w:szCs w:val="18"/>
                <w:lang w:val="de-DE" w:eastAsia="fr-FR"/>
              </w:rPr>
              <w:t xml:space="preserve"> </w:t>
            </w:r>
            <w:r w:rsidRPr="00AD6C7D">
              <w:rPr>
                <w:rFonts w:cs="Arial"/>
                <w:sz w:val="18"/>
                <w:szCs w:val="18"/>
                <w:lang w:val="de-DE" w:eastAsia="fr-FR"/>
              </w:rPr>
              <w:t>berechnet, aber mindestens 10</w:t>
            </w:r>
            <w:r w:rsidR="00F0134B">
              <w:rPr>
                <w:rFonts w:cs="Arial"/>
                <w:sz w:val="18"/>
                <w:szCs w:val="18"/>
                <w:lang w:val="de-DE" w:eastAsia="fr-FR"/>
              </w:rPr>
              <w:t> </w:t>
            </w:r>
            <w:r w:rsidRPr="00AD6C7D">
              <w:rPr>
                <w:rFonts w:cs="Arial"/>
                <w:sz w:val="18"/>
                <w:szCs w:val="18"/>
                <w:lang w:val="de-DE" w:eastAsia="fr-FR"/>
              </w:rPr>
              <w:t>kPa</w:t>
            </w:r>
          </w:p>
        </w:tc>
      </w:tr>
      <w:tr w:rsidR="00C503D3" w:rsidRPr="004D1157" w14:paraId="50FF3938" w14:textId="77777777" w:rsidTr="005A0614">
        <w:trPr>
          <w:jc w:val="center"/>
        </w:trPr>
        <w:tc>
          <w:tcPr>
            <w:tcW w:w="2752" w:type="dxa"/>
            <w:vAlign w:val="center"/>
          </w:tcPr>
          <w:p w14:paraId="58C1E3F9" w14:textId="77777777" w:rsidR="00C503D3" w:rsidRPr="00AD6C7D" w:rsidRDefault="00C503D3" w:rsidP="005A0614">
            <w:pPr>
              <w:spacing w:before="60" w:after="60"/>
              <w:jc w:val="both"/>
              <w:rPr>
                <w:rFonts w:cs="Arial"/>
                <w:color w:val="000000"/>
                <w:sz w:val="18"/>
                <w:szCs w:val="18"/>
                <w:lang w:val="de-DE" w:eastAsia="fr-FR"/>
              </w:rPr>
            </w:pPr>
          </w:p>
        </w:tc>
        <w:tc>
          <w:tcPr>
            <w:tcW w:w="2911" w:type="dxa"/>
            <w:vAlign w:val="center"/>
          </w:tcPr>
          <w:p w14:paraId="2153AFC2" w14:textId="77777777" w:rsidR="00C503D3" w:rsidRPr="00AD6C7D" w:rsidRDefault="00C503D3" w:rsidP="005A0614">
            <w:pPr>
              <w:spacing w:before="60" w:after="60"/>
              <w:jc w:val="both"/>
              <w:rPr>
                <w:rFonts w:cs="Arial"/>
                <w:color w:val="000000"/>
                <w:sz w:val="18"/>
                <w:szCs w:val="18"/>
                <w:lang w:val="de-DE" w:eastAsia="fr-FR"/>
              </w:rPr>
            </w:pPr>
          </w:p>
        </w:tc>
        <w:tc>
          <w:tcPr>
            <w:tcW w:w="2735" w:type="dxa"/>
            <w:vAlign w:val="center"/>
          </w:tcPr>
          <w:p w14:paraId="228A7953" w14:textId="77777777" w:rsidR="00C503D3" w:rsidRPr="00AD6C7D" w:rsidRDefault="00C503D3" w:rsidP="005A0614">
            <w:pPr>
              <w:spacing w:before="60" w:after="60"/>
              <w:jc w:val="both"/>
              <w:rPr>
                <w:rFonts w:cs="Arial"/>
                <w:color w:val="000000"/>
                <w:sz w:val="18"/>
                <w:szCs w:val="18"/>
                <w:lang w:val="de-DE" w:eastAsia="fr-FR"/>
              </w:rPr>
            </w:pPr>
            <w:r w:rsidRPr="00AD6C7D">
              <w:rPr>
                <w:rFonts w:cs="Arial"/>
                <w:color w:val="000000"/>
                <w:sz w:val="18"/>
                <w:szCs w:val="18"/>
                <w:lang w:val="de-DE" w:eastAsia="fr-FR"/>
              </w:rPr>
              <w:t xml:space="preserve">85 °C &lt; Siedepunkt </w:t>
            </w:r>
            <w:r w:rsidRPr="00AD6C7D">
              <w:rPr>
                <w:rFonts w:cs="Arial"/>
                <w:color w:val="000000"/>
                <w:sz w:val="18"/>
                <w:szCs w:val="18"/>
                <w:lang w:val="de-DE" w:eastAsia="fr-FR"/>
              </w:rPr>
              <w:sym w:font="Symbol" w:char="F0A3"/>
            </w:r>
            <w:r w:rsidRPr="00AD6C7D">
              <w:rPr>
                <w:rFonts w:cs="Arial"/>
                <w:color w:val="000000"/>
                <w:sz w:val="18"/>
                <w:szCs w:val="18"/>
                <w:lang w:val="de-DE" w:eastAsia="fr-FR"/>
              </w:rPr>
              <w:t xml:space="preserve"> 115 °C</w:t>
            </w:r>
          </w:p>
        </w:tc>
        <w:tc>
          <w:tcPr>
            <w:tcW w:w="2559" w:type="dxa"/>
          </w:tcPr>
          <w:p w14:paraId="355D2272" w14:textId="6D646B73" w:rsidR="00C503D3" w:rsidRPr="00AD6C7D" w:rsidRDefault="00C503D3" w:rsidP="005A0614">
            <w:pPr>
              <w:spacing w:before="60" w:after="60"/>
              <w:jc w:val="both"/>
              <w:rPr>
                <w:rFonts w:cs="Arial"/>
                <w:color w:val="000000"/>
                <w:sz w:val="18"/>
                <w:szCs w:val="18"/>
                <w:lang w:val="de-DE" w:eastAsia="fr-FR"/>
              </w:rPr>
            </w:pPr>
            <w:r w:rsidRPr="00AD6C7D">
              <w:rPr>
                <w:rFonts w:cs="Arial"/>
                <w:color w:val="000000"/>
                <w:sz w:val="18"/>
                <w:szCs w:val="18"/>
                <w:lang w:val="de-DE" w:eastAsia="fr-FR"/>
              </w:rPr>
              <w:t>Mit Öffnungsdruck Überdruck-/Hochgeschwindigkeitsventil</w:t>
            </w:r>
            <w:r w:rsidRPr="00AD6C7D" w:rsidDel="0021269D">
              <w:rPr>
                <w:rFonts w:cs="Arial"/>
                <w:color w:val="000000"/>
                <w:sz w:val="18"/>
                <w:szCs w:val="18"/>
                <w:lang w:val="de-DE" w:eastAsia="fr-FR"/>
              </w:rPr>
              <w:t xml:space="preserve"> </w:t>
            </w:r>
            <w:r w:rsidRPr="00AD6C7D">
              <w:rPr>
                <w:rFonts w:cs="Arial"/>
                <w:color w:val="000000"/>
                <w:sz w:val="18"/>
                <w:szCs w:val="18"/>
                <w:lang w:val="de-DE" w:eastAsia="fr-FR"/>
              </w:rPr>
              <w:t>50</w:t>
            </w:r>
            <w:r w:rsidR="00F0134B">
              <w:rPr>
                <w:rFonts w:cs="Arial"/>
                <w:color w:val="000000"/>
                <w:sz w:val="18"/>
                <w:szCs w:val="18"/>
                <w:lang w:val="de-DE" w:eastAsia="fr-FR"/>
              </w:rPr>
              <w:t> </w:t>
            </w:r>
            <w:r w:rsidRPr="00AD6C7D">
              <w:rPr>
                <w:rFonts w:cs="Arial"/>
                <w:color w:val="000000"/>
                <w:sz w:val="18"/>
                <w:szCs w:val="18"/>
                <w:lang w:val="de-DE" w:eastAsia="fr-FR"/>
              </w:rPr>
              <w:t>kPa</w:t>
            </w:r>
          </w:p>
        </w:tc>
      </w:tr>
      <w:tr w:rsidR="00C503D3" w:rsidRPr="004D1157" w14:paraId="19309434" w14:textId="77777777" w:rsidTr="005A0614">
        <w:trPr>
          <w:jc w:val="center"/>
        </w:trPr>
        <w:tc>
          <w:tcPr>
            <w:tcW w:w="2752" w:type="dxa"/>
            <w:vAlign w:val="center"/>
          </w:tcPr>
          <w:p w14:paraId="6A42EFF5" w14:textId="77777777" w:rsidR="00C503D3" w:rsidRPr="00AD6C7D" w:rsidRDefault="00C503D3" w:rsidP="005A0614">
            <w:pPr>
              <w:spacing w:before="60" w:after="60"/>
              <w:jc w:val="both"/>
              <w:rPr>
                <w:rFonts w:cs="Arial"/>
                <w:sz w:val="18"/>
                <w:szCs w:val="18"/>
                <w:lang w:val="de-DE" w:eastAsia="fr-FR"/>
              </w:rPr>
            </w:pPr>
          </w:p>
        </w:tc>
        <w:tc>
          <w:tcPr>
            <w:tcW w:w="2911" w:type="dxa"/>
            <w:vAlign w:val="center"/>
          </w:tcPr>
          <w:p w14:paraId="24FC894F" w14:textId="77777777" w:rsidR="00C503D3" w:rsidRPr="00AD6C7D" w:rsidRDefault="00C503D3" w:rsidP="005A0614">
            <w:pPr>
              <w:spacing w:before="60" w:after="60"/>
              <w:jc w:val="both"/>
              <w:rPr>
                <w:rFonts w:cs="Arial"/>
                <w:sz w:val="18"/>
                <w:szCs w:val="18"/>
                <w:lang w:val="de-DE" w:eastAsia="fr-FR"/>
              </w:rPr>
            </w:pPr>
          </w:p>
        </w:tc>
        <w:tc>
          <w:tcPr>
            <w:tcW w:w="2735" w:type="dxa"/>
            <w:vAlign w:val="center"/>
          </w:tcPr>
          <w:p w14:paraId="072C667B" w14:textId="77777777" w:rsidR="00C503D3" w:rsidRPr="00AD6C7D" w:rsidRDefault="00C503D3" w:rsidP="005A0614">
            <w:pPr>
              <w:spacing w:before="60" w:after="60"/>
              <w:jc w:val="both"/>
              <w:rPr>
                <w:rFonts w:cs="Arial"/>
                <w:sz w:val="18"/>
                <w:szCs w:val="18"/>
                <w:lang w:val="de-DE" w:eastAsia="fr-FR"/>
              </w:rPr>
            </w:pPr>
            <w:r w:rsidRPr="00AD6C7D">
              <w:rPr>
                <w:rFonts w:cs="Arial"/>
                <w:sz w:val="18"/>
                <w:szCs w:val="18"/>
                <w:lang w:val="de-DE" w:eastAsia="fr-FR"/>
              </w:rPr>
              <w:t>Siedepunkt &gt; 115 °C</w:t>
            </w:r>
          </w:p>
        </w:tc>
        <w:tc>
          <w:tcPr>
            <w:tcW w:w="2559" w:type="dxa"/>
          </w:tcPr>
          <w:p w14:paraId="4D643ACC" w14:textId="4E50DAB9" w:rsidR="00C503D3" w:rsidRPr="00AD6C7D" w:rsidRDefault="00C503D3" w:rsidP="005A0614">
            <w:pPr>
              <w:spacing w:before="60" w:after="60"/>
              <w:jc w:val="both"/>
              <w:rPr>
                <w:rFonts w:cs="Arial"/>
                <w:sz w:val="18"/>
                <w:szCs w:val="18"/>
                <w:lang w:val="de-DE" w:eastAsia="fr-FR"/>
              </w:rPr>
            </w:pPr>
            <w:r w:rsidRPr="00AD6C7D">
              <w:rPr>
                <w:rFonts w:cs="Arial"/>
                <w:sz w:val="18"/>
                <w:szCs w:val="18"/>
                <w:lang w:val="de-DE" w:eastAsia="fr-FR"/>
              </w:rPr>
              <w:t>Mit Öffnungsdruck Überdruck-/Hochgeschwindigkeitsventil</w:t>
            </w:r>
            <w:r w:rsidRPr="00AD6C7D" w:rsidDel="0021269D">
              <w:rPr>
                <w:rFonts w:cs="Arial"/>
                <w:sz w:val="18"/>
                <w:szCs w:val="18"/>
                <w:lang w:val="de-DE" w:eastAsia="fr-FR"/>
              </w:rPr>
              <w:t xml:space="preserve"> </w:t>
            </w:r>
            <w:r w:rsidRPr="00AD6C7D">
              <w:rPr>
                <w:rFonts w:cs="Arial"/>
                <w:sz w:val="18"/>
                <w:szCs w:val="18"/>
                <w:lang w:val="de-DE" w:eastAsia="fr-FR"/>
              </w:rPr>
              <w:t>35</w:t>
            </w:r>
            <w:r w:rsidR="00F0134B">
              <w:rPr>
                <w:rFonts w:cs="Arial"/>
                <w:sz w:val="18"/>
                <w:szCs w:val="18"/>
                <w:lang w:val="de-DE" w:eastAsia="fr-FR"/>
              </w:rPr>
              <w:t> </w:t>
            </w:r>
            <w:r w:rsidRPr="00AD6C7D">
              <w:rPr>
                <w:rFonts w:cs="Arial"/>
                <w:sz w:val="18"/>
                <w:szCs w:val="18"/>
                <w:lang w:val="de-DE" w:eastAsia="fr-FR"/>
              </w:rPr>
              <w:t>kPa</w:t>
            </w:r>
          </w:p>
        </w:tc>
      </w:tr>
    </w:tbl>
    <w:p w14:paraId="27E076F4" w14:textId="0CE62D01" w:rsidR="005955F6" w:rsidRPr="00AD6C7D" w:rsidRDefault="005955F6" w:rsidP="005955F6">
      <w:pPr>
        <w:pStyle w:val="SingleTxtG"/>
        <w:spacing w:after="240"/>
        <w:rPr>
          <w:b/>
          <w:szCs w:val="24"/>
          <w:u w:val="single"/>
          <w:lang w:val="de-DE"/>
        </w:rPr>
      </w:pPr>
    </w:p>
    <w:p w14:paraId="6E7C845C" w14:textId="42E94DAC" w:rsidR="005955F6" w:rsidRPr="00AD6C7D" w:rsidRDefault="005955F6" w:rsidP="005955F6">
      <w:pPr>
        <w:spacing w:before="120"/>
        <w:rPr>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informelles Dokument</w:t>
      </w:r>
      <w:r w:rsidRPr="00AD6C7D">
        <w:rPr>
          <w:i/>
          <w:iCs/>
          <w:lang w:val="de-DE"/>
        </w:rPr>
        <w:t xml:space="preserve"> INF.7)</w:t>
      </w:r>
    </w:p>
    <w:p w14:paraId="39EEA606" w14:textId="4CEF6766" w:rsidR="005955F6" w:rsidRPr="00AD6C7D" w:rsidRDefault="005955F6" w:rsidP="005955F6">
      <w:pPr>
        <w:keepNext/>
        <w:spacing w:before="240" w:after="120"/>
        <w:outlineLvl w:val="1"/>
        <w:rPr>
          <w:b/>
          <w:bCs/>
          <w:szCs w:val="24"/>
          <w:lang w:val="de-DE"/>
        </w:rPr>
      </w:pPr>
      <w:r w:rsidRPr="00AD6C7D">
        <w:rPr>
          <w:lang w:val="de-DE"/>
        </w:rPr>
        <w:lastRenderedPageBreak/>
        <w:t>3.2.3.3</w:t>
      </w:r>
      <w:r w:rsidR="00034066" w:rsidRPr="00AD6C7D">
        <w:rPr>
          <w:lang w:val="de-DE"/>
        </w:rPr>
        <w:tab/>
      </w:r>
      <w:r w:rsidRPr="00AD6C7D">
        <w:rPr>
          <w:lang w:val="de-DE"/>
        </w:rPr>
        <w:tab/>
      </w:r>
      <w:r w:rsidR="00C503D3" w:rsidRPr="00AD6C7D">
        <w:rPr>
          <w:lang w:val="de-DE"/>
        </w:rPr>
        <w:t>Schema C erhält folgenden Wortlaut:</w:t>
      </w:r>
    </w:p>
    <w:p w14:paraId="09CCF265" w14:textId="0427ECA8" w:rsidR="00C503D3" w:rsidRPr="00AD6C7D" w:rsidRDefault="005955F6" w:rsidP="00C503D3">
      <w:pPr>
        <w:tabs>
          <w:tab w:val="center" w:pos="4536"/>
        </w:tabs>
        <w:ind w:left="1134"/>
        <w:jc w:val="both"/>
        <w:rPr>
          <w:rFonts w:cs="Arial"/>
          <w:b/>
          <w:szCs w:val="24"/>
          <w:lang w:val="de-DE" w:eastAsia="fr-FR"/>
        </w:rPr>
      </w:pPr>
      <w:r w:rsidRPr="00AD6C7D">
        <w:rPr>
          <w:b/>
          <w:bCs/>
          <w:szCs w:val="24"/>
          <w:lang w:val="de-DE"/>
        </w:rPr>
        <w:tab/>
      </w:r>
      <w:r w:rsidR="00C503D3" w:rsidRPr="00AD6C7D">
        <w:rPr>
          <w:rFonts w:cs="Arial"/>
          <w:b/>
          <w:szCs w:val="24"/>
          <w:lang w:val="de-DE" w:eastAsia="fr-FR"/>
        </w:rPr>
        <w:t>„Schema C: Kriterien für die Ladetankausrüstung von N-Schiffen mit offenen Ladetanks</w:t>
      </w:r>
    </w:p>
    <w:p w14:paraId="167BCE2E" w14:textId="77777777" w:rsidR="00C503D3" w:rsidRPr="00AD6C7D" w:rsidRDefault="00C503D3" w:rsidP="00C503D3">
      <w:pPr>
        <w:tabs>
          <w:tab w:val="center" w:pos="4536"/>
        </w:tabs>
        <w:ind w:left="1134"/>
        <w:jc w:val="both"/>
        <w:rPr>
          <w:rFonts w:cs="Arial"/>
          <w:b/>
          <w:lang w:val="de-DE" w:eastAsia="fr-FR"/>
        </w:rPr>
      </w:pPr>
    </w:p>
    <w:p w14:paraId="26A18B1C" w14:textId="77777777" w:rsidR="00C503D3" w:rsidRPr="00AD6C7D" w:rsidRDefault="00C503D3" w:rsidP="00C503D3">
      <w:pPr>
        <w:tabs>
          <w:tab w:val="left" w:pos="0"/>
        </w:tabs>
        <w:spacing w:after="40"/>
        <w:ind w:left="1134"/>
        <w:jc w:val="both"/>
        <w:rPr>
          <w:rFonts w:cs="Arial"/>
          <w:lang w:val="de-DE" w:eastAsia="de-DE"/>
        </w:rPr>
      </w:pPr>
      <w:r w:rsidRPr="00AD6C7D">
        <w:rPr>
          <w:rFonts w:cs="Arial"/>
          <w:lang w:val="de-DE" w:eastAsia="de-DE"/>
        </w:rPr>
        <w:t>Feststellen, welche Stoffeigenschaften aus den ersten drei Spalten relevant sind. In der relevanten Spalte die anwendbare Zeile auswählen. In dieser Zeile sind dann in der vierten Spalte die sich ergebenden Anforderungen für die Ladetankausrüstung in N-Schiffen mit offenen Ladetanks dargestellt.</w:t>
      </w:r>
    </w:p>
    <w:p w14:paraId="1E628731" w14:textId="77777777" w:rsidR="00C503D3" w:rsidRPr="00AD6C7D" w:rsidRDefault="00C503D3" w:rsidP="00C503D3">
      <w:pPr>
        <w:tabs>
          <w:tab w:val="center" w:pos="4536"/>
        </w:tabs>
        <w:jc w:val="both"/>
        <w:rPr>
          <w:rFonts w:cs="Arial"/>
          <w:b/>
          <w:sz w:val="18"/>
          <w:szCs w:val="18"/>
          <w:lang w:val="de-DE" w:eastAsia="fr-FR"/>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835"/>
        <w:gridCol w:w="2551"/>
        <w:gridCol w:w="2551"/>
      </w:tblGrid>
      <w:tr w:rsidR="00C503D3" w:rsidRPr="00AD6C7D" w14:paraId="79F95050" w14:textId="77777777" w:rsidTr="005A0614">
        <w:trPr>
          <w:cantSplit/>
          <w:jc w:val="center"/>
        </w:trPr>
        <w:tc>
          <w:tcPr>
            <w:tcW w:w="8221" w:type="dxa"/>
            <w:gridSpan w:val="3"/>
            <w:vAlign w:val="center"/>
          </w:tcPr>
          <w:p w14:paraId="44E92A5B" w14:textId="77777777" w:rsidR="00C503D3" w:rsidRPr="00AD6C7D" w:rsidRDefault="00C503D3" w:rsidP="005A0614">
            <w:pPr>
              <w:spacing w:before="60" w:after="60"/>
              <w:jc w:val="both"/>
              <w:rPr>
                <w:rFonts w:cs="Arial"/>
                <w:sz w:val="18"/>
                <w:szCs w:val="18"/>
                <w:lang w:val="de-DE" w:eastAsia="fr-FR"/>
              </w:rPr>
            </w:pPr>
            <w:r w:rsidRPr="00AD6C7D">
              <w:rPr>
                <w:rFonts w:cs="Arial"/>
                <w:sz w:val="18"/>
                <w:szCs w:val="18"/>
                <w:lang w:val="de-DE" w:eastAsia="de-DE"/>
              </w:rPr>
              <w:t>Stoffeigenschaften</w:t>
            </w:r>
          </w:p>
        </w:tc>
        <w:tc>
          <w:tcPr>
            <w:tcW w:w="2551" w:type="dxa"/>
            <w:tcBorders>
              <w:bottom w:val="single" w:sz="4" w:space="0" w:color="auto"/>
            </w:tcBorders>
          </w:tcPr>
          <w:p w14:paraId="400AD0CE" w14:textId="77777777" w:rsidR="00C503D3" w:rsidRPr="00AD6C7D" w:rsidRDefault="00C503D3" w:rsidP="005A0614">
            <w:pPr>
              <w:spacing w:before="60" w:after="60"/>
              <w:jc w:val="both"/>
              <w:rPr>
                <w:rFonts w:cs="Arial"/>
                <w:sz w:val="18"/>
                <w:szCs w:val="18"/>
                <w:lang w:val="de-DE" w:eastAsia="fr-FR"/>
              </w:rPr>
            </w:pPr>
            <w:r w:rsidRPr="00AD6C7D">
              <w:rPr>
                <w:rFonts w:cs="Arial"/>
                <w:sz w:val="18"/>
                <w:szCs w:val="18"/>
                <w:lang w:val="de-DE" w:eastAsia="de-DE"/>
              </w:rPr>
              <w:t>sich ergebenden Anforderungen</w:t>
            </w:r>
          </w:p>
        </w:tc>
      </w:tr>
      <w:tr w:rsidR="00C503D3" w:rsidRPr="00AD6C7D" w14:paraId="741E5B82" w14:textId="77777777" w:rsidTr="005A0614">
        <w:trPr>
          <w:cantSplit/>
          <w:jc w:val="center"/>
        </w:trPr>
        <w:tc>
          <w:tcPr>
            <w:tcW w:w="2835" w:type="dxa"/>
            <w:vAlign w:val="center"/>
          </w:tcPr>
          <w:p w14:paraId="6C8B1953" w14:textId="77777777" w:rsidR="00C503D3" w:rsidRPr="00AD6C7D" w:rsidRDefault="00C503D3" w:rsidP="005A0614">
            <w:pPr>
              <w:spacing w:before="60" w:after="60"/>
              <w:rPr>
                <w:rFonts w:cs="Arial"/>
                <w:sz w:val="18"/>
                <w:szCs w:val="18"/>
                <w:lang w:val="de-DE" w:eastAsia="fr-FR"/>
              </w:rPr>
            </w:pPr>
            <w:r w:rsidRPr="00AD6C7D">
              <w:rPr>
                <w:rFonts w:cs="Arial"/>
                <w:sz w:val="18"/>
                <w:szCs w:val="18"/>
                <w:lang w:val="de-DE" w:eastAsia="fr-FR"/>
              </w:rPr>
              <w:t>Klassen 3 und 9</w:t>
            </w:r>
          </w:p>
        </w:tc>
        <w:tc>
          <w:tcPr>
            <w:tcW w:w="2835" w:type="dxa"/>
            <w:vAlign w:val="center"/>
          </w:tcPr>
          <w:p w14:paraId="2F57868E" w14:textId="77777777" w:rsidR="00C503D3" w:rsidRPr="00AD6C7D" w:rsidRDefault="00C503D3" w:rsidP="005A0614">
            <w:pPr>
              <w:spacing w:before="60" w:after="60"/>
              <w:rPr>
                <w:rFonts w:cs="Arial"/>
                <w:sz w:val="18"/>
                <w:szCs w:val="18"/>
                <w:lang w:val="de-DE" w:eastAsia="fr-FR"/>
              </w:rPr>
            </w:pPr>
            <w:r w:rsidRPr="00AD6C7D">
              <w:rPr>
                <w:rFonts w:cs="Arial"/>
                <w:sz w:val="18"/>
                <w:szCs w:val="18"/>
                <w:lang w:val="de-DE" w:eastAsia="fr-FR"/>
              </w:rPr>
              <w:t>Entzündbare Stoffe</w:t>
            </w:r>
          </w:p>
        </w:tc>
        <w:tc>
          <w:tcPr>
            <w:tcW w:w="2551" w:type="dxa"/>
            <w:tcBorders>
              <w:bottom w:val="single" w:sz="4" w:space="0" w:color="auto"/>
            </w:tcBorders>
            <w:vAlign w:val="center"/>
          </w:tcPr>
          <w:p w14:paraId="4BD1C3BC" w14:textId="77777777" w:rsidR="00C503D3" w:rsidRPr="00AD6C7D" w:rsidRDefault="00C503D3" w:rsidP="005A0614">
            <w:pPr>
              <w:spacing w:before="60" w:after="60"/>
              <w:rPr>
                <w:rFonts w:cs="Arial"/>
                <w:sz w:val="18"/>
                <w:szCs w:val="18"/>
                <w:lang w:val="de-DE" w:eastAsia="fr-FR"/>
              </w:rPr>
            </w:pPr>
            <w:r w:rsidRPr="00AD6C7D">
              <w:rPr>
                <w:rFonts w:cs="Arial"/>
                <w:sz w:val="18"/>
                <w:szCs w:val="18"/>
                <w:lang w:val="de-DE" w:eastAsia="fr-FR"/>
              </w:rPr>
              <w:t>Ätzende Stoffe</w:t>
            </w:r>
          </w:p>
        </w:tc>
        <w:tc>
          <w:tcPr>
            <w:tcW w:w="2551" w:type="dxa"/>
            <w:tcBorders>
              <w:bottom w:val="single" w:sz="4" w:space="0" w:color="auto"/>
            </w:tcBorders>
          </w:tcPr>
          <w:p w14:paraId="494EEE72" w14:textId="77777777" w:rsidR="00C503D3" w:rsidRPr="00AD6C7D" w:rsidRDefault="00C503D3" w:rsidP="005A0614">
            <w:pPr>
              <w:spacing w:before="60" w:after="60"/>
              <w:rPr>
                <w:rFonts w:cs="Arial"/>
                <w:sz w:val="18"/>
                <w:szCs w:val="18"/>
                <w:lang w:val="de-DE" w:eastAsia="fr-FR"/>
              </w:rPr>
            </w:pPr>
            <w:r w:rsidRPr="00AD6C7D">
              <w:rPr>
                <w:rFonts w:cs="Arial"/>
                <w:sz w:val="18"/>
                <w:szCs w:val="18"/>
                <w:lang w:val="de-DE" w:eastAsia="fr-FR"/>
              </w:rPr>
              <w:t>Ladetankausrüstung</w:t>
            </w:r>
          </w:p>
        </w:tc>
      </w:tr>
      <w:tr w:rsidR="00C503D3" w:rsidRPr="00AD6C7D" w14:paraId="3F1B7458" w14:textId="77777777" w:rsidTr="005A0614">
        <w:trPr>
          <w:jc w:val="center"/>
        </w:trPr>
        <w:tc>
          <w:tcPr>
            <w:tcW w:w="2835" w:type="dxa"/>
            <w:vAlign w:val="center"/>
          </w:tcPr>
          <w:p w14:paraId="4BA99119" w14:textId="77777777" w:rsidR="00C503D3" w:rsidRPr="00AD6C7D" w:rsidRDefault="00C503D3" w:rsidP="005A0614">
            <w:pPr>
              <w:spacing w:before="60" w:after="60"/>
              <w:rPr>
                <w:rFonts w:cs="Arial"/>
                <w:sz w:val="18"/>
                <w:szCs w:val="18"/>
                <w:lang w:val="de-DE" w:eastAsia="fr-FR"/>
              </w:rPr>
            </w:pPr>
            <w:r w:rsidRPr="00AD6C7D">
              <w:rPr>
                <w:rFonts w:cs="Arial"/>
                <w:color w:val="000000"/>
                <w:sz w:val="18"/>
                <w:szCs w:val="18"/>
                <w:lang w:val="de-DE" w:eastAsia="fr-FR"/>
              </w:rPr>
              <w:t xml:space="preserve">23 °C </w:t>
            </w:r>
            <w:r w:rsidRPr="00AD6C7D">
              <w:rPr>
                <w:rFonts w:cs="Arial"/>
                <w:color w:val="000000"/>
                <w:sz w:val="18"/>
                <w:szCs w:val="18"/>
                <w:lang w:val="de-DE" w:eastAsia="fr-FR"/>
              </w:rPr>
              <w:sym w:font="Symbol" w:char="F0A3"/>
            </w:r>
            <w:r w:rsidRPr="00AD6C7D">
              <w:rPr>
                <w:rFonts w:cs="Arial"/>
                <w:color w:val="000000"/>
                <w:sz w:val="18"/>
                <w:szCs w:val="18"/>
                <w:lang w:val="de-DE" w:eastAsia="fr-FR"/>
              </w:rPr>
              <w:t xml:space="preserve"> </w:t>
            </w:r>
            <w:r w:rsidRPr="00AD6C7D">
              <w:rPr>
                <w:rFonts w:cs="Arial"/>
                <w:sz w:val="18"/>
                <w:szCs w:val="18"/>
                <w:lang w:val="de-DE" w:eastAsia="fr-FR"/>
              </w:rPr>
              <w:t xml:space="preserve">Flammpunkt </w:t>
            </w:r>
            <w:r w:rsidRPr="00AD6C7D">
              <w:rPr>
                <w:rFonts w:cs="Arial"/>
                <w:color w:val="000000"/>
                <w:sz w:val="18"/>
                <w:szCs w:val="18"/>
                <w:lang w:val="de-DE" w:eastAsia="fr-FR"/>
              </w:rPr>
              <w:sym w:font="Symbol" w:char="F0A3"/>
            </w:r>
            <w:r w:rsidRPr="00AD6C7D">
              <w:rPr>
                <w:rFonts w:cs="Arial"/>
                <w:sz w:val="18"/>
                <w:szCs w:val="18"/>
                <w:lang w:val="de-DE" w:eastAsia="fr-FR"/>
              </w:rPr>
              <w:t xml:space="preserve"> 60 °C</w:t>
            </w:r>
          </w:p>
        </w:tc>
        <w:tc>
          <w:tcPr>
            <w:tcW w:w="2835" w:type="dxa"/>
            <w:vAlign w:val="center"/>
          </w:tcPr>
          <w:p w14:paraId="4330441F" w14:textId="77777777" w:rsidR="00C503D3" w:rsidRPr="00AD6C7D" w:rsidRDefault="00C503D3" w:rsidP="005A0614">
            <w:pPr>
              <w:spacing w:before="60" w:after="60"/>
              <w:rPr>
                <w:rFonts w:cs="Arial"/>
                <w:sz w:val="18"/>
                <w:szCs w:val="18"/>
                <w:lang w:val="de-DE" w:eastAsia="fr-FR"/>
              </w:rPr>
            </w:pPr>
            <w:r w:rsidRPr="00AD6C7D">
              <w:rPr>
                <w:rFonts w:cs="Arial"/>
                <w:sz w:val="18"/>
                <w:szCs w:val="18"/>
                <w:lang w:val="de-DE" w:eastAsia="fr-FR"/>
              </w:rPr>
              <w:t>Flammpunkt &gt; 6</w:t>
            </w:r>
            <w:r w:rsidRPr="00AD6C7D">
              <w:rPr>
                <w:rFonts w:cs="Arial"/>
                <w:color w:val="000000"/>
                <w:sz w:val="18"/>
                <w:szCs w:val="18"/>
                <w:lang w:val="de-DE" w:eastAsia="fr-FR"/>
              </w:rPr>
              <w:t>0</w:t>
            </w:r>
            <w:r w:rsidRPr="00AD6C7D">
              <w:rPr>
                <w:rFonts w:cs="Arial"/>
                <w:sz w:val="18"/>
                <w:szCs w:val="18"/>
                <w:lang w:val="de-DE" w:eastAsia="fr-FR"/>
              </w:rPr>
              <w:t xml:space="preserve"> °C, </w:t>
            </w:r>
            <w:r w:rsidRPr="00AD6C7D">
              <w:rPr>
                <w:rFonts w:cs="Arial"/>
                <w:color w:val="000000"/>
                <w:sz w:val="18"/>
                <w:szCs w:val="18"/>
                <w:lang w:val="de-DE" w:eastAsia="fr-FR"/>
              </w:rPr>
              <w:t xml:space="preserve">erwärmt auf </w:t>
            </w:r>
            <w:r w:rsidRPr="00AD6C7D">
              <w:rPr>
                <w:rFonts w:cs="Arial"/>
                <w:color w:val="000000"/>
                <w:sz w:val="18"/>
                <w:szCs w:val="18"/>
                <w:lang w:val="de-DE" w:eastAsia="fr-FR"/>
              </w:rPr>
              <w:sym w:font="Symbol" w:char="F0A3"/>
            </w:r>
            <w:r w:rsidRPr="00AD6C7D">
              <w:rPr>
                <w:rFonts w:cs="Arial"/>
                <w:color w:val="000000"/>
                <w:sz w:val="18"/>
                <w:szCs w:val="18"/>
                <w:lang w:val="de-DE" w:eastAsia="fr-FR"/>
              </w:rPr>
              <w:t xml:space="preserve"> 15 K unter Flammpunkt</w:t>
            </w:r>
            <w:r w:rsidRPr="00AD6C7D">
              <w:rPr>
                <w:rFonts w:cs="Arial"/>
                <w:color w:val="000000"/>
                <w:sz w:val="18"/>
                <w:szCs w:val="18"/>
                <w:lang w:val="de-DE" w:eastAsia="fr-FR"/>
              </w:rPr>
              <w:br/>
              <w:t>oder</w:t>
            </w:r>
            <w:r w:rsidRPr="00AD6C7D">
              <w:rPr>
                <w:rFonts w:cs="Arial"/>
                <w:color w:val="000000"/>
                <w:sz w:val="18"/>
                <w:szCs w:val="18"/>
                <w:lang w:val="de-DE" w:eastAsia="fr-FR"/>
              </w:rPr>
              <w:br/>
              <w:t xml:space="preserve">Flammpunkt </w:t>
            </w:r>
            <w:r w:rsidRPr="00AD6C7D">
              <w:rPr>
                <w:rFonts w:cs="Arial"/>
                <w:sz w:val="18"/>
                <w:szCs w:val="18"/>
                <w:lang w:val="de-DE" w:eastAsia="fr-FR"/>
              </w:rPr>
              <w:t>&gt; 6</w:t>
            </w:r>
            <w:r w:rsidRPr="00AD6C7D">
              <w:rPr>
                <w:rFonts w:cs="Arial"/>
                <w:color w:val="000000"/>
                <w:sz w:val="18"/>
                <w:szCs w:val="18"/>
                <w:lang w:val="de-DE" w:eastAsia="fr-FR"/>
              </w:rPr>
              <w:t>0</w:t>
            </w:r>
            <w:r w:rsidRPr="00AD6C7D">
              <w:rPr>
                <w:rFonts w:cs="Arial"/>
                <w:sz w:val="18"/>
                <w:szCs w:val="18"/>
                <w:lang w:val="de-DE" w:eastAsia="fr-FR"/>
              </w:rPr>
              <w:t xml:space="preserve"> °C, </w:t>
            </w:r>
            <w:r w:rsidRPr="00AD6C7D">
              <w:rPr>
                <w:rFonts w:cs="Arial"/>
                <w:color w:val="000000"/>
                <w:sz w:val="18"/>
                <w:szCs w:val="18"/>
                <w:lang w:val="de-DE" w:eastAsia="fr-FR"/>
              </w:rPr>
              <w:t>erwärmt bei oder über seinem Flammpunkt</w:t>
            </w:r>
          </w:p>
        </w:tc>
        <w:tc>
          <w:tcPr>
            <w:tcW w:w="2551" w:type="dxa"/>
            <w:tcBorders>
              <w:bottom w:val="single" w:sz="4" w:space="0" w:color="auto"/>
            </w:tcBorders>
            <w:vAlign w:val="center"/>
          </w:tcPr>
          <w:p w14:paraId="2DB24383" w14:textId="77777777" w:rsidR="00C503D3" w:rsidRPr="00AD6C7D" w:rsidRDefault="00C503D3" w:rsidP="005A0614">
            <w:pPr>
              <w:spacing w:before="60" w:after="60"/>
              <w:rPr>
                <w:rFonts w:cs="Arial"/>
                <w:sz w:val="18"/>
                <w:szCs w:val="18"/>
                <w:lang w:val="de-DE" w:eastAsia="fr-FR"/>
              </w:rPr>
            </w:pPr>
            <w:r w:rsidRPr="00AD6C7D">
              <w:rPr>
                <w:rFonts w:cs="Arial"/>
                <w:sz w:val="18"/>
                <w:szCs w:val="18"/>
                <w:lang w:val="de-DE" w:eastAsia="fr-FR"/>
              </w:rPr>
              <w:t xml:space="preserve">Entzündbar </w:t>
            </w:r>
            <w:r w:rsidRPr="00AD6C7D">
              <w:rPr>
                <w:rFonts w:cs="Arial"/>
                <w:color w:val="000000"/>
                <w:sz w:val="18"/>
                <w:szCs w:val="18"/>
                <w:lang w:val="de-DE" w:eastAsia="fr-FR"/>
              </w:rPr>
              <w:t>oder</w:t>
            </w:r>
            <w:r w:rsidRPr="00AD6C7D">
              <w:rPr>
                <w:rFonts w:cs="Arial"/>
                <w:color w:val="000000"/>
                <w:sz w:val="18"/>
                <w:szCs w:val="18"/>
                <w:lang w:val="de-DE" w:eastAsia="fr-FR"/>
              </w:rPr>
              <w:br/>
              <w:t>sauer, beheizt transportiert</w:t>
            </w:r>
          </w:p>
        </w:tc>
        <w:tc>
          <w:tcPr>
            <w:tcW w:w="2551" w:type="dxa"/>
            <w:tcBorders>
              <w:bottom w:val="single" w:sz="4" w:space="0" w:color="auto"/>
            </w:tcBorders>
            <w:vAlign w:val="center"/>
          </w:tcPr>
          <w:p w14:paraId="2AD4C1CC" w14:textId="77777777" w:rsidR="00C503D3" w:rsidRPr="00AD6C7D" w:rsidRDefault="00C503D3" w:rsidP="005A0614">
            <w:pPr>
              <w:spacing w:before="60" w:after="60"/>
              <w:rPr>
                <w:rFonts w:cs="Arial"/>
                <w:sz w:val="18"/>
                <w:szCs w:val="18"/>
                <w:lang w:val="de-DE" w:eastAsia="fr-FR"/>
              </w:rPr>
            </w:pPr>
            <w:r w:rsidRPr="00AD6C7D">
              <w:rPr>
                <w:rFonts w:cs="Arial"/>
                <w:sz w:val="18"/>
                <w:szCs w:val="18"/>
                <w:lang w:val="de-DE" w:eastAsia="fr-FR"/>
              </w:rPr>
              <w:t>Mit Flammendurchschlagsicherung</w:t>
            </w:r>
          </w:p>
        </w:tc>
      </w:tr>
      <w:tr w:rsidR="00C503D3" w:rsidRPr="00AD6C7D" w14:paraId="04BC52B4" w14:textId="77777777" w:rsidTr="005A0614">
        <w:trPr>
          <w:jc w:val="center"/>
        </w:trPr>
        <w:tc>
          <w:tcPr>
            <w:tcW w:w="2835" w:type="dxa"/>
          </w:tcPr>
          <w:p w14:paraId="1B4B2784" w14:textId="77777777" w:rsidR="00C503D3" w:rsidRPr="00AD6C7D" w:rsidRDefault="00C503D3" w:rsidP="005A0614">
            <w:pPr>
              <w:spacing w:before="60" w:after="60"/>
              <w:rPr>
                <w:rFonts w:cs="Arial"/>
                <w:sz w:val="18"/>
                <w:szCs w:val="18"/>
                <w:lang w:val="de-DE" w:eastAsia="fr-FR"/>
              </w:rPr>
            </w:pPr>
            <w:r w:rsidRPr="00AD6C7D">
              <w:rPr>
                <w:rFonts w:cs="Arial"/>
                <w:color w:val="000000"/>
                <w:sz w:val="18"/>
                <w:szCs w:val="18"/>
                <w:lang w:val="de-DE" w:eastAsia="fr-FR"/>
              </w:rPr>
              <w:t xml:space="preserve">60 °C </w:t>
            </w:r>
            <w:r w:rsidRPr="00AD6C7D">
              <w:rPr>
                <w:rFonts w:cs="Arial"/>
                <w:sz w:val="18"/>
                <w:szCs w:val="18"/>
                <w:lang w:val="de-DE" w:eastAsia="fr-FR"/>
              </w:rPr>
              <w:t>&lt;</w:t>
            </w:r>
            <w:r w:rsidRPr="00AD6C7D">
              <w:rPr>
                <w:rFonts w:cs="Arial"/>
                <w:color w:val="000000"/>
                <w:sz w:val="18"/>
                <w:szCs w:val="18"/>
                <w:lang w:val="de-DE" w:eastAsia="fr-FR"/>
              </w:rPr>
              <w:t xml:space="preserve"> </w:t>
            </w:r>
            <w:r w:rsidRPr="00AD6C7D">
              <w:rPr>
                <w:rFonts w:cs="Arial"/>
                <w:sz w:val="18"/>
                <w:szCs w:val="18"/>
                <w:lang w:val="de-DE" w:eastAsia="fr-FR"/>
              </w:rPr>
              <w:t xml:space="preserve">Flammpunkt </w:t>
            </w:r>
            <w:r w:rsidRPr="00AD6C7D">
              <w:rPr>
                <w:rFonts w:cs="Arial"/>
                <w:color w:val="000000"/>
                <w:sz w:val="18"/>
                <w:szCs w:val="18"/>
                <w:lang w:val="de-DE" w:eastAsia="fr-FR"/>
              </w:rPr>
              <w:sym w:font="Symbol" w:char="F0A3"/>
            </w:r>
            <w:r w:rsidRPr="00AD6C7D">
              <w:rPr>
                <w:rFonts w:cs="Arial"/>
                <w:sz w:val="18"/>
                <w:szCs w:val="18"/>
                <w:lang w:val="de-DE" w:eastAsia="fr-FR"/>
              </w:rPr>
              <w:t xml:space="preserve"> 100 °C</w:t>
            </w:r>
            <w:r w:rsidRPr="00AD6C7D">
              <w:rPr>
                <w:rFonts w:cs="Arial"/>
                <w:sz w:val="18"/>
                <w:szCs w:val="18"/>
                <w:lang w:val="de-DE" w:eastAsia="fr-FR"/>
              </w:rPr>
              <w:br/>
              <w:t xml:space="preserve">oder erwärmter Stoff der </w:t>
            </w:r>
            <w:r w:rsidRPr="00AD6C7D">
              <w:rPr>
                <w:rFonts w:cs="Arial"/>
                <w:sz w:val="18"/>
                <w:szCs w:val="18"/>
                <w:lang w:val="de-DE" w:eastAsia="fr-FR"/>
              </w:rPr>
              <w:br/>
              <w:t>Klasse 9</w:t>
            </w:r>
          </w:p>
        </w:tc>
        <w:tc>
          <w:tcPr>
            <w:tcW w:w="2835" w:type="dxa"/>
          </w:tcPr>
          <w:p w14:paraId="2D37BABC" w14:textId="77777777" w:rsidR="00C503D3" w:rsidRPr="00AD6C7D" w:rsidRDefault="00C503D3" w:rsidP="005A0614">
            <w:pPr>
              <w:spacing w:before="60" w:after="60"/>
              <w:rPr>
                <w:rFonts w:cs="Arial"/>
                <w:sz w:val="18"/>
                <w:szCs w:val="18"/>
                <w:lang w:val="de-DE" w:eastAsia="fr-FR"/>
              </w:rPr>
            </w:pPr>
          </w:p>
        </w:tc>
        <w:tc>
          <w:tcPr>
            <w:tcW w:w="2551" w:type="dxa"/>
            <w:vAlign w:val="center"/>
          </w:tcPr>
          <w:p w14:paraId="4E039896" w14:textId="77777777" w:rsidR="00C503D3" w:rsidRPr="00AD6C7D" w:rsidRDefault="00C503D3" w:rsidP="005A0614">
            <w:pPr>
              <w:spacing w:before="60" w:after="60"/>
              <w:rPr>
                <w:rFonts w:cs="Arial"/>
                <w:sz w:val="18"/>
                <w:szCs w:val="18"/>
                <w:lang w:val="de-DE" w:eastAsia="fr-FR"/>
              </w:rPr>
            </w:pPr>
            <w:r w:rsidRPr="00AD6C7D">
              <w:rPr>
                <w:rFonts w:cs="Arial"/>
                <w:sz w:val="18"/>
                <w:szCs w:val="18"/>
                <w:lang w:val="de-DE" w:eastAsia="fr-FR"/>
              </w:rPr>
              <w:t>Nicht entzündbar</w:t>
            </w:r>
          </w:p>
        </w:tc>
        <w:tc>
          <w:tcPr>
            <w:tcW w:w="2551" w:type="dxa"/>
            <w:vAlign w:val="center"/>
          </w:tcPr>
          <w:p w14:paraId="7B01879C" w14:textId="77777777" w:rsidR="00C503D3" w:rsidRPr="00AD6C7D" w:rsidRDefault="00C503D3" w:rsidP="005A0614">
            <w:pPr>
              <w:spacing w:before="60" w:after="60"/>
              <w:rPr>
                <w:rFonts w:cs="Arial"/>
                <w:sz w:val="18"/>
                <w:szCs w:val="18"/>
                <w:lang w:val="de-DE" w:eastAsia="fr-FR"/>
              </w:rPr>
            </w:pPr>
            <w:r w:rsidRPr="00AD6C7D">
              <w:rPr>
                <w:rFonts w:cs="Arial"/>
                <w:sz w:val="18"/>
                <w:szCs w:val="18"/>
                <w:lang w:val="de-DE" w:eastAsia="fr-FR"/>
              </w:rPr>
              <w:t>Ohne Flammendurchschlagsicherung</w:t>
            </w:r>
          </w:p>
        </w:tc>
      </w:tr>
    </w:tbl>
    <w:p w14:paraId="37C748ED" w14:textId="77777777" w:rsidR="00C503D3" w:rsidRPr="00AD6C7D" w:rsidRDefault="00C503D3" w:rsidP="002B000C">
      <w:pPr>
        <w:keepNext/>
        <w:spacing w:before="120" w:after="120"/>
        <w:outlineLvl w:val="1"/>
        <w:rPr>
          <w:b/>
          <w:bCs/>
          <w:szCs w:val="24"/>
        </w:rPr>
      </w:pPr>
    </w:p>
    <w:p w14:paraId="66F31BE1" w14:textId="60A2A99C" w:rsidR="005955F6" w:rsidRPr="00AD6C7D" w:rsidRDefault="005955F6" w:rsidP="005955F6">
      <w:pPr>
        <w:suppressAutoHyphens w:val="0"/>
        <w:spacing w:before="120" w:line="240" w:lineRule="auto"/>
        <w:rPr>
          <w:i/>
          <w:iCs/>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informelles Dokument</w:t>
      </w:r>
      <w:r w:rsidRPr="00AD6C7D">
        <w:rPr>
          <w:i/>
          <w:iCs/>
          <w:lang w:val="de-DE"/>
        </w:rPr>
        <w:t xml:space="preserve"> INF.7)</w:t>
      </w:r>
    </w:p>
    <w:p w14:paraId="17817928" w14:textId="77777777" w:rsidR="005955F6" w:rsidRPr="00AD6C7D" w:rsidRDefault="005955F6" w:rsidP="005955F6">
      <w:pPr>
        <w:rPr>
          <w:lang w:val="de-DE"/>
        </w:rPr>
      </w:pPr>
    </w:p>
    <w:p w14:paraId="5D11B504" w14:textId="77777777" w:rsidR="005955F6" w:rsidRPr="00AD6C7D" w:rsidRDefault="005955F6" w:rsidP="005955F6">
      <w:pPr>
        <w:tabs>
          <w:tab w:val="right" w:pos="851"/>
        </w:tabs>
        <w:spacing w:before="240" w:after="120" w:line="240" w:lineRule="exact"/>
        <w:ind w:left="1134" w:right="1134" w:hanging="1134"/>
        <w:rPr>
          <w:b/>
          <w:sz w:val="28"/>
          <w:lang w:val="de-DE"/>
        </w:rPr>
        <w:sectPr w:rsidR="005955F6" w:rsidRPr="00AD6C7D" w:rsidSect="009539AF">
          <w:headerReference w:type="even" r:id="rId13"/>
          <w:headerReference w:type="default" r:id="rId14"/>
          <w:footerReference w:type="even" r:id="rId15"/>
          <w:footerReference w:type="default" r:id="rId16"/>
          <w:endnotePr>
            <w:numFmt w:val="decimal"/>
          </w:endnotePr>
          <w:pgSz w:w="16840" w:h="11907" w:orient="landscape" w:code="9"/>
          <w:pgMar w:top="1134" w:right="1417" w:bottom="1134" w:left="1134" w:header="567" w:footer="567" w:gutter="0"/>
          <w:cols w:space="720"/>
          <w:docGrid w:linePitch="272"/>
        </w:sectPr>
      </w:pPr>
    </w:p>
    <w:p w14:paraId="0B5A5138" w14:textId="0F28CFB4" w:rsidR="005955F6" w:rsidRPr="00AD6C7D" w:rsidRDefault="005955F6" w:rsidP="005955F6">
      <w:pPr>
        <w:pStyle w:val="H23G"/>
        <w:kinsoku w:val="0"/>
        <w:overflowPunct w:val="0"/>
        <w:autoSpaceDE w:val="0"/>
        <w:autoSpaceDN w:val="0"/>
        <w:adjustRightInd w:val="0"/>
        <w:snapToGrid w:val="0"/>
        <w:rPr>
          <w:bCs/>
          <w:lang w:val="de-DE"/>
        </w:rPr>
      </w:pPr>
      <w:r w:rsidRPr="00AD6C7D">
        <w:rPr>
          <w:bCs/>
          <w:lang w:val="de-DE"/>
        </w:rPr>
        <w:lastRenderedPageBreak/>
        <w:tab/>
      </w:r>
      <w:r w:rsidRPr="00AD6C7D">
        <w:rPr>
          <w:bCs/>
          <w:lang w:val="de-DE"/>
        </w:rPr>
        <w:tab/>
      </w:r>
      <w:r w:rsidR="003D1BA6" w:rsidRPr="00AD6C7D">
        <w:rPr>
          <w:bCs/>
          <w:lang w:val="de-DE"/>
        </w:rPr>
        <w:t>Kapitel</w:t>
      </w:r>
      <w:r w:rsidRPr="00AD6C7D">
        <w:rPr>
          <w:bCs/>
          <w:lang w:val="de-DE"/>
        </w:rPr>
        <w:t xml:space="preserve"> 8.1</w:t>
      </w:r>
    </w:p>
    <w:p w14:paraId="22EA8100" w14:textId="604185C5" w:rsidR="005955F6" w:rsidRPr="00AD6C7D" w:rsidRDefault="005955F6" w:rsidP="005955F6">
      <w:pPr>
        <w:pStyle w:val="SingleTxtG"/>
        <w:tabs>
          <w:tab w:val="left" w:pos="2268"/>
        </w:tabs>
        <w:rPr>
          <w:lang w:val="de-DE"/>
        </w:rPr>
      </w:pPr>
      <w:r w:rsidRPr="00AD6C7D">
        <w:rPr>
          <w:lang w:val="de-DE"/>
        </w:rPr>
        <w:t>8.1.2.1 b)</w:t>
      </w:r>
      <w:r w:rsidRPr="00AD6C7D">
        <w:rPr>
          <w:lang w:val="de-DE"/>
        </w:rPr>
        <w:tab/>
      </w:r>
      <w:r w:rsidR="003D5F27">
        <w:rPr>
          <w:lang w:val="de-DE"/>
        </w:rPr>
        <w:t>E</w:t>
      </w:r>
      <w:r w:rsidR="00F01088" w:rsidRPr="00AD6C7D">
        <w:rPr>
          <w:lang w:val="de-DE"/>
        </w:rPr>
        <w:t>rhält folgenden Wortlaut: „die nach Abschnitt 5.4.1 vorgeschriebenen Beförderungspapiere für alle als Ladung beförderten gefährlichen Güter, die sich an Bord befinden, und gegebenenfalls das Container-/ Fahrzeugpackzertifikat (siehe Abschnitt 5.4.2);“.</w:t>
      </w:r>
    </w:p>
    <w:p w14:paraId="1963A48F" w14:textId="19F8E5E1" w:rsidR="005955F6" w:rsidRPr="00AD6C7D" w:rsidRDefault="005955F6" w:rsidP="005955F6">
      <w:pPr>
        <w:pStyle w:val="SingleTxtG"/>
        <w:tabs>
          <w:tab w:val="left" w:pos="2268"/>
        </w:tabs>
        <w:rPr>
          <w:lang w:val="de-DE"/>
        </w:rPr>
      </w:pPr>
      <w:r w:rsidRPr="00AD6C7D">
        <w:rPr>
          <w:i/>
          <w:lang w:val="de-DE"/>
        </w:rPr>
        <w:t>(</w:t>
      </w:r>
      <w:r w:rsidR="003D1BA6" w:rsidRPr="00AD6C7D">
        <w:rPr>
          <w:i/>
          <w:lang w:val="de-DE"/>
        </w:rPr>
        <w:t>Referenzdokument</w:t>
      </w:r>
      <w:r w:rsidRPr="00AD6C7D">
        <w:rPr>
          <w:i/>
          <w:lang w:val="de-DE"/>
        </w:rPr>
        <w:t>: ECE/TRANS/WP.15/AC.2/2019/21)</w:t>
      </w:r>
    </w:p>
    <w:p w14:paraId="1EACC756" w14:textId="33E0FF43" w:rsidR="005955F6" w:rsidRPr="00AD6C7D" w:rsidRDefault="005955F6" w:rsidP="005955F6">
      <w:pPr>
        <w:pStyle w:val="SingleTxtG"/>
        <w:tabs>
          <w:tab w:val="left" w:pos="2268"/>
        </w:tabs>
        <w:rPr>
          <w:lang w:val="de-DE"/>
        </w:rPr>
      </w:pPr>
      <w:r w:rsidRPr="00AD6C7D">
        <w:rPr>
          <w:lang w:val="de-DE"/>
        </w:rPr>
        <w:t>8.1.2.3</w:t>
      </w:r>
      <w:r w:rsidRPr="00AD6C7D">
        <w:rPr>
          <w:lang w:val="de-DE"/>
        </w:rPr>
        <w:tab/>
      </w:r>
      <w:r w:rsidR="003D5F27">
        <w:rPr>
          <w:lang w:val="de-DE"/>
        </w:rPr>
        <w:t>E</w:t>
      </w:r>
      <w:r w:rsidR="00861F5D" w:rsidRPr="00AD6C7D">
        <w:rPr>
          <w:lang w:val="de-DE"/>
        </w:rPr>
        <w:t>rhält folgenden Wortlaut</w:t>
      </w:r>
      <w:r w:rsidRPr="00AD6C7D">
        <w:rPr>
          <w:lang w:val="de-DE"/>
        </w:rPr>
        <w:t>:</w:t>
      </w:r>
    </w:p>
    <w:p w14:paraId="6E211978" w14:textId="77777777" w:rsidR="00861F5D" w:rsidRPr="00AD6C7D" w:rsidRDefault="00861F5D" w:rsidP="00861F5D">
      <w:pPr>
        <w:pStyle w:val="SingleTxtG"/>
        <w:rPr>
          <w:lang w:val="de-DE"/>
        </w:rPr>
      </w:pPr>
      <w:r w:rsidRPr="00AD6C7D">
        <w:rPr>
          <w:lang w:val="de-DE"/>
        </w:rPr>
        <w:t>„f) die in Unterabschnitt 8.1.6.3 vorgeschriebenen Bescheinigungen über die Prüfung der Gasspüranlagen und der Sauerstoffmessanlage;“.</w:t>
      </w:r>
    </w:p>
    <w:p w14:paraId="5E705453" w14:textId="01DB9FA5" w:rsidR="005955F6" w:rsidRPr="00AD6C7D" w:rsidRDefault="005955F6" w:rsidP="005955F6">
      <w:pPr>
        <w:pStyle w:val="SingleTxtG"/>
        <w:tabs>
          <w:tab w:val="left" w:pos="2268"/>
        </w:tabs>
        <w:rPr>
          <w:i/>
          <w:lang w:val="de-DE"/>
        </w:rPr>
      </w:pPr>
      <w:r w:rsidRPr="00AD6C7D">
        <w:rPr>
          <w:i/>
          <w:lang w:val="de-DE"/>
        </w:rPr>
        <w:t>(</w:t>
      </w:r>
      <w:r w:rsidR="003D1BA6" w:rsidRPr="00AD6C7D">
        <w:rPr>
          <w:i/>
          <w:lang w:val="de-DE"/>
        </w:rPr>
        <w:t>Referenzdokument</w:t>
      </w:r>
      <w:r w:rsidRPr="00AD6C7D">
        <w:rPr>
          <w:i/>
          <w:lang w:val="de-DE"/>
        </w:rPr>
        <w:t>: ECE/TRANS/WP.15/AC.2/2019/18)</w:t>
      </w:r>
    </w:p>
    <w:p w14:paraId="165FCF31" w14:textId="0E038198" w:rsidR="005955F6" w:rsidRPr="00AD6C7D" w:rsidRDefault="005955F6" w:rsidP="005955F6">
      <w:pPr>
        <w:pStyle w:val="H23G"/>
        <w:kinsoku w:val="0"/>
        <w:overflowPunct w:val="0"/>
        <w:autoSpaceDE w:val="0"/>
        <w:autoSpaceDN w:val="0"/>
        <w:adjustRightInd w:val="0"/>
        <w:snapToGrid w:val="0"/>
        <w:rPr>
          <w:rFonts w:eastAsiaTheme="minorHAnsi"/>
          <w:i/>
          <w:iCs/>
          <w:lang w:val="de-DE"/>
        </w:rPr>
      </w:pPr>
      <w:r w:rsidRPr="00AD6C7D">
        <w:rPr>
          <w:bCs/>
          <w:sz w:val="28"/>
          <w:lang w:val="de-DE"/>
        </w:rPr>
        <w:tab/>
      </w:r>
      <w:r w:rsidRPr="00AD6C7D">
        <w:rPr>
          <w:bCs/>
          <w:lang w:val="de-DE"/>
        </w:rPr>
        <w:tab/>
      </w:r>
      <w:r w:rsidR="003D1BA6" w:rsidRPr="00AD6C7D">
        <w:rPr>
          <w:bCs/>
          <w:lang w:val="de-DE"/>
        </w:rPr>
        <w:t>Kapitel</w:t>
      </w:r>
      <w:r w:rsidRPr="00AD6C7D">
        <w:rPr>
          <w:bCs/>
          <w:lang w:val="de-DE"/>
        </w:rPr>
        <w:t xml:space="preserve"> 8.2</w:t>
      </w:r>
    </w:p>
    <w:p w14:paraId="749C58E0" w14:textId="73592032" w:rsidR="005955F6" w:rsidRPr="00AD6C7D" w:rsidRDefault="005955F6" w:rsidP="005955F6">
      <w:pPr>
        <w:pStyle w:val="SingleTxtG"/>
        <w:rPr>
          <w:rFonts w:eastAsia="MS Mincho"/>
          <w:lang w:val="de-DE"/>
        </w:rPr>
      </w:pPr>
      <w:bookmarkStart w:id="37" w:name="_Hlk5615972"/>
      <w:r w:rsidRPr="00AD6C7D">
        <w:rPr>
          <w:lang w:val="de-DE"/>
        </w:rPr>
        <w:t>8.2.2.3.1</w:t>
      </w:r>
      <w:r w:rsidRPr="00AD6C7D">
        <w:rPr>
          <w:lang w:val="de-DE"/>
        </w:rPr>
        <w:tab/>
      </w:r>
      <w:bookmarkEnd w:id="37"/>
      <w:r w:rsidR="00395A73" w:rsidRPr="00AD6C7D">
        <w:rPr>
          <w:lang w:val="de-DE"/>
        </w:rPr>
        <w:t>Unter „Basiskurs für die Beförderung in Tankschiffen“:</w:t>
      </w:r>
    </w:p>
    <w:p w14:paraId="2D0A6D8E" w14:textId="639253B6" w:rsidR="005955F6" w:rsidRPr="00AD6C7D" w:rsidRDefault="00395A73" w:rsidP="005955F6">
      <w:pPr>
        <w:pStyle w:val="SingleTxtG"/>
        <w:rPr>
          <w:lang w:val="de-DE"/>
        </w:rPr>
      </w:pPr>
      <w:r w:rsidRPr="00AD6C7D">
        <w:rPr>
          <w:lang w:val="de-DE"/>
        </w:rPr>
        <w:t>„Kenntnisse: ADN allgemein mit Ausnahme von Kapitel 3.2 Tabellen A und B, Kapitel 7.1, 9.1, 9.2, Abschnitte 9.3.1 und 9.3.2“ ändern in: „Kenntnisse: ADN allgemein mit Ausnahme von Kapitel 3.2 Tabelle A, Kapitel 7.1, 9.1 und 9.2“.</w:t>
      </w:r>
    </w:p>
    <w:p w14:paraId="0419B4E2" w14:textId="10758888" w:rsidR="005955F6" w:rsidRPr="00AD6C7D" w:rsidRDefault="005955F6" w:rsidP="005955F6">
      <w:pPr>
        <w:pStyle w:val="SingleTxtG"/>
        <w:rPr>
          <w:rFonts w:eastAsia="MS Mincho"/>
          <w:lang w:val="de-DE"/>
        </w:rPr>
      </w:pPr>
      <w:r w:rsidRPr="00AD6C7D">
        <w:rPr>
          <w:i/>
          <w:lang w:val="de-DE"/>
        </w:rPr>
        <w:t>(</w:t>
      </w:r>
      <w:r w:rsidR="003D1BA6" w:rsidRPr="00AD6C7D">
        <w:rPr>
          <w:i/>
          <w:lang w:val="de-DE"/>
        </w:rPr>
        <w:t>Referenzdokument</w:t>
      </w:r>
      <w:r w:rsidRPr="00AD6C7D">
        <w:rPr>
          <w:i/>
          <w:lang w:val="de-DE"/>
        </w:rPr>
        <w:t>: ECE/TRANS/WP.15/AC.2/2019/25)</w:t>
      </w:r>
    </w:p>
    <w:p w14:paraId="693D02D6" w14:textId="017C2CB7" w:rsidR="005955F6" w:rsidRPr="00AD6C7D" w:rsidRDefault="005955F6" w:rsidP="005955F6">
      <w:pPr>
        <w:pStyle w:val="SingleTxtG"/>
        <w:rPr>
          <w:lang w:val="de-DE"/>
        </w:rPr>
      </w:pPr>
      <w:r w:rsidRPr="00AD6C7D">
        <w:rPr>
          <w:lang w:val="de-DE"/>
        </w:rPr>
        <w:t>8.2.2.3.1</w:t>
      </w:r>
      <w:r w:rsidRPr="00AD6C7D">
        <w:rPr>
          <w:lang w:val="de-DE"/>
        </w:rPr>
        <w:tab/>
      </w:r>
      <w:r w:rsidR="00395A73" w:rsidRPr="00AD6C7D">
        <w:rPr>
          <w:lang w:val="de-DE"/>
        </w:rPr>
        <w:t>Unter „Basiskurs „Kombination aus Beförderung von Trockengütern und Beförderung in Tankschiffen““</w:t>
      </w:r>
      <w:r w:rsidRPr="00AD6C7D">
        <w:rPr>
          <w:lang w:val="de-DE"/>
        </w:rPr>
        <w:t>:</w:t>
      </w:r>
    </w:p>
    <w:p w14:paraId="64A2C98B" w14:textId="219631B4" w:rsidR="005955F6" w:rsidRPr="00AD6C7D" w:rsidRDefault="00395A73" w:rsidP="005955F6">
      <w:pPr>
        <w:pStyle w:val="SingleTxtG"/>
        <w:rPr>
          <w:lang w:val="de-DE"/>
        </w:rPr>
      </w:pPr>
      <w:bookmarkStart w:id="38" w:name="_Hlk5615915"/>
      <w:r w:rsidRPr="00AD6C7D">
        <w:rPr>
          <w:lang w:val="de-DE"/>
        </w:rPr>
        <w:t>„Kenntnisse: ADN allgemein mit Ausnahme der Abschnitte 9.3.1 und 9.3.2“ ändern in: „Kenntnisse: ADN allgemein“.</w:t>
      </w:r>
    </w:p>
    <w:p w14:paraId="541AD8B9" w14:textId="076ACC55" w:rsidR="005955F6" w:rsidRPr="00AD6C7D" w:rsidRDefault="005955F6" w:rsidP="005955F6">
      <w:pPr>
        <w:pStyle w:val="SingleTxtG"/>
        <w:rPr>
          <w:rFonts w:eastAsia="MS Mincho"/>
          <w:lang w:val="de-DE"/>
        </w:rPr>
      </w:pPr>
      <w:r w:rsidRPr="00AD6C7D">
        <w:rPr>
          <w:i/>
          <w:lang w:val="de-DE"/>
        </w:rPr>
        <w:t>(</w:t>
      </w:r>
      <w:r w:rsidR="003D1BA6" w:rsidRPr="00AD6C7D">
        <w:rPr>
          <w:i/>
          <w:lang w:val="de-DE"/>
        </w:rPr>
        <w:t>Referenzdokument</w:t>
      </w:r>
      <w:r w:rsidRPr="00AD6C7D">
        <w:rPr>
          <w:i/>
          <w:lang w:val="de-DE"/>
        </w:rPr>
        <w:t>: ECE/TRANS/WP.15/AC.2/2019/25)</w:t>
      </w:r>
    </w:p>
    <w:p w14:paraId="24F91B62" w14:textId="6F6C5A40" w:rsidR="005955F6" w:rsidRPr="00AD6C7D" w:rsidRDefault="005955F6" w:rsidP="005955F6">
      <w:pPr>
        <w:pStyle w:val="SingleTxtG"/>
        <w:rPr>
          <w:lang w:val="de-DE"/>
        </w:rPr>
      </w:pPr>
      <w:bookmarkStart w:id="39" w:name="_Hlk5616327"/>
      <w:bookmarkEnd w:id="38"/>
      <w:r w:rsidRPr="00AD6C7D">
        <w:rPr>
          <w:lang w:val="de-DE"/>
        </w:rPr>
        <w:t>8.2.2.3.2</w:t>
      </w:r>
      <w:r w:rsidRPr="00AD6C7D">
        <w:rPr>
          <w:lang w:val="de-DE"/>
        </w:rPr>
        <w:tab/>
      </w:r>
      <w:r w:rsidR="00395A73" w:rsidRPr="00AD6C7D">
        <w:rPr>
          <w:lang w:val="de-DE"/>
        </w:rPr>
        <w:t>Unter „Wiederholungskurs „Beförderung in Tankschiffen““:</w:t>
      </w:r>
    </w:p>
    <w:bookmarkEnd w:id="39"/>
    <w:p w14:paraId="039C40D8" w14:textId="4F34491D" w:rsidR="005955F6" w:rsidRPr="00AD6C7D" w:rsidRDefault="00395A73" w:rsidP="005955F6">
      <w:pPr>
        <w:pStyle w:val="SingleTxtG"/>
        <w:rPr>
          <w:lang w:val="de-DE"/>
        </w:rPr>
      </w:pPr>
      <w:r w:rsidRPr="00AD6C7D">
        <w:rPr>
          <w:lang w:val="de-DE"/>
        </w:rPr>
        <w:t>„Kenntnisse: ADN allgemein mit Ausnahme von Kapitel 3.2 Tabelle A und B, Kapitel 7.1, 9.1 und 9.2, Abschnitte 9.3.1 und 9.3.2</w:t>
      </w:r>
      <w:r w:rsidR="00A97454">
        <w:rPr>
          <w:lang w:val="de-DE"/>
        </w:rPr>
        <w:t>“</w:t>
      </w:r>
      <w:r w:rsidRPr="00AD6C7D">
        <w:rPr>
          <w:lang w:val="de-DE"/>
        </w:rPr>
        <w:t xml:space="preserve"> ändern in: „Kenntnisse: ADN allgemein mit Ausnahme von Kapitel 3.2 Tabelle A, Kapitel 7.1, 9.1 und 9.2“.</w:t>
      </w:r>
    </w:p>
    <w:p w14:paraId="1C704176" w14:textId="17ED2210" w:rsidR="005955F6" w:rsidRPr="00AD6C7D" w:rsidRDefault="005955F6" w:rsidP="005955F6">
      <w:pPr>
        <w:pStyle w:val="SingleTxtG"/>
        <w:rPr>
          <w:rFonts w:eastAsia="MS Mincho"/>
          <w:lang w:val="de-DE"/>
        </w:rPr>
      </w:pPr>
      <w:r w:rsidRPr="00AD6C7D">
        <w:rPr>
          <w:i/>
          <w:lang w:val="de-DE"/>
        </w:rPr>
        <w:t>(</w:t>
      </w:r>
      <w:r w:rsidR="003D1BA6" w:rsidRPr="00AD6C7D">
        <w:rPr>
          <w:i/>
          <w:lang w:val="de-DE"/>
        </w:rPr>
        <w:t>Referenzdokument</w:t>
      </w:r>
      <w:r w:rsidRPr="00AD6C7D">
        <w:rPr>
          <w:i/>
          <w:lang w:val="de-DE"/>
        </w:rPr>
        <w:t>: ECE/TRANS/WP.15/AC.2/2019/25)</w:t>
      </w:r>
    </w:p>
    <w:p w14:paraId="198C1F0A" w14:textId="73B973C0" w:rsidR="005955F6" w:rsidRPr="00AD6C7D" w:rsidRDefault="005955F6" w:rsidP="005955F6">
      <w:pPr>
        <w:pStyle w:val="SingleTxtG"/>
        <w:rPr>
          <w:rFonts w:eastAsia="MS Mincho"/>
          <w:lang w:val="de-DE"/>
        </w:rPr>
      </w:pPr>
      <w:r w:rsidRPr="00AD6C7D">
        <w:rPr>
          <w:lang w:val="de-DE"/>
        </w:rPr>
        <w:t>8.2.2.3.2</w:t>
      </w:r>
      <w:r w:rsidRPr="00AD6C7D">
        <w:rPr>
          <w:lang w:val="de-DE"/>
        </w:rPr>
        <w:tab/>
      </w:r>
      <w:r w:rsidR="00395A73" w:rsidRPr="00AD6C7D">
        <w:rPr>
          <w:lang w:val="de-DE"/>
        </w:rPr>
        <w:t>Unter „Wiederholungskurs „Kombination Beförderung von Trockengütern und Beförderung in Tankschiffen</w:t>
      </w:r>
      <w:r w:rsidR="00E42669">
        <w:rPr>
          <w:lang w:val="de-DE"/>
        </w:rPr>
        <w:t>“</w:t>
      </w:r>
      <w:r w:rsidR="00395A73" w:rsidRPr="00AD6C7D">
        <w:rPr>
          <w:lang w:val="de-DE"/>
        </w:rPr>
        <w:t>“:</w:t>
      </w:r>
    </w:p>
    <w:p w14:paraId="40ED9BF5" w14:textId="06A30C47" w:rsidR="00395A73" w:rsidRPr="00AD6C7D" w:rsidRDefault="00395A73" w:rsidP="00395A73">
      <w:pPr>
        <w:pStyle w:val="SingleTxtG"/>
        <w:rPr>
          <w:lang w:val="de-DE"/>
        </w:rPr>
      </w:pPr>
      <w:r w:rsidRPr="00AD6C7D">
        <w:rPr>
          <w:lang w:val="de-DE"/>
        </w:rPr>
        <w:t>“Kenntnisse: ADN allgemein mit den Abschnitten 9.3.1 und 9.3.2“ ändern in: „Kenntnisse: ADN allgemein“.</w:t>
      </w:r>
    </w:p>
    <w:p w14:paraId="3144F8B8" w14:textId="381AA5A2" w:rsidR="005955F6" w:rsidRPr="00AD6C7D" w:rsidRDefault="005955F6" w:rsidP="00395A73">
      <w:pPr>
        <w:pStyle w:val="SingleTxtG"/>
        <w:rPr>
          <w:i/>
          <w:lang w:val="de-DE"/>
        </w:rPr>
      </w:pPr>
      <w:r w:rsidRPr="00AD6C7D">
        <w:rPr>
          <w:i/>
          <w:lang w:val="de-DE"/>
        </w:rPr>
        <w:t>(</w:t>
      </w:r>
      <w:r w:rsidR="003D1BA6" w:rsidRPr="00AD6C7D">
        <w:rPr>
          <w:i/>
          <w:lang w:val="de-DE"/>
        </w:rPr>
        <w:t>Referenzdokument</w:t>
      </w:r>
      <w:r w:rsidRPr="00AD6C7D">
        <w:rPr>
          <w:i/>
          <w:lang w:val="de-DE"/>
        </w:rPr>
        <w:t>: ECE/TRANS/WP.15/AC.2/2019/25)</w:t>
      </w:r>
    </w:p>
    <w:p w14:paraId="3E067E17" w14:textId="42940C34" w:rsidR="005955F6" w:rsidRPr="00AD6C7D" w:rsidRDefault="005955F6" w:rsidP="00860AFF">
      <w:pPr>
        <w:pageBreakBefore/>
        <w:tabs>
          <w:tab w:val="right" w:pos="851"/>
          <w:tab w:val="left" w:pos="5529"/>
        </w:tabs>
        <w:spacing w:before="360" w:after="240" w:line="300" w:lineRule="exact"/>
        <w:ind w:left="1134" w:right="1134" w:hanging="1134"/>
        <w:rPr>
          <w:b/>
          <w:sz w:val="28"/>
          <w:lang w:val="de-DE"/>
        </w:rPr>
      </w:pPr>
      <w:bookmarkStart w:id="40" w:name="_Hlk20400744"/>
      <w:r w:rsidRPr="00AD6C7D">
        <w:rPr>
          <w:b/>
          <w:sz w:val="28"/>
          <w:lang w:val="de-DE"/>
        </w:rPr>
        <w:lastRenderedPageBreak/>
        <w:tab/>
      </w:r>
      <w:r w:rsidR="00860AFF" w:rsidRPr="00AD6C7D">
        <w:rPr>
          <w:b/>
          <w:sz w:val="28"/>
          <w:lang w:val="de-DE"/>
        </w:rPr>
        <w:t>Anlage</w:t>
      </w:r>
      <w:r w:rsidRPr="00AD6C7D">
        <w:rPr>
          <w:b/>
          <w:sz w:val="28"/>
          <w:lang w:val="de-DE"/>
        </w:rPr>
        <w:t xml:space="preserve"> II</w:t>
      </w:r>
      <w:r w:rsidR="00537CA9" w:rsidRPr="00AD6C7D">
        <w:rPr>
          <w:b/>
          <w:sz w:val="28"/>
          <w:lang w:val="de-DE"/>
        </w:rPr>
        <w:tab/>
      </w:r>
      <w:r w:rsidR="00537CA9" w:rsidRPr="00AD6C7D">
        <w:rPr>
          <w:b/>
          <w:sz w:val="28"/>
          <w:lang w:val="de-DE"/>
        </w:rPr>
        <w:tab/>
      </w:r>
      <w:r w:rsidR="00860AFF" w:rsidRPr="00AD6C7D">
        <w:rPr>
          <w:bCs/>
          <w:lang w:val="de-DE"/>
        </w:rPr>
        <w:t>[Original: Englisch und Französisch]</w:t>
      </w:r>
    </w:p>
    <w:bookmarkEnd w:id="40"/>
    <w:p w14:paraId="5C0FD436" w14:textId="77777777" w:rsidR="005A0614" w:rsidRPr="00AD6C7D" w:rsidRDefault="005955F6" w:rsidP="005955F6">
      <w:pPr>
        <w:tabs>
          <w:tab w:val="right" w:pos="851"/>
        </w:tabs>
        <w:spacing w:before="360" w:after="240" w:line="300" w:lineRule="exact"/>
        <w:ind w:left="1134" w:right="1134" w:hanging="1134"/>
        <w:rPr>
          <w:sz w:val="22"/>
          <w:szCs w:val="22"/>
          <w:lang w:val="de-DE"/>
        </w:rPr>
      </w:pPr>
      <w:r w:rsidRPr="00AD6C7D">
        <w:rPr>
          <w:b/>
          <w:sz w:val="28"/>
          <w:lang w:val="de-DE"/>
        </w:rPr>
        <w:tab/>
      </w:r>
      <w:r w:rsidRPr="00AD6C7D">
        <w:rPr>
          <w:b/>
          <w:sz w:val="28"/>
          <w:lang w:val="de-DE"/>
        </w:rPr>
        <w:tab/>
      </w:r>
      <w:r w:rsidR="005A0614" w:rsidRPr="00AD6C7D">
        <w:rPr>
          <w:b/>
          <w:bCs/>
          <w:sz w:val="28"/>
          <w:lang w:val="de-DE"/>
        </w:rPr>
        <w:t xml:space="preserve">Berichtigungen am Dokument ECE/TRANS/276 </w:t>
      </w:r>
      <w:r w:rsidR="005A0614" w:rsidRPr="00AD6C7D">
        <w:rPr>
          <w:sz w:val="22"/>
          <w:szCs w:val="22"/>
          <w:lang w:val="de-DE"/>
        </w:rPr>
        <w:t>(ADN-Ausgabe 2019) (bedürfen nicht der Zustimmung der</w:t>
      </w:r>
      <w:r w:rsidR="005A0614" w:rsidRPr="00AD6C7D">
        <w:rPr>
          <w:bCs/>
          <w:sz w:val="22"/>
          <w:szCs w:val="22"/>
          <w:lang w:val="de-DE"/>
        </w:rPr>
        <w:t xml:space="preserve"> Vertragsparteien</w:t>
      </w:r>
      <w:r w:rsidR="005A0614" w:rsidRPr="00AD6C7D">
        <w:rPr>
          <w:sz w:val="22"/>
          <w:szCs w:val="22"/>
          <w:lang w:val="de-DE"/>
        </w:rPr>
        <w:t>)</w:t>
      </w:r>
    </w:p>
    <w:p w14:paraId="715AC95A" w14:textId="07C4A9FF" w:rsidR="00192F2D" w:rsidRPr="00AD6C7D" w:rsidRDefault="00192F2D" w:rsidP="00192F2D">
      <w:pPr>
        <w:pStyle w:val="ListParagraph"/>
        <w:keepNext/>
        <w:keepLines/>
        <w:numPr>
          <w:ilvl w:val="0"/>
          <w:numId w:val="22"/>
        </w:numPr>
        <w:tabs>
          <w:tab w:val="right" w:pos="851"/>
        </w:tabs>
        <w:spacing w:before="240" w:after="120" w:line="240" w:lineRule="exact"/>
        <w:ind w:right="1134"/>
        <w:rPr>
          <w:b/>
        </w:rPr>
      </w:pPr>
      <w:proofErr w:type="spellStart"/>
      <w:r w:rsidRPr="00AD6C7D">
        <w:rPr>
          <w:b/>
        </w:rPr>
        <w:t>Inhaltsverzeichnis</w:t>
      </w:r>
      <w:proofErr w:type="spellEnd"/>
    </w:p>
    <w:p w14:paraId="4F3CEF01" w14:textId="61042477" w:rsidR="00192F2D" w:rsidRPr="00AD6C7D" w:rsidRDefault="00192F2D" w:rsidP="005955F6">
      <w:pPr>
        <w:pStyle w:val="SingleTxtG"/>
        <w:rPr>
          <w:lang w:val="de-DE"/>
        </w:rPr>
      </w:pPr>
      <w:r w:rsidRPr="00AD6C7D">
        <w:rPr>
          <w:i/>
          <w:iCs/>
          <w:lang w:val="de-DE"/>
        </w:rPr>
        <w:t xml:space="preserve">Einfügen: </w:t>
      </w:r>
      <w:r w:rsidRPr="00AD6C7D">
        <w:rPr>
          <w:lang w:val="de-DE"/>
        </w:rPr>
        <w:t>„7.1.7</w:t>
      </w:r>
      <w:r w:rsidRPr="00AD6C7D">
        <w:rPr>
          <w:lang w:val="de-DE"/>
        </w:rPr>
        <w:tab/>
        <w:t xml:space="preserve">Besondere Vorschriften für die Beförderung </w:t>
      </w:r>
      <w:proofErr w:type="spellStart"/>
      <w:r w:rsidRPr="00AD6C7D">
        <w:rPr>
          <w:lang w:val="de-DE"/>
        </w:rPr>
        <w:t>selbstzersetzlicher</w:t>
      </w:r>
      <w:proofErr w:type="spellEnd"/>
      <w:r w:rsidRPr="00AD6C7D">
        <w:rPr>
          <w:lang w:val="de-DE"/>
        </w:rPr>
        <w:t xml:space="preserve"> Stoffe der Klasse 4.1, organischer Peroxide der Klasse 5.2 und anderer Stoffe (als </w:t>
      </w:r>
      <w:proofErr w:type="spellStart"/>
      <w:r w:rsidRPr="00AD6C7D">
        <w:rPr>
          <w:lang w:val="de-DE"/>
        </w:rPr>
        <w:t>selbstzersetzliche</w:t>
      </w:r>
      <w:proofErr w:type="spellEnd"/>
      <w:r w:rsidRPr="00AD6C7D">
        <w:rPr>
          <w:lang w:val="de-DE"/>
        </w:rPr>
        <w:t xml:space="preserve"> Stoffe und organische Peroxide), die durch Temperaturkontrolle stabilisiert werden“.</w:t>
      </w:r>
    </w:p>
    <w:p w14:paraId="711F0218" w14:textId="1E47AA12" w:rsidR="005955F6" w:rsidRPr="00AD6C7D" w:rsidRDefault="005955F6" w:rsidP="005955F6">
      <w:pPr>
        <w:pStyle w:val="SingleTxtG"/>
        <w:rPr>
          <w:lang w:val="de-DE"/>
        </w:rPr>
      </w:pPr>
      <w:r w:rsidRPr="00AD6C7D">
        <w:rPr>
          <w:i/>
          <w:lang w:val="de-DE"/>
        </w:rPr>
        <w:t>(</w:t>
      </w:r>
      <w:r w:rsidR="003D1BA6" w:rsidRPr="00AD6C7D">
        <w:rPr>
          <w:i/>
          <w:lang w:val="de-DE"/>
        </w:rPr>
        <w:t>Referenzdokument</w:t>
      </w:r>
      <w:r w:rsidRPr="00AD6C7D">
        <w:rPr>
          <w:i/>
          <w:lang w:val="de-DE"/>
        </w:rPr>
        <w:t>: ECE/TRANS/WP.15/AC.2/2019/21)</w:t>
      </w:r>
    </w:p>
    <w:p w14:paraId="4DA04F40" w14:textId="66738795" w:rsidR="005955F6" w:rsidRPr="00AD6C7D" w:rsidRDefault="005955F6" w:rsidP="00F0134B">
      <w:pPr>
        <w:pStyle w:val="H23G"/>
        <w:spacing w:before="360"/>
        <w:rPr>
          <w:lang w:val="de-DE"/>
        </w:rPr>
      </w:pPr>
      <w:r w:rsidRPr="00AD6C7D">
        <w:rPr>
          <w:lang w:val="de-DE"/>
        </w:rPr>
        <w:tab/>
        <w:t>2.</w:t>
      </w:r>
      <w:r w:rsidRPr="00AD6C7D">
        <w:rPr>
          <w:lang w:val="de-DE"/>
        </w:rPr>
        <w:tab/>
      </w:r>
      <w:r w:rsidR="001921B1" w:rsidRPr="00AD6C7D">
        <w:rPr>
          <w:lang w:val="de-DE"/>
        </w:rPr>
        <w:t>Kapitel</w:t>
      </w:r>
      <w:r w:rsidRPr="00AD6C7D">
        <w:rPr>
          <w:lang w:val="de-DE"/>
        </w:rPr>
        <w:t xml:space="preserve"> 1.6, 1.6.7.2.2.2, </w:t>
      </w:r>
      <w:r w:rsidR="001921B1" w:rsidRPr="00AD6C7D">
        <w:rPr>
          <w:lang w:val="de-DE"/>
        </w:rPr>
        <w:t xml:space="preserve">Übergangsvorschrift für </w:t>
      </w:r>
      <w:r w:rsidRPr="00AD6C7D">
        <w:rPr>
          <w:lang w:val="de-DE"/>
        </w:rPr>
        <w:t>9.3.1.17.4</w:t>
      </w:r>
      <w:r w:rsidR="00BF61EB">
        <w:rPr>
          <w:lang w:val="de-DE"/>
        </w:rPr>
        <w:t xml:space="preserve"> und</w:t>
      </w:r>
      <w:r w:rsidRPr="00AD6C7D">
        <w:rPr>
          <w:lang w:val="de-DE"/>
        </w:rPr>
        <w:t xml:space="preserve"> 9.3.3.17.4: </w:t>
      </w:r>
      <w:r w:rsidR="001921B1" w:rsidRPr="00AD6C7D">
        <w:rPr>
          <w:lang w:val="de-DE"/>
        </w:rPr>
        <w:t>Abstand von Öffnungen zum Bereich der Ladung</w:t>
      </w:r>
      <w:r w:rsidRPr="00AD6C7D">
        <w:rPr>
          <w:lang w:val="de-DE"/>
        </w:rPr>
        <w:t xml:space="preserve">, </w:t>
      </w:r>
      <w:r w:rsidR="001921B1" w:rsidRPr="00AD6C7D">
        <w:rPr>
          <w:lang w:val="de-DE"/>
        </w:rPr>
        <w:t>Spalte</w:t>
      </w:r>
      <w:r w:rsidRPr="00AD6C7D">
        <w:rPr>
          <w:lang w:val="de-DE"/>
        </w:rPr>
        <w:t xml:space="preserve">: </w:t>
      </w:r>
      <w:r w:rsidR="001921B1" w:rsidRPr="00AD6C7D">
        <w:rPr>
          <w:lang w:val="de-DE"/>
        </w:rPr>
        <w:t>Frist und Nebenbestimmungen</w:t>
      </w:r>
    </w:p>
    <w:p w14:paraId="5B53CCEF" w14:textId="77777777" w:rsidR="00F56500" w:rsidRPr="00AD6C7D" w:rsidRDefault="00F56500" w:rsidP="00F56500">
      <w:pPr>
        <w:pStyle w:val="SingleTxtG"/>
        <w:rPr>
          <w:lang w:val="de-DE"/>
        </w:rPr>
      </w:pPr>
      <w:r w:rsidRPr="00AD6C7D">
        <w:rPr>
          <w:lang w:val="de-DE"/>
        </w:rPr>
        <w:t>[Die Änderung in der englischen Fassung hat keine Auswirkungen auf den deutschen Text.]</w:t>
      </w:r>
    </w:p>
    <w:p w14:paraId="3E8CB40E" w14:textId="132600EE" w:rsidR="005955F6" w:rsidRPr="00AD6C7D" w:rsidRDefault="005955F6" w:rsidP="005955F6">
      <w:pPr>
        <w:pStyle w:val="SingleTxtG"/>
        <w:rPr>
          <w:i/>
          <w:iCs/>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informelles Dokument</w:t>
      </w:r>
      <w:r w:rsidRPr="00AD6C7D">
        <w:rPr>
          <w:i/>
          <w:iCs/>
          <w:lang w:val="de-DE"/>
        </w:rPr>
        <w:t xml:space="preserve"> INF.20)</w:t>
      </w:r>
    </w:p>
    <w:p w14:paraId="36E45CB2" w14:textId="727FA652" w:rsidR="005955F6" w:rsidRPr="00AD6C7D" w:rsidRDefault="005955F6" w:rsidP="005955F6">
      <w:pPr>
        <w:keepNext/>
        <w:keepLines/>
        <w:tabs>
          <w:tab w:val="right" w:pos="851"/>
        </w:tabs>
        <w:spacing w:before="240" w:after="120" w:line="240" w:lineRule="exact"/>
        <w:ind w:left="1134" w:right="1134" w:hanging="1134"/>
        <w:rPr>
          <w:b/>
          <w:lang w:val="de-DE"/>
        </w:rPr>
      </w:pPr>
      <w:r w:rsidRPr="00AD6C7D">
        <w:rPr>
          <w:b/>
          <w:lang w:val="de-DE"/>
        </w:rPr>
        <w:tab/>
        <w:t>3.</w:t>
      </w:r>
      <w:r w:rsidRPr="00AD6C7D">
        <w:rPr>
          <w:b/>
          <w:lang w:val="de-DE"/>
        </w:rPr>
        <w:tab/>
      </w:r>
      <w:r w:rsidR="007B4D7D" w:rsidRPr="00AD6C7D">
        <w:rPr>
          <w:b/>
          <w:lang w:val="de-DE"/>
        </w:rPr>
        <w:t>Teil</w:t>
      </w:r>
      <w:r w:rsidRPr="00AD6C7D">
        <w:rPr>
          <w:b/>
          <w:lang w:val="de-DE"/>
        </w:rPr>
        <w:t xml:space="preserve"> 1, </w:t>
      </w:r>
      <w:r w:rsidR="007B4D7D" w:rsidRPr="00AD6C7D">
        <w:rPr>
          <w:b/>
          <w:lang w:val="de-DE"/>
        </w:rPr>
        <w:t>Kapitel</w:t>
      </w:r>
      <w:r w:rsidRPr="00AD6C7D">
        <w:rPr>
          <w:b/>
          <w:lang w:val="de-DE"/>
        </w:rPr>
        <w:t xml:space="preserve"> 1.6, 1.6.7.2.2.5</w:t>
      </w:r>
    </w:p>
    <w:p w14:paraId="62DC166B" w14:textId="45C43AB1" w:rsidR="007B4D7D" w:rsidRPr="00AD6C7D" w:rsidRDefault="007B4D7D" w:rsidP="007B4D7D">
      <w:pPr>
        <w:pStyle w:val="SingleTxtG"/>
        <w:rPr>
          <w:lang w:val="de-DE"/>
        </w:rPr>
      </w:pPr>
      <w:r w:rsidRPr="00AD6C7D">
        <w:rPr>
          <w:lang w:val="de-DE"/>
        </w:rPr>
        <w:t>[Die Änderung in der englischen Fassung hat keine Auswirkungen auf den deutschen Text.]</w:t>
      </w:r>
    </w:p>
    <w:p w14:paraId="140C6B2D" w14:textId="77777777" w:rsidR="007B4D7D" w:rsidRPr="00AD6C7D" w:rsidRDefault="007B4D7D" w:rsidP="007B4D7D">
      <w:pPr>
        <w:pStyle w:val="SingleTxtG"/>
        <w:rPr>
          <w:lang w:val="de-DE"/>
        </w:rPr>
      </w:pPr>
    </w:p>
    <w:p w14:paraId="2A4A9F8A" w14:textId="620373FB" w:rsidR="005955F6" w:rsidRPr="00AD6C7D" w:rsidRDefault="00860AFF" w:rsidP="00860AFF">
      <w:pPr>
        <w:pageBreakBefore/>
        <w:tabs>
          <w:tab w:val="right" w:pos="851"/>
          <w:tab w:val="left" w:pos="5529"/>
        </w:tabs>
        <w:spacing w:before="360" w:after="240" w:line="300" w:lineRule="exact"/>
        <w:ind w:left="1134" w:right="1134" w:hanging="1134"/>
        <w:rPr>
          <w:b/>
          <w:sz w:val="28"/>
          <w:lang w:val="de-DE"/>
        </w:rPr>
      </w:pPr>
      <w:r w:rsidRPr="00AD6C7D">
        <w:rPr>
          <w:b/>
          <w:sz w:val="28"/>
          <w:lang w:val="de-DE"/>
        </w:rPr>
        <w:lastRenderedPageBreak/>
        <w:t>Anlage</w:t>
      </w:r>
      <w:r w:rsidR="005955F6" w:rsidRPr="00AD6C7D">
        <w:rPr>
          <w:b/>
          <w:sz w:val="28"/>
          <w:lang w:val="de-DE"/>
        </w:rPr>
        <w:t xml:space="preserve"> III</w:t>
      </w:r>
      <w:r w:rsidR="00537CA9" w:rsidRPr="00AD6C7D">
        <w:rPr>
          <w:b/>
          <w:sz w:val="28"/>
          <w:lang w:val="de-DE"/>
        </w:rPr>
        <w:tab/>
      </w:r>
      <w:r w:rsidRPr="00AD6C7D">
        <w:rPr>
          <w:bCs/>
          <w:lang w:val="de-DE"/>
        </w:rPr>
        <w:t>[Original: Englisch und Französisch]</w:t>
      </w:r>
    </w:p>
    <w:p w14:paraId="0BD735FF" w14:textId="3199EFDE" w:rsidR="005955F6" w:rsidRPr="00AD6C7D" w:rsidRDefault="005955F6" w:rsidP="005955F6">
      <w:pPr>
        <w:tabs>
          <w:tab w:val="right" w:pos="851"/>
        </w:tabs>
        <w:spacing w:before="360" w:after="240" w:line="300" w:lineRule="exact"/>
        <w:ind w:left="1134" w:right="1134" w:hanging="1134"/>
        <w:rPr>
          <w:sz w:val="22"/>
          <w:szCs w:val="22"/>
          <w:lang w:val="de-DE"/>
        </w:rPr>
      </w:pPr>
      <w:r w:rsidRPr="00AD6C7D">
        <w:rPr>
          <w:b/>
          <w:sz w:val="28"/>
          <w:lang w:val="de-DE"/>
        </w:rPr>
        <w:tab/>
      </w:r>
      <w:r w:rsidRPr="00AD6C7D">
        <w:rPr>
          <w:b/>
          <w:sz w:val="28"/>
          <w:lang w:val="de-DE"/>
        </w:rPr>
        <w:tab/>
      </w:r>
      <w:r w:rsidR="005A0614" w:rsidRPr="00AD6C7D">
        <w:rPr>
          <w:b/>
          <w:sz w:val="28"/>
          <w:lang w:val="de-DE"/>
        </w:rPr>
        <w:t>Berichtigungsvorschläge zu der dem ADN beigefügten Verordnung</w:t>
      </w:r>
      <w:r w:rsidR="005A0614" w:rsidRPr="00AD6C7D">
        <w:rPr>
          <w:b/>
          <w:bCs/>
          <w:sz w:val="28"/>
          <w:lang w:val="de-DE"/>
        </w:rPr>
        <w:t xml:space="preserve"> </w:t>
      </w:r>
      <w:r w:rsidR="005A0614" w:rsidRPr="00AD6C7D">
        <w:rPr>
          <w:sz w:val="22"/>
          <w:szCs w:val="22"/>
          <w:lang w:val="de-DE"/>
        </w:rPr>
        <w:t>(bedürfen der Zustimmung der Vertragsparteien)</w:t>
      </w:r>
    </w:p>
    <w:p w14:paraId="5A3F2857" w14:textId="3413080A" w:rsidR="005955F6" w:rsidRPr="00AD6C7D" w:rsidRDefault="005955F6" w:rsidP="004764CD">
      <w:pPr>
        <w:pStyle w:val="H23G"/>
        <w:kinsoku w:val="0"/>
        <w:overflowPunct w:val="0"/>
        <w:autoSpaceDE w:val="0"/>
        <w:autoSpaceDN w:val="0"/>
        <w:adjustRightInd w:val="0"/>
        <w:snapToGrid w:val="0"/>
        <w:rPr>
          <w:lang w:val="de-DE"/>
        </w:rPr>
      </w:pPr>
      <w:r w:rsidRPr="00AD6C7D">
        <w:rPr>
          <w:lang w:val="de-DE"/>
        </w:rPr>
        <w:tab/>
        <w:t>1.</w:t>
      </w:r>
      <w:r w:rsidRPr="00AD6C7D">
        <w:rPr>
          <w:lang w:val="de-DE"/>
        </w:rPr>
        <w:tab/>
      </w:r>
      <w:r w:rsidR="005A0614" w:rsidRPr="00AD6C7D">
        <w:rPr>
          <w:lang w:val="de-DE"/>
        </w:rPr>
        <w:t>Kapitel</w:t>
      </w:r>
      <w:r w:rsidRPr="00AD6C7D">
        <w:rPr>
          <w:lang w:val="de-DE"/>
        </w:rPr>
        <w:t xml:space="preserve"> 7.2, 7.2.3.1.6</w:t>
      </w:r>
    </w:p>
    <w:p w14:paraId="2C4C2413" w14:textId="0608C7B0" w:rsidR="0052156C" w:rsidRPr="00AD6C7D" w:rsidRDefault="0052156C" w:rsidP="0052156C">
      <w:pPr>
        <w:pStyle w:val="SingleTxtG"/>
        <w:rPr>
          <w:lang w:val="de-DE"/>
        </w:rPr>
      </w:pPr>
      <w:r w:rsidRPr="00AD6C7D">
        <w:rPr>
          <w:lang w:val="de-DE"/>
        </w:rPr>
        <w:t>[Die Änderung in der französischen Fassung hat keine Auswirkungen auf den deutschen Text.]</w:t>
      </w:r>
    </w:p>
    <w:p w14:paraId="016E7F51" w14:textId="636F2787" w:rsidR="005955F6" w:rsidRPr="00AD6C7D" w:rsidRDefault="005955F6" w:rsidP="004764CD">
      <w:pPr>
        <w:pStyle w:val="H23G"/>
        <w:kinsoku w:val="0"/>
        <w:overflowPunct w:val="0"/>
        <w:autoSpaceDE w:val="0"/>
        <w:autoSpaceDN w:val="0"/>
        <w:adjustRightInd w:val="0"/>
        <w:snapToGrid w:val="0"/>
        <w:rPr>
          <w:rFonts w:eastAsiaTheme="minorHAnsi"/>
          <w:lang w:val="de-DE"/>
        </w:rPr>
      </w:pPr>
      <w:r w:rsidRPr="00AD6C7D">
        <w:rPr>
          <w:lang w:val="de-DE"/>
        </w:rPr>
        <w:tab/>
        <w:t>2.</w:t>
      </w:r>
      <w:r w:rsidRPr="00AD6C7D">
        <w:rPr>
          <w:lang w:val="de-DE"/>
        </w:rPr>
        <w:tab/>
      </w:r>
      <w:r w:rsidR="005A0614" w:rsidRPr="00AD6C7D">
        <w:rPr>
          <w:lang w:val="de-DE"/>
        </w:rPr>
        <w:t>Kapitel</w:t>
      </w:r>
      <w:r w:rsidRPr="00AD6C7D">
        <w:rPr>
          <w:lang w:val="de-DE"/>
        </w:rPr>
        <w:t xml:space="preserve"> 9.3, 9.3.x.12.4 b)</w:t>
      </w:r>
      <w:r w:rsidR="00B8520B" w:rsidRPr="00AD6C7D">
        <w:rPr>
          <w:lang w:val="de-DE"/>
        </w:rPr>
        <w:t xml:space="preserve"> </w:t>
      </w:r>
      <w:r w:rsidRPr="00AD6C7D">
        <w:rPr>
          <w:lang w:val="de-DE"/>
        </w:rPr>
        <w:t>(i)</w:t>
      </w:r>
    </w:p>
    <w:p w14:paraId="07170871" w14:textId="4896D44C" w:rsidR="005955F6" w:rsidRPr="00AD6C7D" w:rsidRDefault="00B8520B" w:rsidP="005955F6">
      <w:pPr>
        <w:pStyle w:val="SingleTxtG"/>
        <w:rPr>
          <w:bCs/>
          <w:lang w:val="de-DE"/>
        </w:rPr>
      </w:pPr>
      <w:r w:rsidRPr="00AD6C7D">
        <w:rPr>
          <w:bCs/>
          <w:lang w:val="de-DE"/>
        </w:rPr>
        <w:t>„</w:t>
      </w:r>
      <w:r w:rsidR="00DC0186" w:rsidRPr="00AD6C7D">
        <w:rPr>
          <w:bCs/>
          <w:lang w:val="de-DE"/>
        </w:rPr>
        <w:t>v</w:t>
      </w:r>
      <w:r w:rsidRPr="00AD6C7D">
        <w:rPr>
          <w:bCs/>
          <w:lang w:val="de-DE"/>
        </w:rPr>
        <w:t>om geschützten Bereich“ ändern in: „vom Bereich der Ladung“.</w:t>
      </w:r>
    </w:p>
    <w:p w14:paraId="43F73E3B" w14:textId="0ACB6AE3" w:rsidR="009475EF" w:rsidRPr="00AF0895" w:rsidRDefault="005955F6" w:rsidP="00F4184B">
      <w:pPr>
        <w:pStyle w:val="SingleTxtG"/>
        <w:rPr>
          <w:lang w:val="de-DE"/>
        </w:rPr>
      </w:pPr>
      <w:r w:rsidRPr="00AD6C7D">
        <w:rPr>
          <w:i/>
          <w:iCs/>
          <w:lang w:val="de-DE"/>
        </w:rPr>
        <w:t>(</w:t>
      </w:r>
      <w:r w:rsidR="003D1BA6" w:rsidRPr="00AD6C7D">
        <w:rPr>
          <w:i/>
          <w:iCs/>
          <w:lang w:val="de-DE"/>
        </w:rPr>
        <w:t>Referenzdokument</w:t>
      </w:r>
      <w:r w:rsidRPr="00AD6C7D">
        <w:rPr>
          <w:i/>
          <w:iCs/>
          <w:lang w:val="de-DE"/>
        </w:rPr>
        <w:t xml:space="preserve">: </w:t>
      </w:r>
      <w:r w:rsidR="003D1BA6" w:rsidRPr="00AD6C7D">
        <w:rPr>
          <w:i/>
          <w:iCs/>
          <w:lang w:val="de-DE"/>
        </w:rPr>
        <w:t>informelles Dokument</w:t>
      </w:r>
      <w:r w:rsidRPr="00AD6C7D">
        <w:rPr>
          <w:i/>
          <w:iCs/>
          <w:lang w:val="de-DE"/>
        </w:rPr>
        <w:t xml:space="preserve"> INF.18</w:t>
      </w:r>
      <w:r w:rsidR="00E42669">
        <w:rPr>
          <w:i/>
          <w:iCs/>
          <w:lang w:val="de-DE"/>
        </w:rPr>
        <w:t>)</w:t>
      </w:r>
    </w:p>
    <w:sectPr w:rsidR="009475EF" w:rsidRPr="00AF0895" w:rsidSect="009A75CB">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D49F" w14:textId="77777777" w:rsidR="00BF61EB" w:rsidRPr="0034396E" w:rsidRDefault="00BF61EB" w:rsidP="0034396E">
      <w:pPr>
        <w:pStyle w:val="Footer"/>
      </w:pPr>
    </w:p>
  </w:endnote>
  <w:endnote w:type="continuationSeparator" w:id="0">
    <w:p w14:paraId="1459B967" w14:textId="77777777" w:rsidR="00BF61EB" w:rsidRPr="0034396E" w:rsidRDefault="00BF61EB" w:rsidP="0034396E">
      <w:pPr>
        <w:pStyle w:val="Footer"/>
      </w:pPr>
    </w:p>
  </w:endnote>
  <w:endnote w:id="1">
    <w:p w14:paraId="6E273A0D" w14:textId="4EEE63BA" w:rsidR="00BF61EB" w:rsidRPr="00860AFF" w:rsidRDefault="00BF61EB" w:rsidP="0041307F">
      <w:pPr>
        <w:spacing w:before="240"/>
        <w:jc w:val="center"/>
      </w:pPr>
      <w:r w:rsidRPr="00860AFF">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6702" w14:textId="365C60CB" w:rsidR="00BF61EB" w:rsidRPr="003F2B10" w:rsidRDefault="00BF61EB" w:rsidP="003F2B10">
    <w:pPr>
      <w:spacing w:line="240" w:lineRule="auto"/>
      <w:jc w:val="right"/>
      <w:rPr>
        <w:lang w:val="fr-FR"/>
      </w:rPr>
    </w:pPr>
    <w:r w:rsidRPr="003F2B10">
      <w:rPr>
        <w:rFonts w:ascii="Arial" w:eastAsia="SimSun" w:hAnsi="Arial"/>
        <w:noProof/>
        <w:sz w:val="12"/>
        <w:szCs w:val="24"/>
        <w:lang w:val="fr-FR" w:eastAsia="zh-CN"/>
      </w:rPr>
      <w:t>mm_ba/adn_wp15_ac2_7</w:t>
    </w:r>
    <w:r>
      <w:rPr>
        <w:rFonts w:ascii="Arial" w:eastAsia="SimSun" w:hAnsi="Arial"/>
        <w:noProof/>
        <w:sz w:val="12"/>
        <w:szCs w:val="24"/>
        <w:lang w:val="fr-FR" w:eastAsia="zh-CN"/>
      </w:rPr>
      <w:t>2</w:t>
    </w:r>
    <w:r w:rsidRPr="003F2B10">
      <w:rPr>
        <w:rFonts w:ascii="Arial" w:eastAsia="SimSun" w:hAnsi="Arial"/>
        <w:noProof/>
        <w:sz w:val="12"/>
        <w:szCs w:val="24"/>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6C0C" w14:textId="6E7124C4" w:rsidR="00BF61EB" w:rsidRPr="003F2B10" w:rsidRDefault="00BF61EB" w:rsidP="003F2B10">
    <w:pPr>
      <w:spacing w:line="240" w:lineRule="auto"/>
      <w:jc w:val="right"/>
      <w:rPr>
        <w:lang w:val="fr-FR"/>
      </w:rPr>
    </w:pPr>
    <w:bookmarkStart w:id="30" w:name="_Hlk20401846"/>
    <w:bookmarkStart w:id="31" w:name="_Hlk20401847"/>
    <w:bookmarkStart w:id="32" w:name="_Hlk20401905"/>
    <w:bookmarkStart w:id="33" w:name="_Hlk20401906"/>
    <w:r w:rsidRPr="003F2B10">
      <w:rPr>
        <w:rFonts w:ascii="Arial" w:eastAsia="SimSun" w:hAnsi="Arial"/>
        <w:noProof/>
        <w:sz w:val="12"/>
        <w:szCs w:val="24"/>
        <w:lang w:val="fr-FR" w:eastAsia="zh-CN"/>
      </w:rPr>
      <w:t>mm_ba/adn_wp15_ac2_7</w:t>
    </w:r>
    <w:r>
      <w:rPr>
        <w:rFonts w:ascii="Arial" w:eastAsia="SimSun" w:hAnsi="Arial"/>
        <w:noProof/>
        <w:sz w:val="12"/>
        <w:szCs w:val="24"/>
        <w:lang w:val="fr-FR" w:eastAsia="zh-CN"/>
      </w:rPr>
      <w:t>2</w:t>
    </w:r>
    <w:r w:rsidRPr="003F2B10">
      <w:rPr>
        <w:rFonts w:ascii="Arial" w:eastAsia="SimSun" w:hAnsi="Arial"/>
        <w:noProof/>
        <w:sz w:val="12"/>
        <w:szCs w:val="24"/>
        <w:lang w:val="fr-FR" w:eastAsia="zh-CN"/>
      </w:rPr>
      <w:t>de</w:t>
    </w:r>
    <w:bookmarkEnd w:id="30"/>
    <w:bookmarkEnd w:id="31"/>
    <w:bookmarkEnd w:id="32"/>
    <w:bookmarkEnd w:id="3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ECA4" w14:textId="77777777" w:rsidR="00BF61EB" w:rsidRPr="003F2B10" w:rsidRDefault="00BF61EB" w:rsidP="005B737F">
    <w:pPr>
      <w:spacing w:line="240" w:lineRule="auto"/>
      <w:jc w:val="right"/>
      <w:rPr>
        <w:lang w:val="fr-FR"/>
      </w:rPr>
    </w:pPr>
    <w:r w:rsidRPr="003F2B10">
      <w:rPr>
        <w:rFonts w:ascii="Arial" w:eastAsia="SimSun" w:hAnsi="Arial"/>
        <w:noProof/>
        <w:sz w:val="12"/>
        <w:szCs w:val="24"/>
        <w:lang w:val="fr-FR" w:eastAsia="zh-CN"/>
      </w:rPr>
      <w:t>mm_ba/adn_wp15_ac2_7</w:t>
    </w:r>
    <w:r>
      <w:rPr>
        <w:rFonts w:ascii="Arial" w:eastAsia="SimSun" w:hAnsi="Arial"/>
        <w:noProof/>
        <w:sz w:val="12"/>
        <w:szCs w:val="24"/>
        <w:lang w:val="fr-FR" w:eastAsia="zh-CN"/>
      </w:rPr>
      <w:t>2</w:t>
    </w:r>
    <w:r w:rsidRPr="003F2B10">
      <w:rPr>
        <w:rFonts w:ascii="Arial" w:eastAsia="SimSun" w:hAnsi="Arial"/>
        <w:noProof/>
        <w:sz w:val="12"/>
        <w:szCs w:val="24"/>
        <w:lang w:val="fr-FR" w:eastAsia="zh-CN"/>
      </w:rPr>
      <w:t>de</w:t>
    </w:r>
  </w:p>
  <w:p w14:paraId="03FF8154" w14:textId="7F33519B" w:rsidR="00BF61EB" w:rsidRPr="007225E9" w:rsidRDefault="00BF61EB" w:rsidP="009539AF">
    <w:pPr>
      <w:pStyle w:val="Footer"/>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A0EA" w14:textId="77777777" w:rsidR="00BF61EB" w:rsidRPr="003F2B10" w:rsidRDefault="00BF61EB" w:rsidP="005B737F">
    <w:pPr>
      <w:spacing w:line="240" w:lineRule="auto"/>
      <w:jc w:val="right"/>
      <w:rPr>
        <w:lang w:val="fr-FR"/>
      </w:rPr>
    </w:pPr>
    <w:bookmarkStart w:id="36" w:name="_Hlk23842500"/>
    <w:r w:rsidRPr="003F2B10">
      <w:rPr>
        <w:rFonts w:ascii="Arial" w:eastAsia="SimSun" w:hAnsi="Arial"/>
        <w:noProof/>
        <w:sz w:val="12"/>
        <w:szCs w:val="24"/>
        <w:lang w:val="fr-FR" w:eastAsia="zh-CN"/>
      </w:rPr>
      <w:t>mm_ba/adn_wp15_ac2_7</w:t>
    </w:r>
    <w:r>
      <w:rPr>
        <w:rFonts w:ascii="Arial" w:eastAsia="SimSun" w:hAnsi="Arial"/>
        <w:noProof/>
        <w:sz w:val="12"/>
        <w:szCs w:val="24"/>
        <w:lang w:val="fr-FR" w:eastAsia="zh-CN"/>
      </w:rPr>
      <w:t>2</w:t>
    </w:r>
    <w:r w:rsidRPr="003F2B10">
      <w:rPr>
        <w:rFonts w:ascii="Arial" w:eastAsia="SimSun" w:hAnsi="Arial"/>
        <w:noProof/>
        <w:sz w:val="12"/>
        <w:szCs w:val="24"/>
        <w:lang w:val="fr-FR" w:eastAsia="zh-CN"/>
      </w:rPr>
      <w:t>de</w:t>
    </w:r>
  </w:p>
  <w:bookmarkEnd w:id="36"/>
  <w:p w14:paraId="39E9463F" w14:textId="77777777" w:rsidR="00BF61EB" w:rsidRPr="00CB00D6" w:rsidRDefault="00BF61EB" w:rsidP="009539AF">
    <w:pPr>
      <w:pStyle w:val="Footer"/>
    </w:pPr>
    <w:r>
      <w:rPr>
        <w:noProof/>
        <w:lang w:val="de-DE" w:eastAsia="de-DE"/>
      </w:rPr>
      <mc:AlternateContent>
        <mc:Choice Requires="wps">
          <w:drawing>
            <wp:anchor distT="0" distB="0" distL="114300" distR="114300" simplePos="0" relativeHeight="251661312" behindDoc="0" locked="0" layoutInCell="1" allowOverlap="1" wp14:anchorId="3783C347" wp14:editId="54E75C46">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0AEC794" w14:textId="38B88392" w:rsidR="00BF61EB" w:rsidRDefault="00BF61EB" w:rsidP="005B737F">
                          <w:pPr>
                            <w:pStyle w:val="Footer"/>
                            <w:tabs>
                              <w:tab w:val="right" w:pos="9598"/>
                            </w:tabs>
                          </w:pPr>
                          <w: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783C347" id="_x0000_t202" coordsize="21600,21600" o:spt="202" path="m,l,21600r21600,l21600,xe">
              <v:stroke joinstyle="miter"/>
              <v:path gradientshapeok="t" o:connecttype="rect"/>
            </v:shapetype>
            <v:shape id="Text Box 5" o:spid="_x0000_s1026"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Hmf&#10;dMCHAgAAJAUAAA4AAAAAAAAAAAAAAAAALgIAAGRycy9lMm9Eb2MueG1sUEsBAi0AFAAGAAgAAAAh&#10;AJJeKrzbAAAACAEAAA8AAAAAAAAAAAAAAAAA4QQAAGRycy9kb3ducmV2LnhtbFBLBQYAAAAABAAE&#10;APMAAADpBQAAAAA=&#10;" fillcolor="#4f81bd [3204]" stroked="f" strokeweight=".5pt">
              <v:fill opacity="0"/>
              <v:stroke joinstyle="round"/>
              <v:textbox style="layout-flow:vertical" inset="0,0,0,0">
                <w:txbxContent>
                  <w:p w14:paraId="60AEC794" w14:textId="38B88392" w:rsidR="00BF61EB" w:rsidRDefault="00BF61EB" w:rsidP="005B737F">
                    <w:pPr>
                      <w:pStyle w:val="Pieddepage"/>
                      <w:tabs>
                        <w:tab w:val="right" w:pos="9598"/>
                      </w:tabs>
                    </w:pPr>
                    <w:r>
                      <w:tab/>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1781" w14:textId="0EB4C9C6" w:rsidR="00BF61EB" w:rsidRPr="00A97454" w:rsidRDefault="00BF61EB" w:rsidP="00A97454">
    <w:pPr>
      <w:spacing w:line="240" w:lineRule="auto"/>
      <w:jc w:val="right"/>
      <w:rPr>
        <w:lang w:val="fr-FR"/>
      </w:rPr>
    </w:pPr>
    <w:r w:rsidRPr="003F2B10">
      <w:rPr>
        <w:rFonts w:ascii="Arial" w:eastAsia="SimSun" w:hAnsi="Arial"/>
        <w:noProof/>
        <w:sz w:val="12"/>
        <w:szCs w:val="24"/>
        <w:lang w:val="fr-FR" w:eastAsia="zh-CN"/>
      </w:rPr>
      <w:t>mm_ba/adn_wp15_ac2_7</w:t>
    </w:r>
    <w:r>
      <w:rPr>
        <w:rFonts w:ascii="Arial" w:eastAsia="SimSun" w:hAnsi="Arial"/>
        <w:noProof/>
        <w:sz w:val="12"/>
        <w:szCs w:val="24"/>
        <w:lang w:val="fr-FR" w:eastAsia="zh-CN"/>
      </w:rPr>
      <w:t>2</w:t>
    </w:r>
    <w:r w:rsidRPr="003F2B10">
      <w:rPr>
        <w:rFonts w:ascii="Arial" w:eastAsia="SimSun" w:hAnsi="Arial"/>
        <w:noProof/>
        <w:sz w:val="12"/>
        <w:szCs w:val="24"/>
        <w:lang w:val="fr-FR" w:eastAsia="zh-CN"/>
      </w:rPr>
      <w:t>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C524" w14:textId="4666AD9F" w:rsidR="00BF61EB" w:rsidRPr="00A97454" w:rsidRDefault="00BF61EB" w:rsidP="00A97454">
    <w:pPr>
      <w:spacing w:line="240" w:lineRule="auto"/>
      <w:jc w:val="right"/>
      <w:rPr>
        <w:lang w:val="fr-FR"/>
      </w:rPr>
    </w:pPr>
    <w:r w:rsidRPr="003F2B10">
      <w:rPr>
        <w:rFonts w:ascii="Arial" w:eastAsia="SimSun" w:hAnsi="Arial"/>
        <w:noProof/>
        <w:sz w:val="12"/>
        <w:szCs w:val="24"/>
        <w:lang w:val="fr-FR" w:eastAsia="zh-CN"/>
      </w:rPr>
      <w:t>mm_ba/adn_wp15_ac2_7</w:t>
    </w:r>
    <w:r>
      <w:rPr>
        <w:rFonts w:ascii="Arial" w:eastAsia="SimSun" w:hAnsi="Arial"/>
        <w:noProof/>
        <w:sz w:val="12"/>
        <w:szCs w:val="24"/>
        <w:lang w:val="fr-FR" w:eastAsia="zh-CN"/>
      </w:rPr>
      <w:t>2</w:t>
    </w:r>
    <w:r w:rsidRPr="003F2B10">
      <w:rPr>
        <w:rFonts w:ascii="Arial" w:eastAsia="SimSun" w:hAnsi="Arial"/>
        <w:noProof/>
        <w:sz w:val="12"/>
        <w:szCs w:val="24"/>
        <w:lang w:val="fr-FR" w:eastAsia="zh-CN"/>
      </w:rPr>
      <w:t>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B4EE" w14:textId="2FA6F121" w:rsidR="00BF61EB" w:rsidRPr="00A97454" w:rsidRDefault="00BF61EB" w:rsidP="00A97454">
    <w:pPr>
      <w:spacing w:line="240" w:lineRule="auto"/>
      <w:jc w:val="right"/>
      <w:rPr>
        <w:b/>
        <w:bCs/>
        <w:sz w:val="18"/>
        <w:szCs w:val="18"/>
        <w:lang w:val="fr-FR"/>
      </w:rPr>
    </w:pPr>
    <w:r w:rsidRPr="003F2B10">
      <w:rPr>
        <w:rFonts w:ascii="Arial" w:eastAsia="SimSun" w:hAnsi="Arial"/>
        <w:noProof/>
        <w:sz w:val="12"/>
        <w:szCs w:val="24"/>
        <w:lang w:val="fr-FR" w:eastAsia="zh-CN"/>
      </w:rPr>
      <w:t>mm_ba/adn_wp15_ac2_7</w:t>
    </w:r>
    <w:r>
      <w:rPr>
        <w:rFonts w:ascii="Arial" w:eastAsia="SimSun" w:hAnsi="Arial"/>
        <w:noProof/>
        <w:sz w:val="12"/>
        <w:szCs w:val="24"/>
        <w:lang w:val="fr-FR" w:eastAsia="zh-CN"/>
      </w:rPr>
      <w:t>2</w:t>
    </w:r>
    <w:r w:rsidRPr="003F2B10">
      <w:rPr>
        <w:rFonts w:ascii="Arial" w:eastAsia="SimSun" w:hAnsi="Arial"/>
        <w:noProof/>
        <w:sz w:val="12"/>
        <w:szCs w:val="24"/>
        <w:lang w:val="fr-FR" w:eastAsia="zh-CN"/>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3C46F" w14:textId="77777777" w:rsidR="00BF61EB" w:rsidRPr="0034396E" w:rsidRDefault="00BF61EB" w:rsidP="0034396E">
      <w:pPr>
        <w:tabs>
          <w:tab w:val="right" w:pos="2155"/>
        </w:tabs>
        <w:spacing w:after="80" w:line="240" w:lineRule="auto"/>
        <w:ind w:left="680"/>
      </w:pPr>
      <w:r>
        <w:rPr>
          <w:u w:val="single"/>
        </w:rPr>
        <w:tab/>
      </w:r>
    </w:p>
  </w:footnote>
  <w:footnote w:type="continuationSeparator" w:id="0">
    <w:p w14:paraId="2E4D64EE" w14:textId="77777777" w:rsidR="00BF61EB" w:rsidRPr="0034396E" w:rsidRDefault="00BF61EB" w:rsidP="0034396E">
      <w:pPr>
        <w:tabs>
          <w:tab w:val="right" w:pos="2155"/>
        </w:tabs>
        <w:spacing w:after="80" w:line="240" w:lineRule="auto"/>
        <w:ind w:left="680"/>
      </w:pPr>
      <w:r>
        <w:rPr>
          <w:u w:val="single"/>
        </w:rPr>
        <w:tab/>
      </w:r>
    </w:p>
  </w:footnote>
  <w:footnote w:id="1">
    <w:p w14:paraId="0D0BCD21" w14:textId="6F95278D" w:rsidR="00BF61EB" w:rsidRPr="00210E25" w:rsidRDefault="00BF61EB" w:rsidP="003F2B10">
      <w:pPr>
        <w:pStyle w:val="FootnoteText"/>
        <w:rPr>
          <w:lang w:val="de-DE"/>
        </w:rPr>
      </w:pPr>
      <w:r>
        <w:tab/>
      </w:r>
      <w:r w:rsidRPr="00771B60">
        <w:rPr>
          <w:rStyle w:val="FootnoteReference"/>
        </w:rPr>
        <w:sym w:font="Symbol" w:char="F02A"/>
      </w:r>
      <w:r w:rsidRPr="00771B60">
        <w:rPr>
          <w:lang w:val="de-DE"/>
        </w:rPr>
        <w:t xml:space="preserve"> </w:t>
      </w:r>
      <w:r w:rsidRPr="00771B60">
        <w:rPr>
          <w:lang w:val="de-DE"/>
        </w:rPr>
        <w:tab/>
        <w:t>Von der UN-ECE in Englisch, Französisch und Russisch unter dem Aktenzeichen ECE/TRANS/WP.15/AC.2/72 verteilt.</w:t>
      </w:r>
    </w:p>
    <w:p w14:paraId="18C911BB" w14:textId="77777777" w:rsidR="00BF61EB" w:rsidRPr="00210E25" w:rsidRDefault="00BF61EB" w:rsidP="003F2B10">
      <w:pPr>
        <w:pStyle w:val="Footnote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99E8" w14:textId="6B39A501" w:rsidR="00BF61EB" w:rsidRPr="003F2B10" w:rsidRDefault="00BF61EB" w:rsidP="003F2B10">
    <w:pPr>
      <w:spacing w:line="240" w:lineRule="auto"/>
      <w:rPr>
        <w:rFonts w:ascii="Arial" w:hAnsi="Arial"/>
        <w:snapToGrid w:val="0"/>
        <w:sz w:val="16"/>
        <w:szCs w:val="16"/>
        <w:lang w:val="en-US" w:eastAsia="fr-FR"/>
      </w:rPr>
    </w:pPr>
    <w:r w:rsidRPr="003F2B10">
      <w:rPr>
        <w:rFonts w:ascii="Arial" w:hAnsi="Arial"/>
        <w:snapToGrid w:val="0"/>
        <w:sz w:val="16"/>
        <w:szCs w:val="16"/>
        <w:lang w:val="en-US" w:eastAsia="fr-FR"/>
      </w:rPr>
      <w:t>CCNR-ZKR/ADN/WP.15/AC.2/7</w:t>
    </w:r>
    <w:r>
      <w:rPr>
        <w:rFonts w:ascii="Arial" w:hAnsi="Arial"/>
        <w:snapToGrid w:val="0"/>
        <w:sz w:val="16"/>
        <w:szCs w:val="16"/>
        <w:lang w:val="en-US" w:eastAsia="fr-FR"/>
      </w:rPr>
      <w:t>2</w:t>
    </w:r>
  </w:p>
  <w:p w14:paraId="2C2B64D1" w14:textId="4D18E488" w:rsidR="00BF61EB" w:rsidRPr="00925F82" w:rsidRDefault="00BF61EB" w:rsidP="003F2B10">
    <w:pPr>
      <w:spacing w:line="240" w:lineRule="auto"/>
    </w:pPr>
    <w:proofErr w:type="spellStart"/>
    <w:r w:rsidRPr="003F2B10">
      <w:rPr>
        <w:rFonts w:ascii="Arial" w:eastAsia="SimSun" w:hAnsi="Arial"/>
        <w:snapToGrid w:val="0"/>
        <w:sz w:val="16"/>
        <w:szCs w:val="16"/>
        <w:lang w:eastAsia="fr-FR"/>
      </w:rPr>
      <w:t>Seite</w:t>
    </w:r>
    <w:proofErr w:type="spellEnd"/>
    <w:r w:rsidRPr="003F2B10">
      <w:rPr>
        <w:rFonts w:ascii="Arial" w:eastAsia="SimSun" w:hAnsi="Arial"/>
        <w:snapToGrid w:val="0"/>
        <w:sz w:val="16"/>
        <w:szCs w:val="16"/>
        <w:lang w:eastAsia="fr-FR"/>
      </w:rPr>
      <w:t xml:space="preserve"> </w:t>
    </w:r>
    <w:r w:rsidRPr="003F2B10">
      <w:rPr>
        <w:rFonts w:ascii="Arial" w:eastAsia="SimSun" w:hAnsi="Arial"/>
        <w:snapToGrid w:val="0"/>
        <w:sz w:val="16"/>
        <w:szCs w:val="16"/>
        <w:lang w:eastAsia="fr-FR"/>
      </w:rPr>
      <w:fldChar w:fldCharType="begin"/>
    </w:r>
    <w:r w:rsidRPr="003F2B10">
      <w:rPr>
        <w:rFonts w:ascii="Arial" w:eastAsia="SimSun" w:hAnsi="Arial"/>
        <w:snapToGrid w:val="0"/>
        <w:sz w:val="16"/>
        <w:szCs w:val="16"/>
        <w:lang w:eastAsia="fr-FR"/>
      </w:rPr>
      <w:instrText xml:space="preserve"> PAGE  \* MERGEFORMAT </w:instrText>
    </w:r>
    <w:r w:rsidRPr="003F2B10">
      <w:rPr>
        <w:rFonts w:ascii="Arial" w:eastAsia="SimSun" w:hAnsi="Arial"/>
        <w:snapToGrid w:val="0"/>
        <w:sz w:val="16"/>
        <w:szCs w:val="16"/>
        <w:lang w:eastAsia="fr-FR"/>
      </w:rPr>
      <w:fldChar w:fldCharType="separate"/>
    </w:r>
    <w:r>
      <w:rPr>
        <w:rFonts w:ascii="Arial" w:eastAsia="SimSun" w:hAnsi="Arial"/>
        <w:noProof/>
        <w:snapToGrid w:val="0"/>
        <w:sz w:val="16"/>
        <w:szCs w:val="16"/>
      </w:rPr>
      <w:t>6</w:t>
    </w:r>
    <w:r w:rsidRPr="003F2B10">
      <w:rPr>
        <w:rFonts w:ascii="Arial" w:eastAsia="SimSun"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6BD0" w14:textId="77777777" w:rsidR="00BF61EB" w:rsidRPr="003F2B10" w:rsidRDefault="00BF61EB" w:rsidP="003F2B10">
    <w:pPr>
      <w:spacing w:line="240" w:lineRule="auto"/>
      <w:jc w:val="right"/>
      <w:rPr>
        <w:rFonts w:ascii="Arial" w:hAnsi="Arial"/>
        <w:snapToGrid w:val="0"/>
        <w:sz w:val="16"/>
        <w:szCs w:val="16"/>
        <w:lang w:val="en-US" w:eastAsia="fr-FR"/>
      </w:rPr>
    </w:pPr>
    <w:r w:rsidRPr="003F2B10">
      <w:rPr>
        <w:rFonts w:ascii="Arial" w:hAnsi="Arial"/>
        <w:snapToGrid w:val="0"/>
        <w:sz w:val="16"/>
        <w:szCs w:val="16"/>
        <w:lang w:val="en-US" w:eastAsia="fr-FR"/>
      </w:rPr>
      <w:t>CCNR-ZKR/ADN/WP.15/AC.2/7</w:t>
    </w:r>
    <w:r>
      <w:rPr>
        <w:rFonts w:ascii="Arial" w:hAnsi="Arial"/>
        <w:snapToGrid w:val="0"/>
        <w:sz w:val="16"/>
        <w:szCs w:val="16"/>
        <w:lang w:val="en-US" w:eastAsia="fr-FR"/>
      </w:rPr>
      <w:t>2</w:t>
    </w:r>
  </w:p>
  <w:p w14:paraId="64834E36" w14:textId="218326DE" w:rsidR="00BF61EB" w:rsidRDefault="00BF61EB" w:rsidP="003F2B10">
    <w:pPr>
      <w:spacing w:line="240" w:lineRule="auto"/>
      <w:jc w:val="right"/>
    </w:pPr>
    <w:proofErr w:type="spellStart"/>
    <w:r w:rsidRPr="003F2B10">
      <w:rPr>
        <w:rFonts w:ascii="Arial" w:eastAsia="SimSun" w:hAnsi="Arial"/>
        <w:snapToGrid w:val="0"/>
        <w:sz w:val="16"/>
        <w:szCs w:val="16"/>
        <w:lang w:eastAsia="fr-FR"/>
      </w:rPr>
      <w:t>Seite</w:t>
    </w:r>
    <w:proofErr w:type="spellEnd"/>
    <w:r w:rsidRPr="003F2B10">
      <w:rPr>
        <w:rFonts w:ascii="Arial" w:eastAsia="SimSun" w:hAnsi="Arial"/>
        <w:snapToGrid w:val="0"/>
        <w:sz w:val="16"/>
        <w:szCs w:val="16"/>
        <w:lang w:eastAsia="fr-FR"/>
      </w:rPr>
      <w:t xml:space="preserve"> </w:t>
    </w:r>
    <w:r w:rsidRPr="003F2B10">
      <w:rPr>
        <w:rFonts w:ascii="Arial" w:eastAsia="SimSun" w:hAnsi="Arial"/>
        <w:snapToGrid w:val="0"/>
        <w:sz w:val="16"/>
        <w:szCs w:val="16"/>
        <w:lang w:eastAsia="fr-FR"/>
      </w:rPr>
      <w:fldChar w:fldCharType="begin"/>
    </w:r>
    <w:r w:rsidRPr="003F2B10">
      <w:rPr>
        <w:rFonts w:ascii="Arial" w:eastAsia="SimSun" w:hAnsi="Arial"/>
        <w:snapToGrid w:val="0"/>
        <w:sz w:val="16"/>
        <w:szCs w:val="16"/>
        <w:lang w:eastAsia="fr-FR"/>
      </w:rPr>
      <w:instrText xml:space="preserve"> PAGE  \* MERGEFORMAT </w:instrText>
    </w:r>
    <w:r w:rsidRPr="003F2B10">
      <w:rPr>
        <w:rFonts w:ascii="Arial" w:eastAsia="SimSun" w:hAnsi="Arial"/>
        <w:snapToGrid w:val="0"/>
        <w:sz w:val="16"/>
        <w:szCs w:val="16"/>
        <w:lang w:eastAsia="fr-FR"/>
      </w:rPr>
      <w:fldChar w:fldCharType="separate"/>
    </w:r>
    <w:r>
      <w:rPr>
        <w:rFonts w:ascii="Arial" w:eastAsia="SimSun" w:hAnsi="Arial"/>
        <w:noProof/>
        <w:snapToGrid w:val="0"/>
        <w:sz w:val="16"/>
        <w:szCs w:val="16"/>
        <w:lang w:eastAsia="fr-FR"/>
      </w:rPr>
      <w:t>7</w:t>
    </w:r>
    <w:r w:rsidRPr="003F2B10">
      <w:rPr>
        <w:rFonts w:ascii="Arial" w:eastAsia="SimSun" w:hAnsi="Arial"/>
        <w:snapToGrid w:val="0"/>
        <w:sz w:val="16"/>
        <w:szCs w:val="16"/>
        <w:lang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2B30" w14:textId="77777777" w:rsidR="00BF61EB" w:rsidRPr="003F2B10" w:rsidRDefault="00BF61EB" w:rsidP="003F2B10">
    <w:pPr>
      <w:spacing w:line="240" w:lineRule="auto"/>
      <w:rPr>
        <w:rFonts w:ascii="Arial" w:hAnsi="Arial"/>
        <w:snapToGrid w:val="0"/>
        <w:sz w:val="16"/>
        <w:szCs w:val="16"/>
        <w:lang w:val="en-US" w:eastAsia="fr-FR"/>
      </w:rPr>
    </w:pPr>
    <w:r w:rsidRPr="003F2B10">
      <w:rPr>
        <w:rFonts w:ascii="Arial" w:hAnsi="Arial"/>
        <w:snapToGrid w:val="0"/>
        <w:sz w:val="16"/>
        <w:szCs w:val="16"/>
        <w:lang w:val="en-US" w:eastAsia="fr-FR"/>
      </w:rPr>
      <w:t>CCNR-ZKR/ADN/WP.15/AC.2/7</w:t>
    </w:r>
    <w:r>
      <w:rPr>
        <w:rFonts w:ascii="Arial" w:hAnsi="Arial"/>
        <w:snapToGrid w:val="0"/>
        <w:sz w:val="16"/>
        <w:szCs w:val="16"/>
        <w:lang w:val="en-US" w:eastAsia="fr-FR"/>
      </w:rPr>
      <w:t>2</w:t>
    </w:r>
  </w:p>
  <w:p w14:paraId="292CFFDB" w14:textId="008F3EEF" w:rsidR="00BF61EB" w:rsidRPr="00CB00D6" w:rsidRDefault="00BF61EB" w:rsidP="003F2B10">
    <w:pPr>
      <w:spacing w:line="240" w:lineRule="auto"/>
    </w:pPr>
    <w:proofErr w:type="spellStart"/>
    <w:r w:rsidRPr="003F2B10">
      <w:rPr>
        <w:rFonts w:ascii="Arial" w:eastAsia="SimSun" w:hAnsi="Arial"/>
        <w:snapToGrid w:val="0"/>
        <w:sz w:val="16"/>
        <w:szCs w:val="16"/>
        <w:lang w:eastAsia="fr-FR"/>
      </w:rPr>
      <w:t>Seite</w:t>
    </w:r>
    <w:proofErr w:type="spellEnd"/>
    <w:r w:rsidRPr="003F2B10">
      <w:rPr>
        <w:rFonts w:ascii="Arial" w:eastAsia="SimSun" w:hAnsi="Arial"/>
        <w:snapToGrid w:val="0"/>
        <w:sz w:val="16"/>
        <w:szCs w:val="16"/>
        <w:lang w:eastAsia="fr-FR"/>
      </w:rPr>
      <w:t xml:space="preserve"> </w:t>
    </w:r>
    <w:r w:rsidRPr="003F2B10">
      <w:rPr>
        <w:rFonts w:ascii="Arial" w:eastAsia="SimSun" w:hAnsi="Arial"/>
        <w:snapToGrid w:val="0"/>
        <w:sz w:val="16"/>
        <w:szCs w:val="16"/>
        <w:lang w:eastAsia="fr-FR"/>
      </w:rPr>
      <w:fldChar w:fldCharType="begin"/>
    </w:r>
    <w:r w:rsidRPr="003F2B10">
      <w:rPr>
        <w:rFonts w:ascii="Arial" w:eastAsia="SimSun" w:hAnsi="Arial"/>
        <w:snapToGrid w:val="0"/>
        <w:sz w:val="16"/>
        <w:szCs w:val="16"/>
        <w:lang w:eastAsia="fr-FR"/>
      </w:rPr>
      <w:instrText xml:space="preserve"> PAGE  \* MERGEFORMAT </w:instrText>
    </w:r>
    <w:r w:rsidRPr="003F2B10">
      <w:rPr>
        <w:rFonts w:ascii="Arial" w:eastAsia="SimSun" w:hAnsi="Arial"/>
        <w:snapToGrid w:val="0"/>
        <w:sz w:val="16"/>
        <w:szCs w:val="16"/>
        <w:lang w:eastAsia="fr-FR"/>
      </w:rPr>
      <w:fldChar w:fldCharType="separate"/>
    </w:r>
    <w:r>
      <w:rPr>
        <w:rFonts w:ascii="Arial" w:eastAsia="SimSun" w:hAnsi="Arial"/>
        <w:noProof/>
        <w:snapToGrid w:val="0"/>
        <w:sz w:val="16"/>
        <w:szCs w:val="16"/>
        <w:lang w:eastAsia="fr-FR"/>
      </w:rPr>
      <w:t>22</w:t>
    </w:r>
    <w:r w:rsidRPr="003F2B10">
      <w:rPr>
        <w:rFonts w:ascii="Arial" w:eastAsia="SimSun" w:hAnsi="Arial"/>
        <w:snapToGrid w:val="0"/>
        <w:sz w:val="16"/>
        <w:szCs w:val="16"/>
        <w:lang w:eastAsia="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4B0C" w14:textId="77777777" w:rsidR="00BF61EB" w:rsidRPr="003F2B10" w:rsidRDefault="00BF61EB" w:rsidP="003F2B10">
    <w:pPr>
      <w:spacing w:line="240" w:lineRule="auto"/>
      <w:jc w:val="right"/>
      <w:rPr>
        <w:rFonts w:ascii="Arial" w:hAnsi="Arial"/>
        <w:snapToGrid w:val="0"/>
        <w:sz w:val="16"/>
        <w:szCs w:val="16"/>
        <w:lang w:val="en-US" w:eastAsia="fr-FR"/>
      </w:rPr>
    </w:pPr>
    <w:r w:rsidRPr="003F2B10">
      <w:rPr>
        <w:rFonts w:ascii="Arial" w:hAnsi="Arial"/>
        <w:snapToGrid w:val="0"/>
        <w:sz w:val="16"/>
        <w:szCs w:val="16"/>
        <w:lang w:val="en-US" w:eastAsia="fr-FR"/>
      </w:rPr>
      <w:t>CCNR-ZKR/ADN/WP.15/AC.2/7</w:t>
    </w:r>
    <w:r>
      <w:rPr>
        <w:rFonts w:ascii="Arial" w:hAnsi="Arial"/>
        <w:snapToGrid w:val="0"/>
        <w:sz w:val="16"/>
        <w:szCs w:val="16"/>
        <w:lang w:val="en-US" w:eastAsia="fr-FR"/>
      </w:rPr>
      <w:t>2</w:t>
    </w:r>
  </w:p>
  <w:p w14:paraId="0DC6A696" w14:textId="47A78169" w:rsidR="00BF61EB" w:rsidRPr="00CB00D6" w:rsidRDefault="00BF61EB" w:rsidP="003F2B10">
    <w:pPr>
      <w:spacing w:line="240" w:lineRule="auto"/>
      <w:jc w:val="right"/>
    </w:pPr>
    <w:proofErr w:type="spellStart"/>
    <w:r w:rsidRPr="003F2B10">
      <w:rPr>
        <w:rFonts w:ascii="Arial" w:eastAsia="SimSun" w:hAnsi="Arial"/>
        <w:snapToGrid w:val="0"/>
        <w:sz w:val="16"/>
        <w:szCs w:val="16"/>
        <w:lang w:eastAsia="fr-FR"/>
      </w:rPr>
      <w:t>Seite</w:t>
    </w:r>
    <w:proofErr w:type="spellEnd"/>
    <w:r w:rsidRPr="003F2B10">
      <w:rPr>
        <w:rFonts w:ascii="Arial" w:eastAsia="SimSun" w:hAnsi="Arial"/>
        <w:snapToGrid w:val="0"/>
        <w:sz w:val="16"/>
        <w:szCs w:val="16"/>
        <w:lang w:eastAsia="fr-FR"/>
      </w:rPr>
      <w:t xml:space="preserve"> </w:t>
    </w:r>
    <w:r w:rsidRPr="003F2B10">
      <w:rPr>
        <w:rFonts w:ascii="Arial" w:eastAsia="SimSun" w:hAnsi="Arial"/>
        <w:snapToGrid w:val="0"/>
        <w:sz w:val="16"/>
        <w:szCs w:val="16"/>
        <w:lang w:eastAsia="fr-FR"/>
      </w:rPr>
      <w:fldChar w:fldCharType="begin"/>
    </w:r>
    <w:r w:rsidRPr="003F2B10">
      <w:rPr>
        <w:rFonts w:ascii="Arial" w:eastAsia="SimSun" w:hAnsi="Arial"/>
        <w:snapToGrid w:val="0"/>
        <w:sz w:val="16"/>
        <w:szCs w:val="16"/>
        <w:lang w:eastAsia="fr-FR"/>
      </w:rPr>
      <w:instrText xml:space="preserve"> PAGE  \* MERGEFORMAT </w:instrText>
    </w:r>
    <w:r w:rsidRPr="003F2B10">
      <w:rPr>
        <w:rFonts w:ascii="Arial" w:eastAsia="SimSun" w:hAnsi="Arial"/>
        <w:snapToGrid w:val="0"/>
        <w:sz w:val="16"/>
        <w:szCs w:val="16"/>
        <w:lang w:eastAsia="fr-FR"/>
      </w:rPr>
      <w:fldChar w:fldCharType="separate"/>
    </w:r>
    <w:r>
      <w:rPr>
        <w:rFonts w:ascii="Arial" w:eastAsia="SimSun" w:hAnsi="Arial"/>
        <w:noProof/>
        <w:snapToGrid w:val="0"/>
        <w:sz w:val="16"/>
        <w:szCs w:val="16"/>
        <w:lang w:eastAsia="fr-FR"/>
      </w:rPr>
      <w:t>23</w:t>
    </w:r>
    <w:r w:rsidRPr="003F2B10">
      <w:rPr>
        <w:rFonts w:ascii="Arial" w:eastAsia="SimSun" w:hAnsi="Arial"/>
        <w:snapToGrid w:val="0"/>
        <w:sz w:val="16"/>
        <w:szCs w:val="16"/>
        <w:lang w:eastAsia="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A41A" w14:textId="77777777" w:rsidR="00BF61EB" w:rsidRPr="003F2B10" w:rsidRDefault="00BF61EB" w:rsidP="003F2B10">
    <w:pPr>
      <w:spacing w:line="240" w:lineRule="auto"/>
      <w:rPr>
        <w:rFonts w:ascii="Arial" w:hAnsi="Arial"/>
        <w:snapToGrid w:val="0"/>
        <w:sz w:val="16"/>
        <w:szCs w:val="16"/>
        <w:lang w:val="en-US" w:eastAsia="fr-FR"/>
      </w:rPr>
    </w:pPr>
    <w:r w:rsidRPr="003F2B10">
      <w:rPr>
        <w:rFonts w:ascii="Arial" w:hAnsi="Arial"/>
        <w:snapToGrid w:val="0"/>
        <w:sz w:val="16"/>
        <w:szCs w:val="16"/>
        <w:lang w:val="en-US" w:eastAsia="fr-FR"/>
      </w:rPr>
      <w:t>CCNR-ZKR/ADN/WP.15/AC.2/7</w:t>
    </w:r>
    <w:r>
      <w:rPr>
        <w:rFonts w:ascii="Arial" w:hAnsi="Arial"/>
        <w:snapToGrid w:val="0"/>
        <w:sz w:val="16"/>
        <w:szCs w:val="16"/>
        <w:lang w:val="en-US" w:eastAsia="fr-FR"/>
      </w:rPr>
      <w:t>2</w:t>
    </w:r>
  </w:p>
  <w:p w14:paraId="4984F11A" w14:textId="021B33B1" w:rsidR="00BF61EB" w:rsidRDefault="00BF61EB" w:rsidP="003F2B10">
    <w:pPr>
      <w:spacing w:line="240" w:lineRule="auto"/>
    </w:pPr>
    <w:proofErr w:type="spellStart"/>
    <w:r w:rsidRPr="003F2B10">
      <w:rPr>
        <w:rFonts w:ascii="Arial" w:eastAsia="SimSun" w:hAnsi="Arial"/>
        <w:snapToGrid w:val="0"/>
        <w:sz w:val="16"/>
        <w:szCs w:val="16"/>
        <w:lang w:eastAsia="fr-FR"/>
      </w:rPr>
      <w:t>Seite</w:t>
    </w:r>
    <w:proofErr w:type="spellEnd"/>
    <w:r w:rsidRPr="003F2B10">
      <w:rPr>
        <w:rFonts w:ascii="Arial" w:eastAsia="SimSun" w:hAnsi="Arial"/>
        <w:snapToGrid w:val="0"/>
        <w:sz w:val="16"/>
        <w:szCs w:val="16"/>
        <w:lang w:eastAsia="fr-FR"/>
      </w:rPr>
      <w:t xml:space="preserve"> </w:t>
    </w:r>
    <w:r w:rsidRPr="003F2B10">
      <w:rPr>
        <w:rFonts w:ascii="Arial" w:eastAsia="SimSun" w:hAnsi="Arial"/>
        <w:snapToGrid w:val="0"/>
        <w:sz w:val="16"/>
        <w:szCs w:val="16"/>
        <w:lang w:eastAsia="fr-FR"/>
      </w:rPr>
      <w:fldChar w:fldCharType="begin"/>
    </w:r>
    <w:r w:rsidRPr="003F2B10">
      <w:rPr>
        <w:rFonts w:ascii="Arial" w:eastAsia="SimSun" w:hAnsi="Arial"/>
        <w:snapToGrid w:val="0"/>
        <w:sz w:val="16"/>
        <w:szCs w:val="16"/>
        <w:lang w:eastAsia="fr-FR"/>
      </w:rPr>
      <w:instrText xml:space="preserve"> PAGE  \* MERGEFORMAT </w:instrText>
    </w:r>
    <w:r w:rsidRPr="003F2B10">
      <w:rPr>
        <w:rFonts w:ascii="Arial" w:eastAsia="SimSun" w:hAnsi="Arial"/>
        <w:snapToGrid w:val="0"/>
        <w:sz w:val="16"/>
        <w:szCs w:val="16"/>
        <w:lang w:eastAsia="fr-FR"/>
      </w:rPr>
      <w:fldChar w:fldCharType="separate"/>
    </w:r>
    <w:r>
      <w:rPr>
        <w:rFonts w:ascii="Arial" w:eastAsia="SimSun" w:hAnsi="Arial"/>
        <w:noProof/>
        <w:snapToGrid w:val="0"/>
        <w:sz w:val="16"/>
        <w:szCs w:val="16"/>
        <w:lang w:eastAsia="fr-FR"/>
      </w:rPr>
      <w:t>26</w:t>
    </w:r>
    <w:r w:rsidRPr="003F2B10">
      <w:rPr>
        <w:rFonts w:ascii="Arial" w:eastAsia="SimSun" w:hAnsi="Arial"/>
        <w:snapToGrid w:val="0"/>
        <w:sz w:val="16"/>
        <w:szCs w:val="16"/>
        <w:lang w:eastAsia="fr-F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457B" w14:textId="77777777" w:rsidR="00BF61EB" w:rsidRPr="003F2B10" w:rsidRDefault="00BF61EB" w:rsidP="003F2B10">
    <w:pPr>
      <w:spacing w:line="240" w:lineRule="auto"/>
      <w:jc w:val="right"/>
      <w:rPr>
        <w:rFonts w:ascii="Arial" w:hAnsi="Arial"/>
        <w:snapToGrid w:val="0"/>
        <w:sz w:val="16"/>
        <w:szCs w:val="16"/>
        <w:lang w:val="en-US" w:eastAsia="fr-FR"/>
      </w:rPr>
    </w:pPr>
    <w:r w:rsidRPr="003F2B10">
      <w:rPr>
        <w:rFonts w:ascii="Arial" w:hAnsi="Arial"/>
        <w:snapToGrid w:val="0"/>
        <w:sz w:val="16"/>
        <w:szCs w:val="16"/>
        <w:lang w:val="en-US" w:eastAsia="fr-FR"/>
      </w:rPr>
      <w:t>CCNR-ZKR/ADN/WP.15/AC.2/7</w:t>
    </w:r>
    <w:r>
      <w:rPr>
        <w:rFonts w:ascii="Arial" w:hAnsi="Arial"/>
        <w:snapToGrid w:val="0"/>
        <w:sz w:val="16"/>
        <w:szCs w:val="16"/>
        <w:lang w:val="en-US" w:eastAsia="fr-FR"/>
      </w:rPr>
      <w:t>2</w:t>
    </w:r>
  </w:p>
  <w:p w14:paraId="3B6751FE" w14:textId="6B2BE66D" w:rsidR="00BF61EB" w:rsidRDefault="00BF61EB" w:rsidP="003F2B10">
    <w:pPr>
      <w:spacing w:line="240" w:lineRule="auto"/>
      <w:jc w:val="right"/>
    </w:pPr>
    <w:proofErr w:type="spellStart"/>
    <w:r w:rsidRPr="003F2B10">
      <w:rPr>
        <w:rFonts w:ascii="Arial" w:eastAsia="SimSun" w:hAnsi="Arial"/>
        <w:snapToGrid w:val="0"/>
        <w:sz w:val="16"/>
        <w:szCs w:val="16"/>
        <w:lang w:eastAsia="fr-FR"/>
      </w:rPr>
      <w:t>Seite</w:t>
    </w:r>
    <w:proofErr w:type="spellEnd"/>
    <w:r w:rsidRPr="003F2B10">
      <w:rPr>
        <w:rFonts w:ascii="Arial" w:eastAsia="SimSun" w:hAnsi="Arial"/>
        <w:snapToGrid w:val="0"/>
        <w:sz w:val="16"/>
        <w:szCs w:val="16"/>
        <w:lang w:eastAsia="fr-FR"/>
      </w:rPr>
      <w:t xml:space="preserve"> </w:t>
    </w:r>
    <w:r w:rsidRPr="003F2B10">
      <w:rPr>
        <w:rFonts w:ascii="Arial" w:eastAsia="SimSun" w:hAnsi="Arial"/>
        <w:snapToGrid w:val="0"/>
        <w:sz w:val="16"/>
        <w:szCs w:val="16"/>
        <w:lang w:eastAsia="fr-FR"/>
      </w:rPr>
      <w:fldChar w:fldCharType="begin"/>
    </w:r>
    <w:r w:rsidRPr="003F2B10">
      <w:rPr>
        <w:rFonts w:ascii="Arial" w:eastAsia="SimSun" w:hAnsi="Arial"/>
        <w:snapToGrid w:val="0"/>
        <w:sz w:val="16"/>
        <w:szCs w:val="16"/>
        <w:lang w:eastAsia="fr-FR"/>
      </w:rPr>
      <w:instrText xml:space="preserve"> PAGE  \* MERGEFORMAT </w:instrText>
    </w:r>
    <w:r w:rsidRPr="003F2B10">
      <w:rPr>
        <w:rFonts w:ascii="Arial" w:eastAsia="SimSun" w:hAnsi="Arial"/>
        <w:snapToGrid w:val="0"/>
        <w:sz w:val="16"/>
        <w:szCs w:val="16"/>
        <w:lang w:eastAsia="fr-FR"/>
      </w:rPr>
      <w:fldChar w:fldCharType="separate"/>
    </w:r>
    <w:r>
      <w:rPr>
        <w:rFonts w:ascii="Arial" w:eastAsia="SimSun" w:hAnsi="Arial"/>
        <w:noProof/>
        <w:snapToGrid w:val="0"/>
        <w:sz w:val="16"/>
        <w:szCs w:val="16"/>
        <w:lang w:eastAsia="fr-FR"/>
      </w:rPr>
      <w:t>25</w:t>
    </w:r>
    <w:r w:rsidRPr="003F2B10">
      <w:rPr>
        <w:rFonts w:ascii="Arial" w:eastAsia="SimSun" w:hAnsi="Arial"/>
        <w:snapToGrid w:val="0"/>
        <w:sz w:val="16"/>
        <w:szCs w:val="16"/>
        <w:lang w:eastAsia="fr-F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0B618" w14:textId="77777777" w:rsidR="00BF61EB" w:rsidRPr="003F2B10" w:rsidRDefault="00BF61EB" w:rsidP="003F2B10">
    <w:pPr>
      <w:spacing w:line="240" w:lineRule="auto"/>
      <w:rPr>
        <w:rFonts w:ascii="Arial" w:hAnsi="Arial"/>
        <w:snapToGrid w:val="0"/>
        <w:sz w:val="16"/>
        <w:szCs w:val="16"/>
        <w:lang w:val="en-US" w:eastAsia="fr-FR"/>
      </w:rPr>
    </w:pPr>
    <w:r w:rsidRPr="003F2B10">
      <w:rPr>
        <w:rFonts w:ascii="Arial" w:hAnsi="Arial"/>
        <w:snapToGrid w:val="0"/>
        <w:sz w:val="16"/>
        <w:szCs w:val="16"/>
        <w:lang w:val="en-US" w:eastAsia="fr-FR"/>
      </w:rPr>
      <w:t>CCNR-ZKR/ADN/WP.15/AC.2/7</w:t>
    </w:r>
    <w:r>
      <w:rPr>
        <w:rFonts w:ascii="Arial" w:hAnsi="Arial"/>
        <w:snapToGrid w:val="0"/>
        <w:sz w:val="16"/>
        <w:szCs w:val="16"/>
        <w:lang w:val="en-US" w:eastAsia="fr-FR"/>
      </w:rPr>
      <w:t>2</w:t>
    </w:r>
  </w:p>
  <w:p w14:paraId="4C89F912" w14:textId="01560083" w:rsidR="00BF61EB" w:rsidRPr="00925F82" w:rsidRDefault="00BF61EB" w:rsidP="003F2B10">
    <w:pPr>
      <w:spacing w:line="240" w:lineRule="auto"/>
    </w:pPr>
    <w:proofErr w:type="spellStart"/>
    <w:r w:rsidRPr="003F2B10">
      <w:rPr>
        <w:rFonts w:ascii="Arial" w:eastAsia="SimSun" w:hAnsi="Arial"/>
        <w:snapToGrid w:val="0"/>
        <w:sz w:val="16"/>
        <w:szCs w:val="16"/>
        <w:lang w:eastAsia="fr-FR"/>
      </w:rPr>
      <w:t>Seite</w:t>
    </w:r>
    <w:proofErr w:type="spellEnd"/>
    <w:r w:rsidRPr="003F2B10">
      <w:rPr>
        <w:rFonts w:ascii="Arial" w:eastAsia="SimSun" w:hAnsi="Arial"/>
        <w:snapToGrid w:val="0"/>
        <w:sz w:val="16"/>
        <w:szCs w:val="16"/>
        <w:lang w:eastAsia="fr-FR"/>
      </w:rPr>
      <w:t xml:space="preserve"> </w:t>
    </w:r>
    <w:r w:rsidRPr="003F2B10">
      <w:rPr>
        <w:rFonts w:ascii="Arial" w:eastAsia="SimSun" w:hAnsi="Arial"/>
        <w:snapToGrid w:val="0"/>
        <w:sz w:val="16"/>
        <w:szCs w:val="16"/>
        <w:lang w:eastAsia="fr-FR"/>
      </w:rPr>
      <w:fldChar w:fldCharType="begin"/>
    </w:r>
    <w:r w:rsidRPr="003F2B10">
      <w:rPr>
        <w:rFonts w:ascii="Arial" w:eastAsia="SimSun" w:hAnsi="Arial"/>
        <w:snapToGrid w:val="0"/>
        <w:sz w:val="16"/>
        <w:szCs w:val="16"/>
        <w:lang w:eastAsia="fr-FR"/>
      </w:rPr>
      <w:instrText xml:space="preserve"> PAGE  \* MERGEFORMAT </w:instrText>
    </w:r>
    <w:r w:rsidRPr="003F2B10">
      <w:rPr>
        <w:rFonts w:ascii="Arial" w:eastAsia="SimSun" w:hAnsi="Arial"/>
        <w:snapToGrid w:val="0"/>
        <w:sz w:val="16"/>
        <w:szCs w:val="16"/>
        <w:lang w:eastAsia="fr-FR"/>
      </w:rPr>
      <w:fldChar w:fldCharType="separate"/>
    </w:r>
    <w:r>
      <w:rPr>
        <w:rFonts w:ascii="Arial" w:eastAsia="SimSun" w:hAnsi="Arial"/>
        <w:noProof/>
        <w:snapToGrid w:val="0"/>
        <w:sz w:val="16"/>
        <w:szCs w:val="16"/>
        <w:lang w:eastAsia="fr-FR"/>
      </w:rPr>
      <w:t>24</w:t>
    </w:r>
    <w:r w:rsidRPr="003F2B10">
      <w:rPr>
        <w:rFonts w:ascii="Arial" w:eastAsia="SimSun"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F5B99"/>
    <w:multiLevelType w:val="hybridMultilevel"/>
    <w:tmpl w:val="98768E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C627696"/>
    <w:multiLevelType w:val="hybridMultilevel"/>
    <w:tmpl w:val="AEAED9D0"/>
    <w:lvl w:ilvl="0" w:tplc="853CBB36">
      <w:start w:val="300"/>
      <w:numFmt w:val="bullet"/>
      <w:lvlText w:val="-"/>
      <w:lvlJc w:val="left"/>
      <w:pPr>
        <w:ind w:left="3195" w:hanging="360"/>
      </w:pPr>
      <w:rPr>
        <w:rFonts w:ascii="Verdana" w:eastAsia="Arial Unicode MS" w:hAnsi="Verdana" w:cs="Arial Unicode MS" w:hint="default"/>
        <w:color w:val="000000"/>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163"/>
        </w:tabs>
        <w:ind w:left="1163"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263FEA"/>
    <w:multiLevelType w:val="hybridMultilevel"/>
    <w:tmpl w:val="70BE9A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43183F66"/>
    <w:multiLevelType w:val="hybridMultilevel"/>
    <w:tmpl w:val="EC52B1B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15:restartNumberingAfterBreak="0">
    <w:nsid w:val="4A031F10"/>
    <w:multiLevelType w:val="hybridMultilevel"/>
    <w:tmpl w:val="A86CC1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1B30BE6"/>
    <w:multiLevelType w:val="hybridMultilevel"/>
    <w:tmpl w:val="05A03926"/>
    <w:lvl w:ilvl="0" w:tplc="54D2590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2"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5B8C6214"/>
    <w:multiLevelType w:val="hybridMultilevel"/>
    <w:tmpl w:val="EEAAA498"/>
    <w:lvl w:ilvl="0" w:tplc="A3160BFA">
      <w:start w:val="1"/>
      <w:numFmt w:val="decimal"/>
      <w:lvlText w:val="%1."/>
      <w:lvlJc w:val="left"/>
      <w:pPr>
        <w:ind w:left="1140" w:hanging="43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D6AE4"/>
    <w:multiLevelType w:val="hybridMultilevel"/>
    <w:tmpl w:val="A48405EC"/>
    <w:lvl w:ilvl="0" w:tplc="F4E6D6D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8"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F940D4"/>
    <w:multiLevelType w:val="hybridMultilevel"/>
    <w:tmpl w:val="9188B5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7"/>
  </w:num>
  <w:num w:numId="2">
    <w:abstractNumId w:val="4"/>
  </w:num>
  <w:num w:numId="3">
    <w:abstractNumId w:val="1"/>
  </w:num>
  <w:num w:numId="4">
    <w:abstractNumId w:val="14"/>
  </w:num>
  <w:num w:numId="5">
    <w:abstractNumId w:val="15"/>
  </w:num>
  <w:num w:numId="6">
    <w:abstractNumId w:val="19"/>
  </w:num>
  <w:num w:numId="7">
    <w:abstractNumId w:val="2"/>
  </w:num>
  <w:num w:numId="8">
    <w:abstractNumId w:val="18"/>
  </w:num>
  <w:num w:numId="9">
    <w:abstractNumId w:val="12"/>
  </w:num>
  <w:num w:numId="10">
    <w:abstractNumId w:val="11"/>
  </w:num>
  <w:num w:numId="11">
    <w:abstractNumId w:val="17"/>
  </w:num>
  <w:num w:numId="12">
    <w:abstractNumId w:val="0"/>
  </w:num>
  <w:num w:numId="13">
    <w:abstractNumId w:val="21"/>
  </w:num>
  <w:num w:numId="14">
    <w:abstractNumId w:val="9"/>
  </w:num>
  <w:num w:numId="15">
    <w:abstractNumId w:val="5"/>
  </w:num>
  <w:num w:numId="16">
    <w:abstractNumId w:val="20"/>
  </w:num>
  <w:num w:numId="17">
    <w:abstractNumId w:val="8"/>
  </w:num>
  <w:num w:numId="18">
    <w:abstractNumId w:val="10"/>
  </w:num>
  <w:num w:numId="19">
    <w:abstractNumId w:val="16"/>
  </w:num>
  <w:num w:numId="20">
    <w:abstractNumId w:val="3"/>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3686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2"/>
    <w:docVar w:name="WfID" w:val="8CD82624"/>
    <w:docVar w:name="WfLastSegment" w:val="14476 DCC=0 DSG=0"/>
    <w:docVar w:name="WfProtection" w:val="1"/>
    <w:docVar w:name="WfSegPar" w:val="10000 -1 0 0 6 0 0 0"/>
    <w:docVar w:name="WfSetup" w:val="C:\users\b.achhammer\appdata\roaming\microsoft\word\startup\wordfast.ini"/>
    <w:docVar w:name="WfStyles" w:val=" 387WfIntNo,U:\AKTUELLER_ORDNER\ZKR_Übersetzungen\CCNR_ZKR_ADN_WP15_AC2_72de.docx, | ,,_ H __M_G,_ H _Ch_G,_ H_1_G,_ H_2/3_G,_ H_4_G,_ H_5/6_G,_ Single Txt_G,__S_L_G,__S_M_G,__S_S_G,__XLarge_G,_Bullet 1_G,_Bullet 2_G,_ParaNo._G,1 / 1.1 / 1.1.1,1 / a / i,Absatz-Standardschriftart,Buchtitel,Endnotentext;2_G,Endnotenzeichen;1_G,Fußnotentext;5_G,Fußnotenzeichen;4_G;Footnote Reference/,Fußzeile;3_G,Grille du tableau1,Hervorhebung,Hyperlink,Keine Liste,Kommentartext,Kommentarthema,Kommentarzeichen,Kopfzeile;6_G,Listenabsatz,Listennummer 5,Normale Tabelle,Seitenzahl;7_G,Sprechblasentext,Standard,Tabellenraster,Überschrift 1;Table_G,Überschrift 2,Überschrift 3,Überschrift 4,Überschrift 5,Überschrift 6,Überschrift 7,Überschrift 8,Überschrift 9,"/>
  </w:docVars>
  <w:rsids>
    <w:rsidRoot w:val="009131E7"/>
    <w:rsid w:val="00005A50"/>
    <w:rsid w:val="00006056"/>
    <w:rsid w:val="00010711"/>
    <w:rsid w:val="0001203F"/>
    <w:rsid w:val="000142C3"/>
    <w:rsid w:val="00023D07"/>
    <w:rsid w:val="000277A4"/>
    <w:rsid w:val="00032DAE"/>
    <w:rsid w:val="00034066"/>
    <w:rsid w:val="000361FA"/>
    <w:rsid w:val="000376C1"/>
    <w:rsid w:val="000428D5"/>
    <w:rsid w:val="00043216"/>
    <w:rsid w:val="000437BB"/>
    <w:rsid w:val="000455DD"/>
    <w:rsid w:val="00046475"/>
    <w:rsid w:val="00046E92"/>
    <w:rsid w:val="00047558"/>
    <w:rsid w:val="00050D03"/>
    <w:rsid w:val="00054E7B"/>
    <w:rsid w:val="0005586C"/>
    <w:rsid w:val="00060A9E"/>
    <w:rsid w:val="000667D1"/>
    <w:rsid w:val="00066874"/>
    <w:rsid w:val="00070D73"/>
    <w:rsid w:val="00071BBD"/>
    <w:rsid w:val="000739E7"/>
    <w:rsid w:val="0008303E"/>
    <w:rsid w:val="00085F4E"/>
    <w:rsid w:val="00093170"/>
    <w:rsid w:val="00095356"/>
    <w:rsid w:val="000966C9"/>
    <w:rsid w:val="000A5497"/>
    <w:rsid w:val="000A6B8E"/>
    <w:rsid w:val="000B351B"/>
    <w:rsid w:val="000B3EAA"/>
    <w:rsid w:val="000B54B2"/>
    <w:rsid w:val="000C0C89"/>
    <w:rsid w:val="000C1A6E"/>
    <w:rsid w:val="000C3150"/>
    <w:rsid w:val="000C64A8"/>
    <w:rsid w:val="000D0404"/>
    <w:rsid w:val="000D3664"/>
    <w:rsid w:val="000E06B9"/>
    <w:rsid w:val="000F0154"/>
    <w:rsid w:val="000F68D9"/>
    <w:rsid w:val="0012494D"/>
    <w:rsid w:val="00125144"/>
    <w:rsid w:val="001276BA"/>
    <w:rsid w:val="00135994"/>
    <w:rsid w:val="00140B88"/>
    <w:rsid w:val="00151FB2"/>
    <w:rsid w:val="00157DD4"/>
    <w:rsid w:val="00164392"/>
    <w:rsid w:val="00170A81"/>
    <w:rsid w:val="00173740"/>
    <w:rsid w:val="00181503"/>
    <w:rsid w:val="00182895"/>
    <w:rsid w:val="001834D3"/>
    <w:rsid w:val="00184552"/>
    <w:rsid w:val="00187EAE"/>
    <w:rsid w:val="001921B1"/>
    <w:rsid w:val="00192F2D"/>
    <w:rsid w:val="001A05AF"/>
    <w:rsid w:val="001A18AB"/>
    <w:rsid w:val="001A4D71"/>
    <w:rsid w:val="001B0109"/>
    <w:rsid w:val="001B1125"/>
    <w:rsid w:val="001B7304"/>
    <w:rsid w:val="001D2F62"/>
    <w:rsid w:val="001D499B"/>
    <w:rsid w:val="001E19FE"/>
    <w:rsid w:val="001E1A11"/>
    <w:rsid w:val="001E620D"/>
    <w:rsid w:val="001F2CBA"/>
    <w:rsid w:val="001F7D96"/>
    <w:rsid w:val="001F7F91"/>
    <w:rsid w:val="00202598"/>
    <w:rsid w:val="00202DDD"/>
    <w:rsid w:val="002035A0"/>
    <w:rsid w:val="00212F1B"/>
    <w:rsid w:val="002137A4"/>
    <w:rsid w:val="00221FD6"/>
    <w:rsid w:val="00224B6E"/>
    <w:rsid w:val="002275EB"/>
    <w:rsid w:val="002275F6"/>
    <w:rsid w:val="0023141A"/>
    <w:rsid w:val="002326CE"/>
    <w:rsid w:val="00233CBF"/>
    <w:rsid w:val="0023568B"/>
    <w:rsid w:val="00242E8C"/>
    <w:rsid w:val="002439E2"/>
    <w:rsid w:val="00247E2C"/>
    <w:rsid w:val="00250964"/>
    <w:rsid w:val="00267A31"/>
    <w:rsid w:val="00277277"/>
    <w:rsid w:val="00277323"/>
    <w:rsid w:val="00287D7E"/>
    <w:rsid w:val="002903F2"/>
    <w:rsid w:val="00293CE4"/>
    <w:rsid w:val="002963D8"/>
    <w:rsid w:val="002A0218"/>
    <w:rsid w:val="002A1557"/>
    <w:rsid w:val="002A23EF"/>
    <w:rsid w:val="002B000C"/>
    <w:rsid w:val="002B101D"/>
    <w:rsid w:val="002B3F94"/>
    <w:rsid w:val="002C03D0"/>
    <w:rsid w:val="002D646D"/>
    <w:rsid w:val="002D6C53"/>
    <w:rsid w:val="002E03E9"/>
    <w:rsid w:val="002E6888"/>
    <w:rsid w:val="002E7DE2"/>
    <w:rsid w:val="002F206D"/>
    <w:rsid w:val="002F2478"/>
    <w:rsid w:val="002F4DF3"/>
    <w:rsid w:val="002F5595"/>
    <w:rsid w:val="002F647A"/>
    <w:rsid w:val="002F7070"/>
    <w:rsid w:val="00304C40"/>
    <w:rsid w:val="0030552A"/>
    <w:rsid w:val="0030553E"/>
    <w:rsid w:val="00306D74"/>
    <w:rsid w:val="00311173"/>
    <w:rsid w:val="00317F0F"/>
    <w:rsid w:val="00323B9E"/>
    <w:rsid w:val="00331739"/>
    <w:rsid w:val="00332C9D"/>
    <w:rsid w:val="00334F6A"/>
    <w:rsid w:val="00336183"/>
    <w:rsid w:val="00342AC8"/>
    <w:rsid w:val="0034396E"/>
    <w:rsid w:val="0035170E"/>
    <w:rsid w:val="00355C45"/>
    <w:rsid w:val="00356566"/>
    <w:rsid w:val="00362A91"/>
    <w:rsid w:val="00374464"/>
    <w:rsid w:val="00380128"/>
    <w:rsid w:val="00387153"/>
    <w:rsid w:val="00395A73"/>
    <w:rsid w:val="003A0852"/>
    <w:rsid w:val="003A195D"/>
    <w:rsid w:val="003A3FE7"/>
    <w:rsid w:val="003A4B69"/>
    <w:rsid w:val="003A60C4"/>
    <w:rsid w:val="003B3044"/>
    <w:rsid w:val="003B4550"/>
    <w:rsid w:val="003C1EF7"/>
    <w:rsid w:val="003C3FED"/>
    <w:rsid w:val="003C4730"/>
    <w:rsid w:val="003D032F"/>
    <w:rsid w:val="003D1BA6"/>
    <w:rsid w:val="003D5F27"/>
    <w:rsid w:val="003E7111"/>
    <w:rsid w:val="003F084C"/>
    <w:rsid w:val="003F2B10"/>
    <w:rsid w:val="00401BC9"/>
    <w:rsid w:val="00403C82"/>
    <w:rsid w:val="00410BE8"/>
    <w:rsid w:val="0041307F"/>
    <w:rsid w:val="004132F8"/>
    <w:rsid w:val="00413571"/>
    <w:rsid w:val="004244CE"/>
    <w:rsid w:val="00426A65"/>
    <w:rsid w:val="004276C6"/>
    <w:rsid w:val="004377EA"/>
    <w:rsid w:val="00457F10"/>
    <w:rsid w:val="00460E5D"/>
    <w:rsid w:val="00461253"/>
    <w:rsid w:val="004648CD"/>
    <w:rsid w:val="00471C86"/>
    <w:rsid w:val="0047346C"/>
    <w:rsid w:val="004764CD"/>
    <w:rsid w:val="004849D2"/>
    <w:rsid w:val="00484CDB"/>
    <w:rsid w:val="004A5821"/>
    <w:rsid w:val="004A760A"/>
    <w:rsid w:val="004B216E"/>
    <w:rsid w:val="004B6F89"/>
    <w:rsid w:val="004D1157"/>
    <w:rsid w:val="004D5355"/>
    <w:rsid w:val="004E1929"/>
    <w:rsid w:val="004E1FD7"/>
    <w:rsid w:val="004E4C3D"/>
    <w:rsid w:val="004E6404"/>
    <w:rsid w:val="004E69E0"/>
    <w:rsid w:val="004E732D"/>
    <w:rsid w:val="004F2AF2"/>
    <w:rsid w:val="005042C2"/>
    <w:rsid w:val="005061CF"/>
    <w:rsid w:val="00511661"/>
    <w:rsid w:val="005145C5"/>
    <w:rsid w:val="00516C56"/>
    <w:rsid w:val="0052156C"/>
    <w:rsid w:val="00523E96"/>
    <w:rsid w:val="00527082"/>
    <w:rsid w:val="0053073B"/>
    <w:rsid w:val="00530871"/>
    <w:rsid w:val="005368E9"/>
    <w:rsid w:val="00537CA9"/>
    <w:rsid w:val="0054502D"/>
    <w:rsid w:val="00547566"/>
    <w:rsid w:val="00547B6C"/>
    <w:rsid w:val="00550315"/>
    <w:rsid w:val="00551F76"/>
    <w:rsid w:val="005533FB"/>
    <w:rsid w:val="005633E4"/>
    <w:rsid w:val="00563522"/>
    <w:rsid w:val="0057026E"/>
    <w:rsid w:val="00571298"/>
    <w:rsid w:val="00572342"/>
    <w:rsid w:val="0057379B"/>
    <w:rsid w:val="00583CF2"/>
    <w:rsid w:val="005955F6"/>
    <w:rsid w:val="005A006E"/>
    <w:rsid w:val="005A0614"/>
    <w:rsid w:val="005A3BA7"/>
    <w:rsid w:val="005A578E"/>
    <w:rsid w:val="005B13D4"/>
    <w:rsid w:val="005B737F"/>
    <w:rsid w:val="005C3E5B"/>
    <w:rsid w:val="005C753D"/>
    <w:rsid w:val="005C7A71"/>
    <w:rsid w:val="005C7D81"/>
    <w:rsid w:val="005D29C2"/>
    <w:rsid w:val="005D4986"/>
    <w:rsid w:val="005D68CC"/>
    <w:rsid w:val="005E6DA3"/>
    <w:rsid w:val="005F2767"/>
    <w:rsid w:val="005F372C"/>
    <w:rsid w:val="00601A56"/>
    <w:rsid w:val="00602F75"/>
    <w:rsid w:val="006074B7"/>
    <w:rsid w:val="00607744"/>
    <w:rsid w:val="0061597D"/>
    <w:rsid w:val="006229F2"/>
    <w:rsid w:val="00625F97"/>
    <w:rsid w:val="0063184A"/>
    <w:rsid w:val="00635D2B"/>
    <w:rsid w:val="00641475"/>
    <w:rsid w:val="00642F69"/>
    <w:rsid w:val="006452AB"/>
    <w:rsid w:val="0064612F"/>
    <w:rsid w:val="0064757C"/>
    <w:rsid w:val="006538C0"/>
    <w:rsid w:val="00653939"/>
    <w:rsid w:val="00656748"/>
    <w:rsid w:val="00660988"/>
    <w:rsid w:val="00660C26"/>
    <w:rsid w:val="006630BD"/>
    <w:rsid w:val="0066607E"/>
    <w:rsid w:val="00671529"/>
    <w:rsid w:val="006903EF"/>
    <w:rsid w:val="006920F6"/>
    <w:rsid w:val="006948C6"/>
    <w:rsid w:val="006B170E"/>
    <w:rsid w:val="006B587D"/>
    <w:rsid w:val="006B61DC"/>
    <w:rsid w:val="006C6962"/>
    <w:rsid w:val="006D4DA8"/>
    <w:rsid w:val="006D4EE8"/>
    <w:rsid w:val="006D723A"/>
    <w:rsid w:val="006E4AEB"/>
    <w:rsid w:val="006E79B2"/>
    <w:rsid w:val="006F27E1"/>
    <w:rsid w:val="00701559"/>
    <w:rsid w:val="007032AA"/>
    <w:rsid w:val="00704BDA"/>
    <w:rsid w:val="00717EF7"/>
    <w:rsid w:val="007225E9"/>
    <w:rsid w:val="007237F2"/>
    <w:rsid w:val="00724A2F"/>
    <w:rsid w:val="007268F9"/>
    <w:rsid w:val="00737BFD"/>
    <w:rsid w:val="007405C5"/>
    <w:rsid w:val="0074342A"/>
    <w:rsid w:val="00746981"/>
    <w:rsid w:val="00747C45"/>
    <w:rsid w:val="007540AC"/>
    <w:rsid w:val="0076134A"/>
    <w:rsid w:val="00767231"/>
    <w:rsid w:val="00771B60"/>
    <w:rsid w:val="00774E67"/>
    <w:rsid w:val="00775203"/>
    <w:rsid w:val="00776823"/>
    <w:rsid w:val="0078080C"/>
    <w:rsid w:val="007838C6"/>
    <w:rsid w:val="00785275"/>
    <w:rsid w:val="007859C6"/>
    <w:rsid w:val="00792F81"/>
    <w:rsid w:val="0079498A"/>
    <w:rsid w:val="007972E6"/>
    <w:rsid w:val="007A0B67"/>
    <w:rsid w:val="007A4AA8"/>
    <w:rsid w:val="007A6D17"/>
    <w:rsid w:val="007B0CBB"/>
    <w:rsid w:val="007B13FB"/>
    <w:rsid w:val="007B4D7D"/>
    <w:rsid w:val="007B65CD"/>
    <w:rsid w:val="007C0B43"/>
    <w:rsid w:val="007C51B5"/>
    <w:rsid w:val="007C52B0"/>
    <w:rsid w:val="007D6444"/>
    <w:rsid w:val="007D72EB"/>
    <w:rsid w:val="007E59F8"/>
    <w:rsid w:val="007F4DB7"/>
    <w:rsid w:val="007F5D6B"/>
    <w:rsid w:val="007F5E67"/>
    <w:rsid w:val="007F718A"/>
    <w:rsid w:val="0080079E"/>
    <w:rsid w:val="0080319B"/>
    <w:rsid w:val="008153B2"/>
    <w:rsid w:val="0081696F"/>
    <w:rsid w:val="00832DCC"/>
    <w:rsid w:val="00837CF2"/>
    <w:rsid w:val="008402D3"/>
    <w:rsid w:val="008426BF"/>
    <w:rsid w:val="00844004"/>
    <w:rsid w:val="0084497A"/>
    <w:rsid w:val="00851D0A"/>
    <w:rsid w:val="00860AFF"/>
    <w:rsid w:val="00861F5D"/>
    <w:rsid w:val="008628AB"/>
    <w:rsid w:val="0086584B"/>
    <w:rsid w:val="00871B0C"/>
    <w:rsid w:val="0087343E"/>
    <w:rsid w:val="00881607"/>
    <w:rsid w:val="00887098"/>
    <w:rsid w:val="00892034"/>
    <w:rsid w:val="008A0E52"/>
    <w:rsid w:val="008B4178"/>
    <w:rsid w:val="008B4C08"/>
    <w:rsid w:val="008C29B5"/>
    <w:rsid w:val="008C2CD1"/>
    <w:rsid w:val="008C78C3"/>
    <w:rsid w:val="008E0440"/>
    <w:rsid w:val="008E198E"/>
    <w:rsid w:val="008E3621"/>
    <w:rsid w:val="008E41CB"/>
    <w:rsid w:val="008E64C5"/>
    <w:rsid w:val="008E6B16"/>
    <w:rsid w:val="008F04A4"/>
    <w:rsid w:val="009011D9"/>
    <w:rsid w:val="00907ED1"/>
    <w:rsid w:val="00911724"/>
    <w:rsid w:val="009131E7"/>
    <w:rsid w:val="00914C83"/>
    <w:rsid w:val="0091514A"/>
    <w:rsid w:val="00917B35"/>
    <w:rsid w:val="0092314D"/>
    <w:rsid w:val="00925F82"/>
    <w:rsid w:val="009411B4"/>
    <w:rsid w:val="009475EF"/>
    <w:rsid w:val="00953260"/>
    <w:rsid w:val="009539AF"/>
    <w:rsid w:val="0095439A"/>
    <w:rsid w:val="00955B07"/>
    <w:rsid w:val="0095718D"/>
    <w:rsid w:val="009654F5"/>
    <w:rsid w:val="00965B0A"/>
    <w:rsid w:val="0096729D"/>
    <w:rsid w:val="009706B5"/>
    <w:rsid w:val="0097540B"/>
    <w:rsid w:val="00976CB7"/>
    <w:rsid w:val="009810A7"/>
    <w:rsid w:val="009839FD"/>
    <w:rsid w:val="009872BA"/>
    <w:rsid w:val="009935D9"/>
    <w:rsid w:val="009936E5"/>
    <w:rsid w:val="0099794C"/>
    <w:rsid w:val="009A33F2"/>
    <w:rsid w:val="009A4750"/>
    <w:rsid w:val="009A553E"/>
    <w:rsid w:val="009A6796"/>
    <w:rsid w:val="009A75CB"/>
    <w:rsid w:val="009B4296"/>
    <w:rsid w:val="009C4153"/>
    <w:rsid w:val="009D0139"/>
    <w:rsid w:val="009D053F"/>
    <w:rsid w:val="009D5CBC"/>
    <w:rsid w:val="009D5D3D"/>
    <w:rsid w:val="009E0F68"/>
    <w:rsid w:val="009E20F3"/>
    <w:rsid w:val="009E3752"/>
    <w:rsid w:val="009E3AEC"/>
    <w:rsid w:val="009F2CA5"/>
    <w:rsid w:val="009F5CDC"/>
    <w:rsid w:val="009F7FBB"/>
    <w:rsid w:val="00A048DB"/>
    <w:rsid w:val="00A0530D"/>
    <w:rsid w:val="00A15F83"/>
    <w:rsid w:val="00A16356"/>
    <w:rsid w:val="00A20124"/>
    <w:rsid w:val="00A2512A"/>
    <w:rsid w:val="00A37D4B"/>
    <w:rsid w:val="00A40E41"/>
    <w:rsid w:val="00A420DE"/>
    <w:rsid w:val="00A4610D"/>
    <w:rsid w:val="00A6012C"/>
    <w:rsid w:val="00A60F96"/>
    <w:rsid w:val="00A623B4"/>
    <w:rsid w:val="00A6660C"/>
    <w:rsid w:val="00A66FBA"/>
    <w:rsid w:val="00A775CF"/>
    <w:rsid w:val="00A839A8"/>
    <w:rsid w:val="00A84D70"/>
    <w:rsid w:val="00A87462"/>
    <w:rsid w:val="00A92206"/>
    <w:rsid w:val="00A968CA"/>
    <w:rsid w:val="00A97454"/>
    <w:rsid w:val="00AA14D8"/>
    <w:rsid w:val="00AA2E00"/>
    <w:rsid w:val="00AA3DC1"/>
    <w:rsid w:val="00AA5650"/>
    <w:rsid w:val="00AB5EC0"/>
    <w:rsid w:val="00AC2999"/>
    <w:rsid w:val="00AD0209"/>
    <w:rsid w:val="00AD3DFC"/>
    <w:rsid w:val="00AD6C7D"/>
    <w:rsid w:val="00AF0895"/>
    <w:rsid w:val="00AF552C"/>
    <w:rsid w:val="00AF6464"/>
    <w:rsid w:val="00AF7109"/>
    <w:rsid w:val="00B01842"/>
    <w:rsid w:val="00B01B50"/>
    <w:rsid w:val="00B051DB"/>
    <w:rsid w:val="00B06045"/>
    <w:rsid w:val="00B14EEA"/>
    <w:rsid w:val="00B25DE5"/>
    <w:rsid w:val="00B26356"/>
    <w:rsid w:val="00B27F6F"/>
    <w:rsid w:val="00B325FA"/>
    <w:rsid w:val="00B3334D"/>
    <w:rsid w:val="00B35908"/>
    <w:rsid w:val="00B36ACE"/>
    <w:rsid w:val="00B45B12"/>
    <w:rsid w:val="00B54FF0"/>
    <w:rsid w:val="00B55686"/>
    <w:rsid w:val="00B56822"/>
    <w:rsid w:val="00B60513"/>
    <w:rsid w:val="00B6114E"/>
    <w:rsid w:val="00B65BED"/>
    <w:rsid w:val="00B75CF6"/>
    <w:rsid w:val="00B77026"/>
    <w:rsid w:val="00B81123"/>
    <w:rsid w:val="00B82343"/>
    <w:rsid w:val="00B8520B"/>
    <w:rsid w:val="00B86FF1"/>
    <w:rsid w:val="00BA2061"/>
    <w:rsid w:val="00BA69BC"/>
    <w:rsid w:val="00BA7CBF"/>
    <w:rsid w:val="00BB17D4"/>
    <w:rsid w:val="00BB250B"/>
    <w:rsid w:val="00BB67D5"/>
    <w:rsid w:val="00BB6A91"/>
    <w:rsid w:val="00BC5E84"/>
    <w:rsid w:val="00BC745B"/>
    <w:rsid w:val="00BD6DF3"/>
    <w:rsid w:val="00BE0967"/>
    <w:rsid w:val="00BE0F9A"/>
    <w:rsid w:val="00BE1232"/>
    <w:rsid w:val="00BE2DE0"/>
    <w:rsid w:val="00BE6FBA"/>
    <w:rsid w:val="00BF61EB"/>
    <w:rsid w:val="00C0267D"/>
    <w:rsid w:val="00C06212"/>
    <w:rsid w:val="00C07505"/>
    <w:rsid w:val="00C11357"/>
    <w:rsid w:val="00C12D86"/>
    <w:rsid w:val="00C175FE"/>
    <w:rsid w:val="00C34C85"/>
    <w:rsid w:val="00C35A27"/>
    <w:rsid w:val="00C40DA1"/>
    <w:rsid w:val="00C418BC"/>
    <w:rsid w:val="00C4466D"/>
    <w:rsid w:val="00C44D43"/>
    <w:rsid w:val="00C45509"/>
    <w:rsid w:val="00C47095"/>
    <w:rsid w:val="00C503D3"/>
    <w:rsid w:val="00C510A2"/>
    <w:rsid w:val="00C5256A"/>
    <w:rsid w:val="00C53801"/>
    <w:rsid w:val="00C53D04"/>
    <w:rsid w:val="00C5400E"/>
    <w:rsid w:val="00C5767D"/>
    <w:rsid w:val="00C57F49"/>
    <w:rsid w:val="00C63A1B"/>
    <w:rsid w:val="00C64EB5"/>
    <w:rsid w:val="00C73752"/>
    <w:rsid w:val="00C74154"/>
    <w:rsid w:val="00C77CD5"/>
    <w:rsid w:val="00C808C2"/>
    <w:rsid w:val="00C808FB"/>
    <w:rsid w:val="00C80EE1"/>
    <w:rsid w:val="00C85158"/>
    <w:rsid w:val="00C93BA3"/>
    <w:rsid w:val="00C93FBB"/>
    <w:rsid w:val="00C96F40"/>
    <w:rsid w:val="00CA01B0"/>
    <w:rsid w:val="00CA4162"/>
    <w:rsid w:val="00CB14A4"/>
    <w:rsid w:val="00CB18E0"/>
    <w:rsid w:val="00CB5963"/>
    <w:rsid w:val="00CC39CD"/>
    <w:rsid w:val="00CC6252"/>
    <w:rsid w:val="00CD0A4B"/>
    <w:rsid w:val="00CD223D"/>
    <w:rsid w:val="00CD6648"/>
    <w:rsid w:val="00CE1151"/>
    <w:rsid w:val="00CE42AA"/>
    <w:rsid w:val="00CF2E73"/>
    <w:rsid w:val="00CF5E6D"/>
    <w:rsid w:val="00D00623"/>
    <w:rsid w:val="00D00D69"/>
    <w:rsid w:val="00D028F2"/>
    <w:rsid w:val="00D11FE9"/>
    <w:rsid w:val="00D170A3"/>
    <w:rsid w:val="00D2232A"/>
    <w:rsid w:val="00D314CC"/>
    <w:rsid w:val="00D37241"/>
    <w:rsid w:val="00D45929"/>
    <w:rsid w:val="00D47F2C"/>
    <w:rsid w:val="00D50E15"/>
    <w:rsid w:val="00D54B38"/>
    <w:rsid w:val="00D6108F"/>
    <w:rsid w:val="00D6517D"/>
    <w:rsid w:val="00D72483"/>
    <w:rsid w:val="00D82080"/>
    <w:rsid w:val="00D9351B"/>
    <w:rsid w:val="00D9380F"/>
    <w:rsid w:val="00DA237B"/>
    <w:rsid w:val="00DA23C2"/>
    <w:rsid w:val="00DA2477"/>
    <w:rsid w:val="00DA30FA"/>
    <w:rsid w:val="00DA4770"/>
    <w:rsid w:val="00DA6BD7"/>
    <w:rsid w:val="00DB1FDA"/>
    <w:rsid w:val="00DB300F"/>
    <w:rsid w:val="00DB5CB3"/>
    <w:rsid w:val="00DB6B1A"/>
    <w:rsid w:val="00DC0186"/>
    <w:rsid w:val="00DC7772"/>
    <w:rsid w:val="00DD00CF"/>
    <w:rsid w:val="00DD15A0"/>
    <w:rsid w:val="00DD7FF3"/>
    <w:rsid w:val="00DE4423"/>
    <w:rsid w:val="00DE4563"/>
    <w:rsid w:val="00DE7B71"/>
    <w:rsid w:val="00DF05A6"/>
    <w:rsid w:val="00DF4DBA"/>
    <w:rsid w:val="00E02C2B"/>
    <w:rsid w:val="00E0778A"/>
    <w:rsid w:val="00E07EB3"/>
    <w:rsid w:val="00E154CD"/>
    <w:rsid w:val="00E21673"/>
    <w:rsid w:val="00E24EDA"/>
    <w:rsid w:val="00E42417"/>
    <w:rsid w:val="00E42669"/>
    <w:rsid w:val="00E5230C"/>
    <w:rsid w:val="00E61BF1"/>
    <w:rsid w:val="00E61F37"/>
    <w:rsid w:val="00E641B3"/>
    <w:rsid w:val="00E73A8A"/>
    <w:rsid w:val="00E87358"/>
    <w:rsid w:val="00E91EAC"/>
    <w:rsid w:val="00E948FB"/>
    <w:rsid w:val="00E95F8B"/>
    <w:rsid w:val="00E96AC6"/>
    <w:rsid w:val="00EA0128"/>
    <w:rsid w:val="00EA2019"/>
    <w:rsid w:val="00EA5048"/>
    <w:rsid w:val="00EC4B3D"/>
    <w:rsid w:val="00EC5036"/>
    <w:rsid w:val="00EC7FA5"/>
    <w:rsid w:val="00ED6C48"/>
    <w:rsid w:val="00EE55BC"/>
    <w:rsid w:val="00EF0A15"/>
    <w:rsid w:val="00EF7D98"/>
    <w:rsid w:val="00EF7EB0"/>
    <w:rsid w:val="00F00722"/>
    <w:rsid w:val="00F01088"/>
    <w:rsid w:val="00F0134B"/>
    <w:rsid w:val="00F11B71"/>
    <w:rsid w:val="00F13FDF"/>
    <w:rsid w:val="00F157DB"/>
    <w:rsid w:val="00F163B9"/>
    <w:rsid w:val="00F22B28"/>
    <w:rsid w:val="00F251AE"/>
    <w:rsid w:val="00F306E8"/>
    <w:rsid w:val="00F363F3"/>
    <w:rsid w:val="00F37834"/>
    <w:rsid w:val="00F4184B"/>
    <w:rsid w:val="00F44477"/>
    <w:rsid w:val="00F46BFE"/>
    <w:rsid w:val="00F50FA1"/>
    <w:rsid w:val="00F53B6E"/>
    <w:rsid w:val="00F544CE"/>
    <w:rsid w:val="00F56500"/>
    <w:rsid w:val="00F6124F"/>
    <w:rsid w:val="00F6239C"/>
    <w:rsid w:val="00F623E7"/>
    <w:rsid w:val="00F62A77"/>
    <w:rsid w:val="00F62E24"/>
    <w:rsid w:val="00F65A2F"/>
    <w:rsid w:val="00F65F5D"/>
    <w:rsid w:val="00F674AA"/>
    <w:rsid w:val="00F76A1D"/>
    <w:rsid w:val="00F84A05"/>
    <w:rsid w:val="00F86A3A"/>
    <w:rsid w:val="00F900C9"/>
    <w:rsid w:val="00FA2A13"/>
    <w:rsid w:val="00FA552E"/>
    <w:rsid w:val="00FB38DC"/>
    <w:rsid w:val="00FC0B51"/>
    <w:rsid w:val="00FC2932"/>
    <w:rsid w:val="00FC490F"/>
    <w:rsid w:val="00FC65AC"/>
    <w:rsid w:val="00FC6615"/>
    <w:rsid w:val="00FD3F30"/>
    <w:rsid w:val="00FD7580"/>
    <w:rsid w:val="00FF0A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A461E2"/>
  <w15:docId w15:val="{E20D1288-DAE0-4486-B5B7-F03B1A23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37F"/>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tabs>
        <w:tab w:val="clear" w:pos="1163"/>
        <w:tab w:val="num" w:pos="1701"/>
      </w:tabs>
      <w:spacing w:after="120"/>
      <w:ind w:left="1701"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E69E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E0"/>
    <w:rPr>
      <w:rFonts w:ascii="Tahoma" w:eastAsia="Times New Roman" w:hAnsi="Tahoma" w:cs="Tahoma"/>
      <w:sz w:val="16"/>
      <w:szCs w:val="16"/>
      <w:lang w:eastAsia="en-US"/>
    </w:rPr>
  </w:style>
  <w:style w:type="character" w:customStyle="1" w:styleId="HChGChar">
    <w:name w:val="_ H _Ch_G Char"/>
    <w:link w:val="HChG"/>
    <w:rsid w:val="00304C40"/>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293CE4"/>
    <w:rPr>
      <w:sz w:val="16"/>
      <w:szCs w:val="16"/>
    </w:rPr>
  </w:style>
  <w:style w:type="paragraph" w:styleId="CommentText">
    <w:name w:val="annotation text"/>
    <w:basedOn w:val="Normal"/>
    <w:link w:val="CommentTextChar"/>
    <w:uiPriority w:val="99"/>
    <w:semiHidden/>
    <w:unhideWhenUsed/>
    <w:rsid w:val="00293CE4"/>
    <w:pPr>
      <w:spacing w:line="240" w:lineRule="auto"/>
    </w:pPr>
  </w:style>
  <w:style w:type="character" w:customStyle="1" w:styleId="CommentTextChar">
    <w:name w:val="Comment Text Char"/>
    <w:basedOn w:val="DefaultParagraphFont"/>
    <w:link w:val="CommentText"/>
    <w:uiPriority w:val="99"/>
    <w:semiHidden/>
    <w:rsid w:val="00293CE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93CE4"/>
    <w:rPr>
      <w:b/>
      <w:bCs/>
    </w:rPr>
  </w:style>
  <w:style w:type="character" w:customStyle="1" w:styleId="CommentSubjectChar">
    <w:name w:val="Comment Subject Char"/>
    <w:basedOn w:val="CommentTextChar"/>
    <w:link w:val="CommentSubject"/>
    <w:uiPriority w:val="99"/>
    <w:semiHidden/>
    <w:rsid w:val="00293CE4"/>
    <w:rPr>
      <w:rFonts w:ascii="Times New Roman" w:eastAsia="Times New Roman" w:hAnsi="Times New Roman" w:cs="Times New Roman"/>
      <w:b/>
      <w:bCs/>
      <w:sz w:val="20"/>
      <w:szCs w:val="20"/>
      <w:lang w:eastAsia="en-US"/>
    </w:rPr>
  </w:style>
  <w:style w:type="character" w:customStyle="1" w:styleId="SingleTxtGChar">
    <w:name w:val="_ Single Txt_G Char"/>
    <w:basedOn w:val="DefaultParagraphFont"/>
    <w:link w:val="SingleTxtG"/>
    <w:qFormat/>
    <w:rsid w:val="007C51B5"/>
    <w:rPr>
      <w:rFonts w:ascii="Times New Roman" w:hAnsi="Times New Roman" w:cs="Times New Roman"/>
      <w:sz w:val="20"/>
      <w:szCs w:val="20"/>
    </w:rPr>
  </w:style>
  <w:style w:type="character" w:styleId="Hyperlink">
    <w:name w:val="Hyperlink"/>
    <w:semiHidden/>
    <w:rsid w:val="001F2CBA"/>
    <w:rPr>
      <w:color w:val="0000FF"/>
      <w:u w:val="single"/>
    </w:rPr>
  </w:style>
  <w:style w:type="character" w:customStyle="1" w:styleId="H1GChar">
    <w:name w:val="_ H_1_G Char"/>
    <w:link w:val="H1G"/>
    <w:rsid w:val="00CD6648"/>
    <w:rPr>
      <w:rFonts w:ascii="Times New Roman" w:eastAsia="Times New Roman" w:hAnsi="Times New Roman" w:cs="Times New Roman"/>
      <w:b/>
      <w:sz w:val="24"/>
      <w:szCs w:val="20"/>
      <w:lang w:eastAsia="en-US"/>
    </w:rPr>
  </w:style>
  <w:style w:type="paragraph" w:styleId="ListNumber5">
    <w:name w:val="List Number 5"/>
    <w:basedOn w:val="Normal"/>
    <w:semiHidden/>
    <w:rsid w:val="00B82343"/>
    <w:pPr>
      <w:numPr>
        <w:numId w:val="12"/>
      </w:numPr>
    </w:pPr>
  </w:style>
  <w:style w:type="table" w:customStyle="1" w:styleId="Grilledutableau1">
    <w:name w:val="Grille du tableau1"/>
    <w:basedOn w:val="TableNormal"/>
    <w:next w:val="TableGrid"/>
    <w:uiPriority w:val="59"/>
    <w:rsid w:val="00413571"/>
    <w:pPr>
      <w:spacing w:after="0" w:line="240" w:lineRule="auto"/>
    </w:pPr>
    <w:rPr>
      <w:rFonts w:ascii="Arial" w:eastAsia="Calibri" w:hAnsi="Arial" w:cs="Times New Roman"/>
      <w:sz w:val="20"/>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rsid w:val="00224B6E"/>
    <w:rPr>
      <w:rFonts w:ascii="Times New Roman" w:eastAsia="Times New Roman" w:hAnsi="Times New Roman" w:cs="Times New Roman"/>
      <w:b/>
      <w:sz w:val="20"/>
      <w:szCs w:val="20"/>
      <w:lang w:eastAsia="en-US"/>
    </w:rPr>
  </w:style>
  <w:style w:type="character" w:styleId="Emphasis">
    <w:name w:val="Emphasis"/>
    <w:qFormat/>
    <w:rsid w:val="005955F6"/>
    <w:rPr>
      <w:i/>
      <w:iCs/>
    </w:rPr>
  </w:style>
  <w:style w:type="paragraph" w:styleId="ListParagraph">
    <w:name w:val="List Paragraph"/>
    <w:basedOn w:val="Normal"/>
    <w:uiPriority w:val="34"/>
    <w:rsid w:val="00192F2D"/>
    <w:pPr>
      <w:ind w:left="720"/>
      <w:contextualSpacing/>
    </w:pPr>
  </w:style>
  <w:style w:type="paragraph" w:styleId="Revision">
    <w:name w:val="Revision"/>
    <w:hidden/>
    <w:uiPriority w:val="99"/>
    <w:semiHidden/>
    <w:rsid w:val="00A2512A"/>
    <w:pPr>
      <w:spacing w:after="0" w:line="240" w:lineRule="auto"/>
    </w:pPr>
    <w:rPr>
      <w:rFonts w:ascii="Times New Roman" w:eastAsia="Times New Roman" w:hAnsi="Times New Roman" w:cs="Times New Roman"/>
      <w:sz w:val="20"/>
      <w:szCs w:val="20"/>
      <w:lang w:eastAsia="en-US"/>
    </w:rPr>
  </w:style>
  <w:style w:type="character" w:customStyle="1" w:styleId="tw4winMark">
    <w:name w:val="tw4winMark"/>
    <w:basedOn w:val="DefaultParagraphFont"/>
    <w:rsid w:val="00C06212"/>
    <w:rPr>
      <w:rFonts w:ascii="Courier New" w:hAnsi="Courier New" w:cs="Courier New"/>
      <w:b w:val="0"/>
      <w:i w:val="0"/>
      <w:dstrike w:val="0"/>
      <w:noProof/>
      <w:vanish/>
      <w:color w:val="800080"/>
      <w:spacing w:val="0"/>
      <w:kern w:val="30"/>
      <w:sz w:val="18"/>
      <w:effect w:val="none"/>
      <w:vertAlign w:val="subscrip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312">
      <w:bodyDiv w:val="1"/>
      <w:marLeft w:val="0"/>
      <w:marRight w:val="0"/>
      <w:marTop w:val="0"/>
      <w:marBottom w:val="0"/>
      <w:divBdr>
        <w:top w:val="none" w:sz="0" w:space="0" w:color="auto"/>
        <w:left w:val="none" w:sz="0" w:space="0" w:color="auto"/>
        <w:bottom w:val="none" w:sz="0" w:space="0" w:color="auto"/>
        <w:right w:val="none" w:sz="0" w:space="0" w:color="auto"/>
      </w:divBdr>
    </w:div>
    <w:div w:id="2567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A058-A15E-401A-8CE3-7A718702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8996</Words>
  <Characters>51279</Characters>
  <Application>Microsoft Office Word</Application>
  <DocSecurity>4</DocSecurity>
  <Lines>427</Lines>
  <Paragraphs>120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1700977</vt:lpstr>
      <vt:lpstr>1700977</vt:lpstr>
      <vt:lpstr>1700977</vt:lpstr>
    </vt:vector>
  </TitlesOfParts>
  <Company>DCM</Company>
  <LinksUpToDate>false</LinksUpToDate>
  <CharactersWithSpaces>60155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1700977</dc:title>
  <dc:subject>ECE/TRANS/WP.15/AC.2/2017/CRP.1</dc:subject>
  <dc:creator>Giltsoff</dc:creator>
  <dc:description>Final</dc:description>
  <cp:lastModifiedBy>Marie-Claude Collet</cp:lastModifiedBy>
  <cp:revision>2</cp:revision>
  <cp:lastPrinted>2019-09-12T14:24:00Z</cp:lastPrinted>
  <dcterms:created xsi:type="dcterms:W3CDTF">2019-11-06T07:41:00Z</dcterms:created>
  <dcterms:modified xsi:type="dcterms:W3CDTF">2019-11-06T07:41:00Z</dcterms:modified>
</cp:coreProperties>
</file>