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5FEE116" w14:textId="77777777" w:rsidTr="00C97039">
        <w:trPr>
          <w:trHeight w:hRule="exact" w:val="851"/>
        </w:trPr>
        <w:tc>
          <w:tcPr>
            <w:tcW w:w="1276" w:type="dxa"/>
            <w:tcBorders>
              <w:bottom w:val="single" w:sz="4" w:space="0" w:color="auto"/>
            </w:tcBorders>
          </w:tcPr>
          <w:p w14:paraId="276AFDD1" w14:textId="77777777" w:rsidR="00F35BAF" w:rsidRPr="00DB58B5" w:rsidRDefault="00F35BAF" w:rsidP="008845EE">
            <w:bookmarkStart w:id="0" w:name="_GoBack"/>
            <w:bookmarkEnd w:id="0"/>
          </w:p>
        </w:tc>
        <w:tc>
          <w:tcPr>
            <w:tcW w:w="2268" w:type="dxa"/>
            <w:tcBorders>
              <w:bottom w:val="single" w:sz="4" w:space="0" w:color="auto"/>
            </w:tcBorders>
            <w:vAlign w:val="bottom"/>
          </w:tcPr>
          <w:p w14:paraId="4E980C7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226EBB" w14:textId="77777777" w:rsidR="00F35BAF" w:rsidRPr="00DB58B5" w:rsidRDefault="008845EE" w:rsidP="008845EE">
            <w:pPr>
              <w:jc w:val="right"/>
            </w:pPr>
            <w:r w:rsidRPr="008845EE">
              <w:rPr>
                <w:sz w:val="40"/>
              </w:rPr>
              <w:t>ECE</w:t>
            </w:r>
            <w:r>
              <w:t>/TRANS/WP.15/AC.2/72</w:t>
            </w:r>
          </w:p>
        </w:tc>
      </w:tr>
      <w:tr w:rsidR="00F35BAF" w:rsidRPr="00DB58B5" w14:paraId="6B11AFE8" w14:textId="77777777" w:rsidTr="00C97039">
        <w:trPr>
          <w:trHeight w:hRule="exact" w:val="2835"/>
        </w:trPr>
        <w:tc>
          <w:tcPr>
            <w:tcW w:w="1276" w:type="dxa"/>
            <w:tcBorders>
              <w:top w:val="single" w:sz="4" w:space="0" w:color="auto"/>
              <w:bottom w:val="single" w:sz="12" w:space="0" w:color="auto"/>
            </w:tcBorders>
          </w:tcPr>
          <w:p w14:paraId="2E0DEB13" w14:textId="77777777" w:rsidR="00F35BAF" w:rsidRPr="00DB58B5" w:rsidRDefault="00F35BAF" w:rsidP="00C97039">
            <w:pPr>
              <w:spacing w:before="120"/>
              <w:jc w:val="center"/>
            </w:pPr>
            <w:r>
              <w:rPr>
                <w:noProof/>
                <w:lang w:eastAsia="fr-CH"/>
              </w:rPr>
              <w:drawing>
                <wp:inline distT="0" distB="0" distL="0" distR="0" wp14:anchorId="60EABC37" wp14:editId="2843698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0008D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75F6717" w14:textId="77777777" w:rsidR="00F35BAF" w:rsidRDefault="008845EE" w:rsidP="00C97039">
            <w:pPr>
              <w:spacing w:before="240"/>
            </w:pPr>
            <w:proofErr w:type="spellStart"/>
            <w:r>
              <w:t>Distr</w:t>
            </w:r>
            <w:proofErr w:type="spellEnd"/>
            <w:r>
              <w:t xml:space="preserve">. </w:t>
            </w:r>
            <w:proofErr w:type="gramStart"/>
            <w:r>
              <w:t>générale</w:t>
            </w:r>
            <w:proofErr w:type="gramEnd"/>
          </w:p>
          <w:p w14:paraId="72028810" w14:textId="77777777" w:rsidR="008845EE" w:rsidRDefault="008845EE" w:rsidP="008845EE">
            <w:pPr>
              <w:spacing w:line="240" w:lineRule="exact"/>
            </w:pPr>
            <w:r>
              <w:t>12 septembre 2019</w:t>
            </w:r>
          </w:p>
          <w:p w14:paraId="662ABC2E" w14:textId="77777777" w:rsidR="008845EE" w:rsidRDefault="008845EE" w:rsidP="008845EE">
            <w:pPr>
              <w:spacing w:line="240" w:lineRule="exact"/>
            </w:pPr>
            <w:r>
              <w:t>Français</w:t>
            </w:r>
          </w:p>
          <w:p w14:paraId="10821FFC" w14:textId="77777777" w:rsidR="008845EE" w:rsidRPr="00DB58B5" w:rsidRDefault="008845EE" w:rsidP="008845EE">
            <w:pPr>
              <w:spacing w:line="240" w:lineRule="exact"/>
            </w:pPr>
            <w:r>
              <w:t>Original : anglais</w:t>
            </w:r>
          </w:p>
        </w:tc>
      </w:tr>
    </w:tbl>
    <w:p w14:paraId="20963B50" w14:textId="77777777" w:rsidR="007F20FA" w:rsidRPr="000312C0" w:rsidRDefault="007F20FA" w:rsidP="007F20FA">
      <w:pPr>
        <w:spacing w:before="120"/>
        <w:rPr>
          <w:b/>
          <w:sz w:val="28"/>
          <w:szCs w:val="28"/>
        </w:rPr>
      </w:pPr>
      <w:r w:rsidRPr="000312C0">
        <w:rPr>
          <w:b/>
          <w:sz w:val="28"/>
          <w:szCs w:val="28"/>
        </w:rPr>
        <w:t>Commission économique pour l’Europe</w:t>
      </w:r>
    </w:p>
    <w:p w14:paraId="3E6E326C" w14:textId="77777777" w:rsidR="007F20FA" w:rsidRDefault="007F20FA" w:rsidP="007F20FA">
      <w:pPr>
        <w:spacing w:before="120"/>
        <w:rPr>
          <w:sz w:val="28"/>
          <w:szCs w:val="28"/>
        </w:rPr>
      </w:pPr>
      <w:r w:rsidRPr="00685843">
        <w:rPr>
          <w:sz w:val="28"/>
          <w:szCs w:val="28"/>
        </w:rPr>
        <w:t>Comité des transports intérieurs</w:t>
      </w:r>
    </w:p>
    <w:p w14:paraId="24912237" w14:textId="77777777" w:rsidR="00E44F21" w:rsidRPr="00E44F21" w:rsidRDefault="00E44F21" w:rsidP="00E44F21">
      <w:pPr>
        <w:spacing w:before="120"/>
        <w:rPr>
          <w:b/>
          <w:sz w:val="24"/>
          <w:szCs w:val="24"/>
          <w:lang w:val="fr-FR"/>
        </w:rPr>
      </w:pPr>
      <w:r w:rsidRPr="00E44F21">
        <w:rPr>
          <w:b/>
          <w:sz w:val="24"/>
          <w:szCs w:val="24"/>
          <w:lang w:val="fr-FR"/>
        </w:rPr>
        <w:t xml:space="preserve">Groupe de travail des transports </w:t>
      </w:r>
      <w:r w:rsidR="00340143">
        <w:rPr>
          <w:b/>
          <w:sz w:val="24"/>
          <w:szCs w:val="24"/>
          <w:lang w:val="fr-FR"/>
        </w:rPr>
        <w:br/>
      </w:r>
      <w:r w:rsidRPr="00E44F21">
        <w:rPr>
          <w:b/>
          <w:sz w:val="24"/>
          <w:szCs w:val="24"/>
          <w:lang w:val="fr-FR"/>
        </w:rPr>
        <w:t>de marchandises dangereuses</w:t>
      </w:r>
    </w:p>
    <w:p w14:paraId="6EDA6EAC" w14:textId="77777777" w:rsidR="00E44F21" w:rsidRPr="00E44F21" w:rsidRDefault="00E44F21" w:rsidP="00E44F21">
      <w:pPr>
        <w:spacing w:before="120"/>
        <w:rPr>
          <w:b/>
          <w:lang w:val="fr-FR"/>
        </w:rPr>
      </w:pPr>
      <w:r w:rsidRPr="00E44F21">
        <w:rPr>
          <w:b/>
          <w:lang w:val="fr-FR"/>
        </w:rPr>
        <w:t xml:space="preserve">Réunion commune d’experts du Règlement annexé </w:t>
      </w:r>
      <w:r w:rsidRPr="00E44F21">
        <w:rPr>
          <w:b/>
          <w:lang w:val="fr-FR"/>
        </w:rPr>
        <w:br/>
        <w:t xml:space="preserve">à l’Accord européen relatif au transport international </w:t>
      </w:r>
      <w:r w:rsidRPr="00E44F21">
        <w:rPr>
          <w:b/>
          <w:lang w:val="fr-FR"/>
        </w:rPr>
        <w:br/>
        <w:t xml:space="preserve">des marchandises dangereuses par voies de navigation </w:t>
      </w:r>
      <w:r w:rsidRPr="00E44F21">
        <w:rPr>
          <w:b/>
          <w:lang w:val="fr-FR"/>
        </w:rPr>
        <w:br/>
        <w:t>intérieures (ADN) (Comité de sécurité de l’ADN)</w:t>
      </w:r>
    </w:p>
    <w:p w14:paraId="4CD49C64" w14:textId="77777777" w:rsidR="00E44F21" w:rsidRPr="00E44F21" w:rsidRDefault="00E44F21" w:rsidP="00340143">
      <w:pPr>
        <w:spacing w:before="120"/>
        <w:rPr>
          <w:b/>
          <w:lang w:val="fr-FR"/>
        </w:rPr>
      </w:pPr>
      <w:r w:rsidRPr="00E44F21">
        <w:rPr>
          <w:b/>
          <w:lang w:val="fr-FR"/>
        </w:rPr>
        <w:t>Trente-cinquième session</w:t>
      </w:r>
    </w:p>
    <w:p w14:paraId="1380955A" w14:textId="77777777" w:rsidR="00E44F21" w:rsidRPr="00E44F21" w:rsidRDefault="00E44F21" w:rsidP="00E44F21">
      <w:pPr>
        <w:rPr>
          <w:lang w:val="fr-FR"/>
        </w:rPr>
      </w:pPr>
      <w:r w:rsidRPr="00E44F21">
        <w:rPr>
          <w:lang w:val="fr-FR"/>
        </w:rPr>
        <w:t>Genève, 26-30 août 2019</w:t>
      </w:r>
    </w:p>
    <w:p w14:paraId="46EE5C2F" w14:textId="77777777" w:rsidR="00E44F21" w:rsidRPr="00CB6E16" w:rsidRDefault="00E44F21" w:rsidP="00CB6E16">
      <w:pPr>
        <w:pStyle w:val="HChG"/>
        <w:rPr>
          <w:b w:val="0"/>
          <w:lang w:val="fr-FR"/>
        </w:rPr>
      </w:pPr>
      <w:r w:rsidRPr="00E44F21">
        <w:rPr>
          <w:lang w:val="fr-FR"/>
        </w:rPr>
        <w:tab/>
      </w:r>
      <w:r w:rsidRPr="00E44F21">
        <w:rPr>
          <w:lang w:val="fr-FR"/>
        </w:rPr>
        <w:tab/>
        <w:t xml:space="preserve">Rapport de la Réunion commune d’experts du Règlement annexé à l’Accord européen relatif au transport international des marchandises dangereuses par voies de navigation intérieures (ADN) (Comité de sécurité de l’ADN) </w:t>
      </w:r>
      <w:r w:rsidR="00CB6E16">
        <w:rPr>
          <w:lang w:val="fr-FR"/>
        </w:rPr>
        <w:br/>
      </w:r>
      <w:r w:rsidRPr="00E44F21">
        <w:rPr>
          <w:lang w:val="fr-FR"/>
        </w:rPr>
        <w:t>sur les travaux de sa trente-cinquième session</w:t>
      </w:r>
      <w:bookmarkStart w:id="1" w:name="_Toc410743246"/>
      <w:bookmarkStart w:id="2" w:name="_Toc428948781"/>
      <w:bookmarkStart w:id="3" w:name="_Toc442372095"/>
      <w:bookmarkEnd w:id="1"/>
      <w:bookmarkEnd w:id="2"/>
      <w:bookmarkEnd w:id="3"/>
      <w:r w:rsidR="00CB6E16" w:rsidRPr="00CB6E16">
        <w:rPr>
          <w:rStyle w:val="FootnoteReference"/>
          <w:b w:val="0"/>
          <w:sz w:val="20"/>
          <w:vertAlign w:val="baseline"/>
        </w:rPr>
        <w:footnoteReference w:customMarkFollows="1" w:id="2"/>
        <w:t>*</w:t>
      </w:r>
    </w:p>
    <w:p w14:paraId="415363A5" w14:textId="77777777" w:rsidR="00554809" w:rsidRPr="00CB6E16" w:rsidRDefault="00CB6E16" w:rsidP="00554809">
      <w:pPr>
        <w:spacing w:after="120"/>
        <w:rPr>
          <w:sz w:val="28"/>
          <w:lang w:val="fr-FR"/>
        </w:rPr>
      </w:pPr>
      <w:r>
        <w:rPr>
          <w:lang w:val="fr-FR"/>
        </w:rPr>
        <w:br w:type="page"/>
      </w:r>
      <w:r w:rsidR="00554809" w:rsidRPr="00CB6E16">
        <w:rPr>
          <w:sz w:val="28"/>
          <w:lang w:val="fr-FR"/>
        </w:rPr>
        <w:lastRenderedPageBreak/>
        <w:t>Table des matières</w:t>
      </w:r>
    </w:p>
    <w:p w14:paraId="37229259" w14:textId="77777777" w:rsidR="00554809" w:rsidRPr="00CB6E16" w:rsidRDefault="00554809" w:rsidP="00554809">
      <w:pPr>
        <w:tabs>
          <w:tab w:val="right" w:pos="8929"/>
          <w:tab w:val="right" w:pos="9638"/>
        </w:tabs>
        <w:spacing w:after="120"/>
        <w:ind w:left="283"/>
        <w:rPr>
          <w:i/>
          <w:sz w:val="18"/>
        </w:rPr>
      </w:pPr>
      <w:r w:rsidRPr="00CB6E16">
        <w:rPr>
          <w:i/>
          <w:sz w:val="18"/>
        </w:rPr>
        <w:tab/>
        <w:t>Paragraphes</w:t>
      </w:r>
      <w:r w:rsidRPr="00CB6E16">
        <w:rPr>
          <w:i/>
          <w:sz w:val="18"/>
        </w:rPr>
        <w:tab/>
        <w:t>Page</w:t>
      </w:r>
    </w:p>
    <w:p w14:paraId="44553F44" w14:textId="77777777" w:rsidR="00554809" w:rsidRDefault="00554809" w:rsidP="00554809">
      <w:pPr>
        <w:tabs>
          <w:tab w:val="right" w:pos="850"/>
          <w:tab w:val="right" w:leader="dot" w:pos="7654"/>
          <w:tab w:val="right" w:pos="8929"/>
          <w:tab w:val="right" w:pos="9638"/>
        </w:tabs>
        <w:spacing w:after="120"/>
        <w:ind w:left="1134" w:hanging="1134"/>
      </w:pPr>
      <w:r>
        <w:tab/>
        <w:t>I.</w:t>
      </w:r>
      <w:r>
        <w:tab/>
      </w:r>
      <w:r w:rsidRPr="00E44F21">
        <w:rPr>
          <w:lang w:val="fr-FR"/>
        </w:rPr>
        <w:t>Participation</w:t>
      </w:r>
      <w:r>
        <w:tab/>
      </w:r>
      <w:r>
        <w:tab/>
        <w:t>1–4</w:t>
      </w:r>
      <w:r>
        <w:tab/>
        <w:t>4</w:t>
      </w:r>
    </w:p>
    <w:p w14:paraId="1568F2DD" w14:textId="77777777" w:rsidR="00554809" w:rsidRDefault="00554809" w:rsidP="00554809">
      <w:pPr>
        <w:tabs>
          <w:tab w:val="right" w:pos="850"/>
          <w:tab w:val="right" w:leader="dot" w:pos="7654"/>
          <w:tab w:val="right" w:pos="8929"/>
          <w:tab w:val="right" w:pos="9638"/>
        </w:tabs>
        <w:spacing w:after="120"/>
        <w:ind w:left="1134" w:hanging="1134"/>
      </w:pPr>
      <w:r>
        <w:tab/>
        <w:t>II.</w:t>
      </w:r>
      <w:r>
        <w:tab/>
      </w:r>
      <w:r w:rsidRPr="00E44F21">
        <w:rPr>
          <w:lang w:val="fr-FR"/>
        </w:rPr>
        <w:t>Ouverture de la session</w:t>
      </w:r>
      <w:r>
        <w:tab/>
      </w:r>
      <w:r>
        <w:tab/>
        <w:t>5</w:t>
      </w:r>
      <w:r>
        <w:tab/>
        <w:t>4</w:t>
      </w:r>
    </w:p>
    <w:p w14:paraId="7639D5FC" w14:textId="77777777" w:rsidR="00554809" w:rsidRDefault="00554809" w:rsidP="00554809">
      <w:pPr>
        <w:tabs>
          <w:tab w:val="right" w:pos="850"/>
          <w:tab w:val="right" w:leader="dot" w:pos="7654"/>
          <w:tab w:val="right" w:pos="8929"/>
          <w:tab w:val="right" w:pos="9638"/>
        </w:tabs>
        <w:spacing w:after="120"/>
        <w:ind w:left="1134" w:hanging="1134"/>
      </w:pPr>
      <w:r>
        <w:tab/>
        <w:t>III.</w:t>
      </w:r>
      <w:r>
        <w:tab/>
      </w:r>
      <w:r w:rsidRPr="00B40FDA">
        <w:rPr>
          <w:lang w:val="fr-FR"/>
        </w:rPr>
        <w:t>Adoption de l’ordre du jour (point 1 de l’ordre du jour)</w:t>
      </w:r>
      <w:r>
        <w:tab/>
      </w:r>
      <w:r>
        <w:tab/>
        <w:t>6</w:t>
      </w:r>
      <w:r>
        <w:tab/>
        <w:t>4</w:t>
      </w:r>
    </w:p>
    <w:p w14:paraId="23D30C40" w14:textId="77777777" w:rsidR="00554809" w:rsidRDefault="00554809" w:rsidP="00554809">
      <w:pPr>
        <w:tabs>
          <w:tab w:val="right" w:pos="850"/>
          <w:tab w:val="right" w:leader="dot" w:pos="7654"/>
          <w:tab w:val="right" w:pos="8929"/>
          <w:tab w:val="right" w:pos="9638"/>
        </w:tabs>
        <w:spacing w:after="120"/>
        <w:ind w:left="1134" w:hanging="1134"/>
      </w:pPr>
      <w:r>
        <w:tab/>
        <w:t>IV.</w:t>
      </w:r>
      <w:r>
        <w:tab/>
      </w:r>
      <w:r w:rsidRPr="00E44F21">
        <w:rPr>
          <w:lang w:val="fr-FR"/>
        </w:rPr>
        <w:t xml:space="preserve">Questions découlant des travaux d’organes des Nations Unies ou d’autres </w:t>
      </w:r>
      <w:r>
        <w:rPr>
          <w:lang w:val="fr-FR"/>
        </w:rPr>
        <w:br/>
      </w:r>
      <w:r w:rsidRPr="00E44F21">
        <w:rPr>
          <w:lang w:val="fr-FR"/>
        </w:rPr>
        <w:t>organisations (point 2 de l’ordre du jour)</w:t>
      </w:r>
      <w:r>
        <w:tab/>
      </w:r>
      <w:r>
        <w:tab/>
        <w:t>7</w:t>
      </w:r>
      <w:r>
        <w:tab/>
        <w:t>4</w:t>
      </w:r>
    </w:p>
    <w:p w14:paraId="7289B5B5" w14:textId="77777777" w:rsidR="00554809" w:rsidRDefault="00554809" w:rsidP="00554809">
      <w:pPr>
        <w:tabs>
          <w:tab w:val="right" w:pos="850"/>
          <w:tab w:val="right" w:leader="dot" w:pos="7654"/>
          <w:tab w:val="right" w:pos="8929"/>
          <w:tab w:val="right" w:pos="9638"/>
        </w:tabs>
        <w:spacing w:after="120"/>
        <w:ind w:left="1134" w:hanging="1134"/>
      </w:pPr>
      <w:r>
        <w:tab/>
        <w:t>V.</w:t>
      </w:r>
      <w:r>
        <w:tab/>
      </w:r>
      <w:r w:rsidRPr="00E44F21">
        <w:rPr>
          <w:lang w:val="fr-FR"/>
        </w:rPr>
        <w:t xml:space="preserve">Mise en œuvre de l’Accord européen relatif au transport international </w:t>
      </w:r>
      <w:r>
        <w:rPr>
          <w:lang w:val="fr-FR"/>
        </w:rPr>
        <w:br/>
      </w:r>
      <w:r w:rsidRPr="00E44F21">
        <w:rPr>
          <w:lang w:val="fr-FR"/>
        </w:rPr>
        <w:t>des marchandises dangereuses par voies de</w:t>
      </w:r>
      <w:r>
        <w:rPr>
          <w:lang w:val="fr-FR"/>
        </w:rPr>
        <w:t> </w:t>
      </w:r>
      <w:r w:rsidRPr="00E44F21">
        <w:rPr>
          <w:lang w:val="fr-FR"/>
        </w:rPr>
        <w:t xml:space="preserve">navigation intérieures (ADN) </w:t>
      </w:r>
      <w:r>
        <w:rPr>
          <w:lang w:val="fr-FR"/>
        </w:rPr>
        <w:br/>
      </w:r>
      <w:r w:rsidRPr="00E44F21">
        <w:rPr>
          <w:lang w:val="fr-FR"/>
        </w:rPr>
        <w:t>(point 3 de l’ordre du jour)</w:t>
      </w:r>
      <w:r>
        <w:tab/>
      </w:r>
      <w:r>
        <w:tab/>
        <w:t>8–38</w:t>
      </w:r>
      <w:r>
        <w:tab/>
        <w:t>5</w:t>
      </w:r>
    </w:p>
    <w:p w14:paraId="280CE561" w14:textId="77777777" w:rsidR="00554809" w:rsidRDefault="00554809" w:rsidP="00554809">
      <w:pPr>
        <w:tabs>
          <w:tab w:val="right" w:leader="dot" w:pos="7654"/>
          <w:tab w:val="right" w:pos="8929"/>
          <w:tab w:val="right" w:pos="9638"/>
        </w:tabs>
        <w:spacing w:after="120"/>
        <w:ind w:left="1559" w:hanging="425"/>
      </w:pPr>
      <w:r>
        <w:t>A.</w:t>
      </w:r>
      <w:r>
        <w:tab/>
      </w:r>
      <w:r w:rsidRPr="00E44F21">
        <w:rPr>
          <w:lang w:val="fr-FR"/>
        </w:rPr>
        <w:t>État de l’ADN</w:t>
      </w:r>
      <w:r>
        <w:tab/>
      </w:r>
      <w:r>
        <w:tab/>
        <w:t>8</w:t>
      </w:r>
      <w:r>
        <w:tab/>
        <w:t>5</w:t>
      </w:r>
    </w:p>
    <w:p w14:paraId="11C88133" w14:textId="77777777" w:rsidR="00554809" w:rsidRDefault="00554809" w:rsidP="00554809">
      <w:pPr>
        <w:tabs>
          <w:tab w:val="right" w:leader="dot" w:pos="7654"/>
          <w:tab w:val="right" w:pos="8929"/>
          <w:tab w:val="right" w:pos="9638"/>
        </w:tabs>
        <w:spacing w:after="120"/>
        <w:ind w:left="1559" w:hanging="425"/>
      </w:pPr>
      <w:r>
        <w:t>B.</w:t>
      </w:r>
      <w:r>
        <w:tab/>
      </w:r>
      <w:r w:rsidRPr="00E44F21">
        <w:rPr>
          <w:lang w:val="fr-FR"/>
        </w:rPr>
        <w:t>Autorisations spéciales, dérogations et équivalences</w:t>
      </w:r>
      <w:r>
        <w:tab/>
      </w:r>
      <w:r>
        <w:tab/>
        <w:t>9</w:t>
      </w:r>
      <w:r>
        <w:tab/>
        <w:t>5</w:t>
      </w:r>
    </w:p>
    <w:p w14:paraId="54113587" w14:textId="77777777" w:rsidR="00554809" w:rsidRDefault="00554809" w:rsidP="00554809">
      <w:pPr>
        <w:tabs>
          <w:tab w:val="right" w:leader="dot" w:pos="7654"/>
          <w:tab w:val="right" w:pos="8929"/>
          <w:tab w:val="right" w:pos="9638"/>
        </w:tabs>
        <w:spacing w:after="120"/>
        <w:ind w:left="1559" w:hanging="425"/>
      </w:pPr>
      <w:r>
        <w:t>C.</w:t>
      </w:r>
      <w:r>
        <w:tab/>
      </w:r>
      <w:r w:rsidRPr="00E44F21">
        <w:rPr>
          <w:lang w:val="fr-FR"/>
        </w:rPr>
        <w:t>Interprétation du Règlement annexé à l’ADN</w:t>
      </w:r>
      <w:r>
        <w:tab/>
      </w:r>
      <w:r>
        <w:tab/>
        <w:t>10–27</w:t>
      </w:r>
      <w:r>
        <w:tab/>
        <w:t>5</w:t>
      </w:r>
    </w:p>
    <w:p w14:paraId="333F5822" w14:textId="77777777" w:rsidR="00554809" w:rsidRDefault="00554809" w:rsidP="00554809">
      <w:pPr>
        <w:tabs>
          <w:tab w:val="right" w:leader="dot" w:pos="7654"/>
          <w:tab w:val="right" w:pos="8929"/>
          <w:tab w:val="right" w:pos="9638"/>
        </w:tabs>
        <w:spacing w:after="120"/>
        <w:ind w:left="1984" w:hanging="425"/>
      </w:pPr>
      <w:r>
        <w:t>1.</w:t>
      </w:r>
      <w:r>
        <w:tab/>
      </w:r>
      <w:r w:rsidRPr="00E44F21">
        <w:rPr>
          <w:lang w:val="fr-FR"/>
        </w:rPr>
        <w:t>Dégazage des bateaux-citernes dans une station de réception</w:t>
      </w:r>
      <w:r>
        <w:tab/>
      </w:r>
      <w:r>
        <w:tab/>
        <w:t>10–13</w:t>
      </w:r>
      <w:r>
        <w:tab/>
        <w:t>5</w:t>
      </w:r>
    </w:p>
    <w:p w14:paraId="2024CCE5" w14:textId="77777777" w:rsidR="00554809" w:rsidRDefault="00554809" w:rsidP="00554809">
      <w:pPr>
        <w:tabs>
          <w:tab w:val="right" w:leader="dot" w:pos="7654"/>
          <w:tab w:val="right" w:pos="8929"/>
          <w:tab w:val="right" w:pos="9638"/>
        </w:tabs>
        <w:spacing w:after="120"/>
        <w:ind w:left="1984" w:hanging="425"/>
      </w:pPr>
      <w:r>
        <w:t>2.</w:t>
      </w:r>
      <w:r>
        <w:tab/>
      </w:r>
      <w:r w:rsidRPr="00E44F21">
        <w:rPr>
          <w:lang w:val="fr-FR"/>
        </w:rPr>
        <w:t>Débits de chargement et de déchargement</w:t>
      </w:r>
      <w:r>
        <w:tab/>
      </w:r>
      <w:r>
        <w:tab/>
        <w:t>14–16</w:t>
      </w:r>
      <w:r>
        <w:tab/>
        <w:t>6</w:t>
      </w:r>
    </w:p>
    <w:p w14:paraId="3ED53E0A" w14:textId="77777777" w:rsidR="00554809" w:rsidRDefault="00554809" w:rsidP="00554809">
      <w:pPr>
        <w:tabs>
          <w:tab w:val="right" w:leader="dot" w:pos="7654"/>
          <w:tab w:val="right" w:pos="8929"/>
          <w:tab w:val="right" w:pos="9638"/>
        </w:tabs>
        <w:spacing w:after="120"/>
        <w:ind w:left="1984" w:hanging="425"/>
      </w:pPr>
      <w:r>
        <w:t>3.</w:t>
      </w:r>
      <w:r>
        <w:tab/>
      </w:r>
      <w:r w:rsidRPr="00E44F21">
        <w:rPr>
          <w:lang w:val="fr-FR"/>
        </w:rPr>
        <w:t xml:space="preserve">Matières ayant un point d’éclair supérieur à 60 ºC et inférieur ou égal </w:t>
      </w:r>
      <w:r>
        <w:rPr>
          <w:lang w:val="fr-FR"/>
        </w:rPr>
        <w:br/>
      </w:r>
      <w:r w:rsidRPr="00E44F21">
        <w:rPr>
          <w:lang w:val="fr-FR"/>
        </w:rPr>
        <w:t xml:space="preserve">à 100 ºC et matières dangereuses pour l’environnement classées </w:t>
      </w:r>
      <w:r>
        <w:rPr>
          <w:lang w:val="fr-FR"/>
        </w:rPr>
        <w:br/>
      </w:r>
      <w:r w:rsidRPr="00E44F21">
        <w:rPr>
          <w:lang w:val="fr-FR"/>
        </w:rPr>
        <w:t xml:space="preserve">sous le </w:t>
      </w:r>
      <w:r>
        <w:rPr>
          <w:lang w:val="fr-FR"/>
        </w:rPr>
        <w:t>No</w:t>
      </w:r>
      <w:r w:rsidRPr="00E44F21">
        <w:rPr>
          <w:lang w:val="fr-FR"/>
        </w:rPr>
        <w:t xml:space="preserve"> ONU 3082 ou le numéro d’identification 9003</w:t>
      </w:r>
      <w:r>
        <w:tab/>
      </w:r>
      <w:r>
        <w:tab/>
        <w:t>17</w:t>
      </w:r>
      <w:r>
        <w:tab/>
        <w:t>6</w:t>
      </w:r>
    </w:p>
    <w:p w14:paraId="15B9DF1A" w14:textId="77777777" w:rsidR="00554809" w:rsidRDefault="00554809" w:rsidP="00554809">
      <w:pPr>
        <w:tabs>
          <w:tab w:val="right" w:leader="dot" w:pos="7654"/>
          <w:tab w:val="right" w:pos="8929"/>
          <w:tab w:val="right" w:pos="9638"/>
        </w:tabs>
        <w:spacing w:after="120"/>
        <w:ind w:left="1984" w:hanging="425"/>
      </w:pPr>
      <w:r>
        <w:t>4.</w:t>
      </w:r>
      <w:r>
        <w:tab/>
      </w:r>
      <w:r w:rsidRPr="00E44F21">
        <w:rPr>
          <w:lang w:val="fr-FR"/>
        </w:rPr>
        <w:t>Dégazage des bateaux-citernes</w:t>
      </w:r>
      <w:r>
        <w:tab/>
      </w:r>
      <w:r>
        <w:tab/>
        <w:t>18–19</w:t>
      </w:r>
      <w:r>
        <w:tab/>
        <w:t>6</w:t>
      </w:r>
    </w:p>
    <w:p w14:paraId="16B09747" w14:textId="77777777" w:rsidR="00554809" w:rsidRDefault="00554809" w:rsidP="00554809">
      <w:pPr>
        <w:tabs>
          <w:tab w:val="right" w:leader="dot" w:pos="7654"/>
          <w:tab w:val="right" w:pos="8929"/>
          <w:tab w:val="right" w:pos="9638"/>
        </w:tabs>
        <w:spacing w:after="120"/>
        <w:ind w:left="1984" w:hanging="425"/>
      </w:pPr>
      <w:r>
        <w:t>5.</w:t>
      </w:r>
      <w:r>
        <w:tab/>
      </w:r>
      <w:r w:rsidRPr="00E44F21">
        <w:rPr>
          <w:lang w:val="fr-FR"/>
        </w:rPr>
        <w:t>Dispositifs de prise d’échantillons et ventilation</w:t>
      </w:r>
      <w:r>
        <w:tab/>
      </w:r>
      <w:r>
        <w:tab/>
        <w:t>20–21</w:t>
      </w:r>
      <w:r>
        <w:tab/>
        <w:t>7</w:t>
      </w:r>
    </w:p>
    <w:p w14:paraId="0FA8466D" w14:textId="77777777" w:rsidR="00554809" w:rsidRDefault="00554809" w:rsidP="00554809">
      <w:pPr>
        <w:tabs>
          <w:tab w:val="right" w:leader="dot" w:pos="7654"/>
          <w:tab w:val="right" w:pos="8929"/>
          <w:tab w:val="right" w:pos="9638"/>
        </w:tabs>
        <w:spacing w:after="120"/>
        <w:ind w:left="1984" w:hanging="425"/>
      </w:pPr>
      <w:r>
        <w:t>6.</w:t>
      </w:r>
      <w:r>
        <w:tab/>
      </w:r>
      <w:r w:rsidRPr="00E44F21">
        <w:rPr>
          <w:lang w:val="fr-FR"/>
        </w:rPr>
        <w:t>Proposition d’adaptation du 8.3.5 de l’ADN, « Travaux à bord »</w:t>
      </w:r>
      <w:r>
        <w:tab/>
      </w:r>
      <w:r>
        <w:tab/>
        <w:t>22–23</w:t>
      </w:r>
      <w:r>
        <w:tab/>
        <w:t>7</w:t>
      </w:r>
    </w:p>
    <w:p w14:paraId="45A28FF3" w14:textId="77777777" w:rsidR="00554809" w:rsidRDefault="00554809" w:rsidP="00554809">
      <w:pPr>
        <w:tabs>
          <w:tab w:val="right" w:leader="dot" w:pos="7654"/>
          <w:tab w:val="right" w:pos="8929"/>
          <w:tab w:val="right" w:pos="9638"/>
        </w:tabs>
        <w:spacing w:after="120"/>
        <w:ind w:left="1984" w:hanging="425"/>
      </w:pPr>
      <w:r>
        <w:t>7.</w:t>
      </w:r>
      <w:r>
        <w:tab/>
      </w:r>
      <w:r w:rsidRPr="00E44F21">
        <w:rPr>
          <w:lang w:val="fr-FR"/>
        </w:rPr>
        <w:t xml:space="preserve">Étalonnage des installations de détection avec du n-hexane </w:t>
      </w:r>
      <w:r>
        <w:rPr>
          <w:lang w:val="fr-FR"/>
        </w:rPr>
        <w:br/>
      </w:r>
      <w:r w:rsidRPr="00E44F21">
        <w:rPr>
          <w:lang w:val="fr-FR"/>
        </w:rPr>
        <w:t>et des détecteurs de gaz</w:t>
      </w:r>
      <w:r>
        <w:tab/>
      </w:r>
      <w:r>
        <w:tab/>
        <w:t>24</w:t>
      </w:r>
      <w:r>
        <w:tab/>
        <w:t>8</w:t>
      </w:r>
    </w:p>
    <w:p w14:paraId="08793AA4" w14:textId="77777777" w:rsidR="00554809" w:rsidRDefault="00554809" w:rsidP="00554809">
      <w:pPr>
        <w:tabs>
          <w:tab w:val="right" w:leader="dot" w:pos="7654"/>
          <w:tab w:val="right" w:pos="8929"/>
          <w:tab w:val="right" w:pos="9638"/>
        </w:tabs>
        <w:spacing w:after="120"/>
        <w:ind w:left="1984" w:hanging="425"/>
      </w:pPr>
      <w:r>
        <w:t>8.</w:t>
      </w:r>
      <w:r>
        <w:tab/>
      </w:r>
      <w:r w:rsidRPr="00E44F21">
        <w:rPr>
          <w:lang w:val="fr-FR"/>
        </w:rPr>
        <w:t>Installation de détection de gaz</w:t>
      </w:r>
      <w:r>
        <w:tab/>
      </w:r>
      <w:r>
        <w:tab/>
        <w:t>25</w:t>
      </w:r>
      <w:r>
        <w:tab/>
        <w:t>8</w:t>
      </w:r>
    </w:p>
    <w:p w14:paraId="2DCB657E" w14:textId="77777777" w:rsidR="00554809" w:rsidRDefault="00554809" w:rsidP="00554809">
      <w:pPr>
        <w:tabs>
          <w:tab w:val="right" w:leader="dot" w:pos="7654"/>
          <w:tab w:val="right" w:pos="8929"/>
          <w:tab w:val="right" w:pos="9638"/>
        </w:tabs>
        <w:spacing w:after="120"/>
        <w:ind w:left="1984" w:hanging="425"/>
      </w:pPr>
      <w:r>
        <w:t>9.</w:t>
      </w:r>
      <w:r>
        <w:tab/>
      </w:r>
      <w:r w:rsidRPr="00E44F21">
        <w:rPr>
          <w:lang w:val="fr-FR"/>
        </w:rPr>
        <w:t xml:space="preserve">Classement en zones </w:t>
      </w:r>
      <w:r>
        <w:rPr>
          <w:lang w:val="fr-FR"/>
        </w:rPr>
        <w:t>−</w:t>
      </w:r>
      <w:r w:rsidRPr="00E44F21">
        <w:rPr>
          <w:lang w:val="fr-FR"/>
        </w:rPr>
        <w:t xml:space="preserve"> zone 1</w:t>
      </w:r>
      <w:r>
        <w:tab/>
      </w:r>
      <w:r>
        <w:tab/>
        <w:t>26–27</w:t>
      </w:r>
      <w:r>
        <w:tab/>
        <w:t>8</w:t>
      </w:r>
    </w:p>
    <w:p w14:paraId="6F016A4A" w14:textId="77777777" w:rsidR="00554809" w:rsidRDefault="00554809" w:rsidP="00554809">
      <w:pPr>
        <w:tabs>
          <w:tab w:val="right" w:leader="dot" w:pos="7654"/>
          <w:tab w:val="right" w:pos="8929"/>
          <w:tab w:val="right" w:pos="9638"/>
        </w:tabs>
        <w:spacing w:after="120"/>
        <w:ind w:left="1559" w:hanging="425"/>
      </w:pPr>
      <w:r>
        <w:t>D.</w:t>
      </w:r>
      <w:r>
        <w:tab/>
      </w:r>
      <w:r w:rsidRPr="00E44F21">
        <w:rPr>
          <w:lang w:val="fr-FR"/>
        </w:rPr>
        <w:t>Formation des experts</w:t>
      </w:r>
      <w:r>
        <w:tab/>
      </w:r>
      <w:r>
        <w:tab/>
        <w:t>28–31</w:t>
      </w:r>
      <w:r>
        <w:tab/>
        <w:t>8</w:t>
      </w:r>
    </w:p>
    <w:p w14:paraId="245778B8" w14:textId="77777777" w:rsidR="00554809" w:rsidRDefault="00554809" w:rsidP="00554809">
      <w:pPr>
        <w:tabs>
          <w:tab w:val="right" w:leader="dot" w:pos="7654"/>
          <w:tab w:val="right" w:pos="8929"/>
          <w:tab w:val="right" w:pos="9638"/>
        </w:tabs>
        <w:spacing w:after="120"/>
        <w:ind w:left="1984" w:hanging="425"/>
      </w:pPr>
      <w:r>
        <w:t>1.</w:t>
      </w:r>
      <w:r>
        <w:tab/>
      </w:r>
      <w:r w:rsidRPr="00E44F21">
        <w:rPr>
          <w:lang w:val="fr-FR"/>
        </w:rPr>
        <w:t xml:space="preserve">Proposition visant à actualiser le calendrier de travail du groupe </w:t>
      </w:r>
      <w:r>
        <w:rPr>
          <w:lang w:val="fr-FR"/>
        </w:rPr>
        <w:br/>
      </w:r>
      <w:r w:rsidRPr="00E44F21">
        <w:rPr>
          <w:lang w:val="fr-FR"/>
        </w:rPr>
        <w:t>de travail informel</w:t>
      </w:r>
      <w:r>
        <w:rPr>
          <w:lang w:val="fr-FR"/>
        </w:rPr>
        <w:t> </w:t>
      </w:r>
      <w:r w:rsidRPr="00E44F21">
        <w:rPr>
          <w:lang w:val="fr-FR"/>
        </w:rPr>
        <w:t>de la formation des experts</w:t>
      </w:r>
      <w:r>
        <w:tab/>
      </w:r>
      <w:r>
        <w:tab/>
        <w:t>28–31</w:t>
      </w:r>
      <w:r>
        <w:tab/>
        <w:t>8</w:t>
      </w:r>
    </w:p>
    <w:p w14:paraId="4ABEEA9B" w14:textId="77777777" w:rsidR="00554809" w:rsidRDefault="00554809" w:rsidP="00554809">
      <w:pPr>
        <w:tabs>
          <w:tab w:val="right" w:leader="dot" w:pos="7654"/>
          <w:tab w:val="right" w:pos="8929"/>
          <w:tab w:val="right" w:pos="9638"/>
        </w:tabs>
        <w:spacing w:after="120"/>
        <w:ind w:left="1559" w:hanging="425"/>
      </w:pPr>
      <w:r>
        <w:t>E.</w:t>
      </w:r>
      <w:r>
        <w:tab/>
      </w:r>
      <w:r w:rsidRPr="00E44F21">
        <w:rPr>
          <w:lang w:val="fr-FR"/>
        </w:rPr>
        <w:t>Questions relatives aux sociétés de classification</w:t>
      </w:r>
      <w:r>
        <w:tab/>
      </w:r>
      <w:r>
        <w:tab/>
        <w:t>32–38</w:t>
      </w:r>
      <w:r>
        <w:tab/>
        <w:t>9</w:t>
      </w:r>
    </w:p>
    <w:p w14:paraId="193B2C41" w14:textId="77777777" w:rsidR="00554809" w:rsidRDefault="00554809" w:rsidP="00554809">
      <w:pPr>
        <w:tabs>
          <w:tab w:val="right" w:leader="dot" w:pos="7654"/>
          <w:tab w:val="right" w:pos="8929"/>
          <w:tab w:val="right" w:pos="9638"/>
        </w:tabs>
        <w:spacing w:after="120"/>
        <w:ind w:left="1984" w:hanging="425"/>
      </w:pPr>
      <w:r>
        <w:t>1.</w:t>
      </w:r>
      <w:r>
        <w:tab/>
      </w:r>
      <w:r w:rsidRPr="00E44F21">
        <w:rPr>
          <w:lang w:val="fr-FR"/>
        </w:rPr>
        <w:t>Contenu du dossier de bateau</w:t>
      </w:r>
      <w:r>
        <w:tab/>
      </w:r>
      <w:r>
        <w:tab/>
        <w:t>32–33</w:t>
      </w:r>
      <w:r>
        <w:tab/>
        <w:t>9</w:t>
      </w:r>
    </w:p>
    <w:p w14:paraId="0E1D7B54" w14:textId="77777777" w:rsidR="00554809" w:rsidRDefault="00554809" w:rsidP="00554809">
      <w:pPr>
        <w:tabs>
          <w:tab w:val="right" w:leader="dot" w:pos="7654"/>
          <w:tab w:val="right" w:pos="8929"/>
          <w:tab w:val="right" w:pos="9638"/>
        </w:tabs>
        <w:spacing w:after="120"/>
        <w:ind w:left="1984" w:hanging="425"/>
      </w:pPr>
      <w:r>
        <w:t>2.</w:t>
      </w:r>
      <w:r>
        <w:tab/>
      </w:r>
      <w:r w:rsidRPr="00E44F21">
        <w:rPr>
          <w:lang w:val="fr-FR"/>
        </w:rPr>
        <w:t xml:space="preserve">Rapport de la dix-septième réunion du groupe de travail informel </w:t>
      </w:r>
      <w:r>
        <w:rPr>
          <w:lang w:val="fr-FR"/>
        </w:rPr>
        <w:br/>
      </w:r>
      <w:r w:rsidRPr="00E44F21">
        <w:rPr>
          <w:lang w:val="fr-FR"/>
        </w:rPr>
        <w:t>des sociétés de classification recommandées ADN</w:t>
      </w:r>
      <w:r>
        <w:tab/>
      </w:r>
      <w:r>
        <w:tab/>
        <w:t>34</w:t>
      </w:r>
      <w:r>
        <w:tab/>
        <w:t>9</w:t>
      </w:r>
    </w:p>
    <w:p w14:paraId="1C110475" w14:textId="77777777" w:rsidR="00554809" w:rsidRDefault="00554809" w:rsidP="00554809">
      <w:pPr>
        <w:tabs>
          <w:tab w:val="right" w:leader="dot" w:pos="7654"/>
          <w:tab w:val="right" w:pos="8929"/>
          <w:tab w:val="right" w:pos="9638"/>
        </w:tabs>
        <w:spacing w:after="120"/>
        <w:ind w:left="1984" w:hanging="425"/>
      </w:pPr>
      <w:r>
        <w:t>3.</w:t>
      </w:r>
      <w:r>
        <w:tab/>
      </w:r>
      <w:r w:rsidRPr="00E44F21">
        <w:rPr>
          <w:lang w:val="fr-FR"/>
        </w:rPr>
        <w:t>État d’avancement de l’agrément des instruments de chargement</w:t>
      </w:r>
      <w:r>
        <w:tab/>
      </w:r>
      <w:r>
        <w:tab/>
        <w:t>35</w:t>
      </w:r>
      <w:r>
        <w:tab/>
        <w:t>10</w:t>
      </w:r>
    </w:p>
    <w:p w14:paraId="53E4C628" w14:textId="77777777" w:rsidR="00554809" w:rsidRDefault="00554809" w:rsidP="00554809">
      <w:pPr>
        <w:tabs>
          <w:tab w:val="right" w:leader="dot" w:pos="7654"/>
          <w:tab w:val="right" w:pos="8929"/>
          <w:tab w:val="right" w:pos="9638"/>
        </w:tabs>
        <w:spacing w:after="120"/>
        <w:ind w:left="1984" w:hanging="425"/>
      </w:pPr>
      <w:r>
        <w:t>4.</w:t>
      </w:r>
      <w:r>
        <w:tab/>
      </w:r>
      <w:r w:rsidRPr="00E44F21">
        <w:rPr>
          <w:lang w:val="fr-FR"/>
        </w:rPr>
        <w:t xml:space="preserve">Prescriptions du 7.2.2.19.3 relatives aux convois poussés </w:t>
      </w:r>
      <w:r>
        <w:rPr>
          <w:lang w:val="fr-FR"/>
        </w:rPr>
        <w:br/>
      </w:r>
      <w:r w:rsidRPr="00E44F21">
        <w:rPr>
          <w:lang w:val="fr-FR"/>
        </w:rPr>
        <w:t>et aux formations à couple</w:t>
      </w:r>
      <w:r>
        <w:tab/>
      </w:r>
      <w:r>
        <w:tab/>
        <w:t>36</w:t>
      </w:r>
      <w:r>
        <w:tab/>
        <w:t>10</w:t>
      </w:r>
    </w:p>
    <w:p w14:paraId="0A92DB94" w14:textId="77777777" w:rsidR="00554809" w:rsidRDefault="00554809" w:rsidP="00554809">
      <w:pPr>
        <w:tabs>
          <w:tab w:val="right" w:leader="dot" w:pos="7654"/>
          <w:tab w:val="right" w:pos="8929"/>
          <w:tab w:val="right" w:pos="9638"/>
        </w:tabs>
        <w:spacing w:after="120"/>
        <w:ind w:left="1984" w:hanging="425"/>
      </w:pPr>
      <w:r>
        <w:t>5.</w:t>
      </w:r>
      <w:r>
        <w:tab/>
      </w:r>
      <w:r w:rsidRPr="00E44F21">
        <w:rPr>
          <w:lang w:val="fr-FR"/>
        </w:rPr>
        <w:t xml:space="preserve">Dispositions transitoires concernant le groupe ou sous-groupe </w:t>
      </w:r>
      <w:r>
        <w:rPr>
          <w:lang w:val="fr-FR"/>
        </w:rPr>
        <w:br/>
      </w:r>
      <w:r w:rsidRPr="00E44F21">
        <w:rPr>
          <w:lang w:val="fr-FR"/>
        </w:rPr>
        <w:t>d’explosion</w:t>
      </w:r>
      <w:r>
        <w:tab/>
      </w:r>
      <w:r>
        <w:tab/>
        <w:t>37</w:t>
      </w:r>
      <w:r>
        <w:tab/>
        <w:t>10</w:t>
      </w:r>
    </w:p>
    <w:p w14:paraId="3EFE7796" w14:textId="77777777" w:rsidR="00554809" w:rsidRDefault="00554809" w:rsidP="00554809">
      <w:pPr>
        <w:tabs>
          <w:tab w:val="right" w:leader="dot" w:pos="7654"/>
          <w:tab w:val="right" w:pos="8929"/>
          <w:tab w:val="right" w:pos="9638"/>
        </w:tabs>
        <w:spacing w:after="120"/>
        <w:ind w:left="1984" w:hanging="425"/>
      </w:pPr>
      <w:r>
        <w:t>6.</w:t>
      </w:r>
      <w:r>
        <w:tab/>
      </w:r>
      <w:r w:rsidRPr="00E44F21">
        <w:rPr>
          <w:lang w:val="fr-FR"/>
        </w:rPr>
        <w:t xml:space="preserve">Référence à la conformité à la norme ISO/IEC </w:t>
      </w:r>
      <w:proofErr w:type="gramStart"/>
      <w:r w:rsidRPr="00E44F21">
        <w:rPr>
          <w:lang w:val="fr-FR"/>
        </w:rPr>
        <w:t>17020:</w:t>
      </w:r>
      <w:proofErr w:type="gramEnd"/>
      <w:r w:rsidRPr="00E44F21">
        <w:rPr>
          <w:lang w:val="fr-FR"/>
        </w:rPr>
        <w:t xml:space="preserve">2012 </w:t>
      </w:r>
      <w:r>
        <w:rPr>
          <w:lang w:val="fr-FR"/>
        </w:rPr>
        <w:br/>
      </w:r>
      <w:r w:rsidRPr="00E44F21">
        <w:rPr>
          <w:lang w:val="fr-FR"/>
        </w:rPr>
        <w:t>(ECE/TRANS/WP.15/AC.2/68)</w:t>
      </w:r>
      <w:r>
        <w:tab/>
      </w:r>
      <w:r>
        <w:tab/>
        <w:t>38</w:t>
      </w:r>
      <w:r>
        <w:tab/>
        <w:t>10</w:t>
      </w:r>
    </w:p>
    <w:p w14:paraId="433E7F85" w14:textId="77777777" w:rsidR="00554809" w:rsidRDefault="00554809" w:rsidP="00554809">
      <w:pPr>
        <w:tabs>
          <w:tab w:val="right" w:pos="850"/>
          <w:tab w:val="right" w:leader="dot" w:pos="7654"/>
          <w:tab w:val="right" w:pos="8929"/>
          <w:tab w:val="right" w:pos="9638"/>
        </w:tabs>
        <w:spacing w:after="120"/>
        <w:ind w:left="1134" w:hanging="1134"/>
      </w:pPr>
      <w:r>
        <w:tab/>
        <w:t>VI.</w:t>
      </w:r>
      <w:r>
        <w:tab/>
      </w:r>
      <w:r w:rsidRPr="00E44F21">
        <w:rPr>
          <w:lang w:val="fr-FR"/>
        </w:rPr>
        <w:t xml:space="preserve">Propositions d’amendements au Règlement annexé à l’ADN (point 4 de l’ordre </w:t>
      </w:r>
      <w:r>
        <w:rPr>
          <w:lang w:val="fr-FR"/>
        </w:rPr>
        <w:br/>
      </w:r>
      <w:r w:rsidRPr="00E44F21">
        <w:rPr>
          <w:lang w:val="fr-FR"/>
        </w:rPr>
        <w:t>du jour)</w:t>
      </w:r>
      <w:r>
        <w:tab/>
      </w:r>
      <w:r>
        <w:tab/>
        <w:t>39–61</w:t>
      </w:r>
      <w:r>
        <w:tab/>
        <w:t>10</w:t>
      </w:r>
    </w:p>
    <w:p w14:paraId="4FAEFCD6" w14:textId="77777777" w:rsidR="00554809" w:rsidRDefault="00554809" w:rsidP="00554809">
      <w:pPr>
        <w:tabs>
          <w:tab w:val="right" w:leader="dot" w:pos="7654"/>
          <w:tab w:val="right" w:pos="8929"/>
          <w:tab w:val="right" w:pos="9638"/>
        </w:tabs>
        <w:spacing w:after="120"/>
        <w:ind w:left="1559" w:hanging="425"/>
      </w:pPr>
      <w:r>
        <w:t>A.</w:t>
      </w:r>
      <w:r>
        <w:tab/>
      </w:r>
      <w:r w:rsidRPr="00E44F21">
        <w:rPr>
          <w:lang w:val="fr-FR"/>
        </w:rPr>
        <w:t>Travaux de la Réunion commune RID/ADR/ADN</w:t>
      </w:r>
      <w:r>
        <w:tab/>
      </w:r>
      <w:r>
        <w:tab/>
        <w:t>39–41</w:t>
      </w:r>
      <w:r>
        <w:tab/>
        <w:t>10</w:t>
      </w:r>
    </w:p>
    <w:p w14:paraId="072690B0" w14:textId="77777777" w:rsidR="00554809" w:rsidRDefault="00554809" w:rsidP="00554809">
      <w:pPr>
        <w:tabs>
          <w:tab w:val="right" w:leader="dot" w:pos="7654"/>
          <w:tab w:val="right" w:pos="8929"/>
          <w:tab w:val="right" w:pos="9638"/>
        </w:tabs>
        <w:spacing w:after="120"/>
        <w:ind w:left="1559" w:hanging="425"/>
      </w:pPr>
      <w:r>
        <w:t>B.</w:t>
      </w:r>
      <w:r>
        <w:tab/>
      </w:r>
      <w:r w:rsidRPr="00E44F21">
        <w:rPr>
          <w:lang w:val="fr-FR"/>
        </w:rPr>
        <w:t>Autres propositions</w:t>
      </w:r>
      <w:r>
        <w:tab/>
      </w:r>
      <w:r>
        <w:tab/>
        <w:t>42–61</w:t>
      </w:r>
      <w:r>
        <w:tab/>
        <w:t>11</w:t>
      </w:r>
    </w:p>
    <w:p w14:paraId="6D895579" w14:textId="77777777" w:rsidR="00554809" w:rsidRDefault="00554809" w:rsidP="00554809">
      <w:pPr>
        <w:tabs>
          <w:tab w:val="right" w:leader="dot" w:pos="7654"/>
          <w:tab w:val="right" w:pos="8929"/>
          <w:tab w:val="right" w:pos="9638"/>
        </w:tabs>
        <w:spacing w:after="120"/>
        <w:ind w:left="1984" w:hanging="425"/>
      </w:pPr>
      <w:r>
        <w:lastRenderedPageBreak/>
        <w:t>1.</w:t>
      </w:r>
      <w:r>
        <w:tab/>
      </w:r>
      <w:r w:rsidRPr="00E44F21">
        <w:rPr>
          <w:lang w:val="fr-FR"/>
        </w:rPr>
        <w:t xml:space="preserve">Proposition d’amendement concernant le </w:t>
      </w:r>
      <w:r>
        <w:rPr>
          <w:lang w:val="fr-FR"/>
        </w:rPr>
        <w:t>No</w:t>
      </w:r>
      <w:r w:rsidRPr="00E44F21">
        <w:rPr>
          <w:lang w:val="fr-FR"/>
        </w:rPr>
        <w:t xml:space="preserve"> ONU 2057 (</w:t>
      </w:r>
      <w:proofErr w:type="spellStart"/>
      <w:r w:rsidRPr="00E44F21">
        <w:rPr>
          <w:lang w:val="fr-FR"/>
        </w:rPr>
        <w:t>tripropylène</w:t>
      </w:r>
      <w:proofErr w:type="spellEnd"/>
      <w:r w:rsidRPr="00E44F21">
        <w:rPr>
          <w:lang w:val="fr-FR"/>
        </w:rPr>
        <w:t xml:space="preserve">) </w:t>
      </w:r>
      <w:r>
        <w:rPr>
          <w:lang w:val="fr-FR"/>
        </w:rPr>
        <w:br/>
      </w:r>
      <w:r w:rsidRPr="00E44F21">
        <w:rPr>
          <w:lang w:val="fr-FR"/>
        </w:rPr>
        <w:t>dans le tableau C</w:t>
      </w:r>
      <w:r>
        <w:tab/>
      </w:r>
      <w:r>
        <w:tab/>
        <w:t>42</w:t>
      </w:r>
      <w:r>
        <w:tab/>
        <w:t>11</w:t>
      </w:r>
    </w:p>
    <w:p w14:paraId="48A1033C" w14:textId="77777777" w:rsidR="00554809" w:rsidRDefault="00554809" w:rsidP="00554809">
      <w:pPr>
        <w:tabs>
          <w:tab w:val="right" w:leader="dot" w:pos="7654"/>
          <w:tab w:val="right" w:pos="8929"/>
          <w:tab w:val="right" w:pos="9638"/>
        </w:tabs>
        <w:spacing w:after="120"/>
        <w:ind w:left="1984" w:hanging="425"/>
      </w:pPr>
      <w:r>
        <w:t>2.</w:t>
      </w:r>
      <w:r>
        <w:tab/>
      </w:r>
      <w:r w:rsidRPr="00E44F21">
        <w:rPr>
          <w:lang w:val="fr-FR"/>
        </w:rPr>
        <w:t>Définition de «</w:t>
      </w:r>
      <w:r>
        <w:rPr>
          <w:lang w:val="fr-FR"/>
        </w:rPr>
        <w:t> </w:t>
      </w:r>
      <w:r w:rsidRPr="00E44F21">
        <w:rPr>
          <w:lang w:val="fr-FR"/>
        </w:rPr>
        <w:t>conduite de retour de gaz (à terre)</w:t>
      </w:r>
      <w:r>
        <w:rPr>
          <w:lang w:val="fr-FR"/>
        </w:rPr>
        <w:t> </w:t>
      </w:r>
      <w:r w:rsidRPr="00E44F21">
        <w:rPr>
          <w:lang w:val="fr-FR"/>
        </w:rPr>
        <w:t xml:space="preserve">» au 1.2.1 </w:t>
      </w:r>
      <w:r>
        <w:rPr>
          <w:lang w:val="fr-FR"/>
        </w:rPr>
        <w:br/>
      </w:r>
      <w:r w:rsidRPr="00E44F21">
        <w:rPr>
          <w:lang w:val="fr-FR"/>
        </w:rPr>
        <w:t>de l’ADN</w:t>
      </w:r>
      <w:r>
        <w:tab/>
      </w:r>
      <w:r>
        <w:tab/>
        <w:t>43</w:t>
      </w:r>
      <w:r>
        <w:tab/>
        <w:t>11</w:t>
      </w:r>
    </w:p>
    <w:p w14:paraId="6405ED6F" w14:textId="77777777" w:rsidR="00554809" w:rsidRDefault="00554809" w:rsidP="00554809">
      <w:pPr>
        <w:tabs>
          <w:tab w:val="right" w:leader="dot" w:pos="7654"/>
          <w:tab w:val="right" w:pos="8929"/>
          <w:tab w:val="right" w:pos="9638"/>
        </w:tabs>
        <w:spacing w:after="120"/>
        <w:ind w:left="1984" w:hanging="425"/>
      </w:pPr>
      <w:r>
        <w:t>3.</w:t>
      </w:r>
      <w:r>
        <w:tab/>
      </w:r>
      <w:r w:rsidRPr="00E44F21">
        <w:rPr>
          <w:lang w:val="fr-FR"/>
        </w:rPr>
        <w:t xml:space="preserve">Demande de discussion sur les rubriques du tableau C pour lesquelles </w:t>
      </w:r>
      <w:r>
        <w:rPr>
          <w:lang w:val="fr-FR"/>
        </w:rPr>
        <w:br/>
      </w:r>
      <w:r w:rsidRPr="00E44F21">
        <w:rPr>
          <w:lang w:val="fr-FR"/>
        </w:rPr>
        <w:t>l’observation 44 est indiquée</w:t>
      </w:r>
      <w:r>
        <w:tab/>
      </w:r>
      <w:r>
        <w:tab/>
        <w:t>44</w:t>
      </w:r>
      <w:r>
        <w:tab/>
        <w:t>11</w:t>
      </w:r>
    </w:p>
    <w:p w14:paraId="5272B6F5" w14:textId="77777777" w:rsidR="00554809" w:rsidRDefault="00554809" w:rsidP="00554809">
      <w:pPr>
        <w:tabs>
          <w:tab w:val="right" w:leader="dot" w:pos="7654"/>
          <w:tab w:val="right" w:pos="8929"/>
          <w:tab w:val="right" w:pos="9638"/>
        </w:tabs>
        <w:spacing w:after="120"/>
        <w:ind w:left="1984" w:hanging="425"/>
      </w:pPr>
      <w:r>
        <w:t>4.</w:t>
      </w:r>
      <w:r>
        <w:tab/>
      </w:r>
      <w:r w:rsidRPr="00E44F21">
        <w:rPr>
          <w:lang w:val="fr-FR"/>
        </w:rPr>
        <w:t xml:space="preserve">Demande de discussion sur les rubriques du tableau C contenant </w:t>
      </w:r>
      <w:r>
        <w:rPr>
          <w:lang w:val="fr-FR"/>
        </w:rPr>
        <w:br/>
      </w:r>
      <w:r w:rsidRPr="00E44F21">
        <w:rPr>
          <w:lang w:val="fr-FR"/>
        </w:rPr>
        <w:t>plus de 10 % de benzène et celles signalées par un astérisque</w:t>
      </w:r>
      <w:r>
        <w:tab/>
      </w:r>
      <w:r>
        <w:tab/>
        <w:t>45</w:t>
      </w:r>
      <w:r>
        <w:tab/>
        <w:t>12</w:t>
      </w:r>
    </w:p>
    <w:p w14:paraId="15E1A39B" w14:textId="77777777" w:rsidR="00554809" w:rsidRDefault="00554809" w:rsidP="00554809">
      <w:pPr>
        <w:tabs>
          <w:tab w:val="right" w:leader="dot" w:pos="7654"/>
          <w:tab w:val="right" w:pos="8929"/>
          <w:tab w:val="right" w:pos="9638"/>
        </w:tabs>
        <w:spacing w:after="120"/>
        <w:ind w:left="1984" w:hanging="425"/>
      </w:pPr>
      <w:r>
        <w:t>5.</w:t>
      </w:r>
      <w:r>
        <w:tab/>
      </w:r>
      <w:r w:rsidRPr="00E44F21">
        <w:rPr>
          <w:lang w:val="fr-FR"/>
        </w:rPr>
        <w:t>Corrections à apporter dans l’ADN 2019</w:t>
      </w:r>
      <w:r>
        <w:tab/>
      </w:r>
      <w:r>
        <w:tab/>
        <w:t>46–47</w:t>
      </w:r>
      <w:r>
        <w:tab/>
        <w:t>12</w:t>
      </w:r>
    </w:p>
    <w:p w14:paraId="0C4E398B" w14:textId="77777777" w:rsidR="00554809" w:rsidRDefault="00554809" w:rsidP="00554809">
      <w:pPr>
        <w:tabs>
          <w:tab w:val="right" w:leader="dot" w:pos="7654"/>
          <w:tab w:val="right" w:pos="8929"/>
          <w:tab w:val="right" w:pos="9638"/>
        </w:tabs>
        <w:spacing w:after="120"/>
        <w:ind w:left="1984" w:hanging="425"/>
      </w:pPr>
      <w:r>
        <w:t>6.</w:t>
      </w:r>
      <w:r>
        <w:tab/>
      </w:r>
      <w:r w:rsidRPr="00E44F21">
        <w:rPr>
          <w:lang w:val="fr-FR"/>
        </w:rPr>
        <w:t xml:space="preserve">1.1.3.6 et 1.10.4 de l’ADN (exemptions liées au transport de marchandises </w:t>
      </w:r>
      <w:r>
        <w:rPr>
          <w:lang w:val="fr-FR"/>
        </w:rPr>
        <w:br/>
      </w:r>
      <w:r w:rsidRPr="00E44F21">
        <w:rPr>
          <w:lang w:val="fr-FR"/>
        </w:rPr>
        <w:t>dangereuses</w:t>
      </w:r>
      <w:r>
        <w:rPr>
          <w:lang w:val="fr-FR"/>
        </w:rPr>
        <w:t> </w:t>
      </w:r>
      <w:r w:rsidRPr="00E44F21">
        <w:rPr>
          <w:lang w:val="fr-FR"/>
        </w:rPr>
        <w:t>de la classe 7)</w:t>
      </w:r>
      <w:r>
        <w:tab/>
      </w:r>
      <w:r>
        <w:tab/>
        <w:t>48</w:t>
      </w:r>
      <w:r>
        <w:tab/>
        <w:t>12</w:t>
      </w:r>
    </w:p>
    <w:p w14:paraId="300240DF" w14:textId="77777777" w:rsidR="00554809" w:rsidRDefault="00554809" w:rsidP="00554809">
      <w:pPr>
        <w:tabs>
          <w:tab w:val="right" w:leader="dot" w:pos="7654"/>
          <w:tab w:val="right" w:pos="8929"/>
          <w:tab w:val="right" w:pos="9638"/>
        </w:tabs>
        <w:spacing w:after="120"/>
        <w:ind w:left="1984" w:hanging="425"/>
      </w:pPr>
      <w:r>
        <w:t>7.</w:t>
      </w:r>
      <w:r>
        <w:tab/>
      </w:r>
      <w:r w:rsidRPr="00E44F21">
        <w:rPr>
          <w:lang w:val="fr-FR"/>
        </w:rPr>
        <w:t xml:space="preserve">Installation d’extinction d’incendie à bord d’un convoi (pousseur </w:t>
      </w:r>
      <w:r>
        <w:rPr>
          <w:lang w:val="fr-FR"/>
        </w:rPr>
        <w:br/>
      </w:r>
      <w:r w:rsidRPr="00E44F21">
        <w:rPr>
          <w:lang w:val="fr-FR"/>
        </w:rPr>
        <w:t>et barge non motorisée) ou à bord d’une barge seule (non motorisée)</w:t>
      </w:r>
      <w:r>
        <w:tab/>
      </w:r>
      <w:r>
        <w:tab/>
        <w:t>49</w:t>
      </w:r>
      <w:r>
        <w:tab/>
        <w:t>12</w:t>
      </w:r>
    </w:p>
    <w:p w14:paraId="617F6767" w14:textId="77777777" w:rsidR="00554809" w:rsidRDefault="00554809" w:rsidP="00554809">
      <w:pPr>
        <w:tabs>
          <w:tab w:val="right" w:leader="dot" w:pos="7654"/>
          <w:tab w:val="right" w:pos="8929"/>
          <w:tab w:val="right" w:pos="9638"/>
        </w:tabs>
        <w:spacing w:after="120"/>
        <w:ind w:left="1984" w:hanging="425"/>
      </w:pPr>
      <w:r>
        <w:t>8.</w:t>
      </w:r>
      <w:r>
        <w:tab/>
      </w:r>
      <w:r w:rsidRPr="00E44F21">
        <w:rPr>
          <w:lang w:val="fr-FR"/>
        </w:rPr>
        <w:t xml:space="preserve">1.1.3.6 de l’ADN (Exemptions liées aux quantités transportées à bord </w:t>
      </w:r>
      <w:r>
        <w:rPr>
          <w:lang w:val="fr-FR"/>
        </w:rPr>
        <w:br/>
      </w:r>
      <w:r w:rsidRPr="00E44F21">
        <w:rPr>
          <w:lang w:val="fr-FR"/>
        </w:rPr>
        <w:t>des bateaux)</w:t>
      </w:r>
      <w:r>
        <w:tab/>
      </w:r>
      <w:r>
        <w:tab/>
        <w:t>50</w:t>
      </w:r>
      <w:r>
        <w:tab/>
        <w:t>12</w:t>
      </w:r>
    </w:p>
    <w:p w14:paraId="6FAEC3B1" w14:textId="77777777" w:rsidR="00554809" w:rsidRDefault="00554809" w:rsidP="00554809">
      <w:pPr>
        <w:tabs>
          <w:tab w:val="right" w:leader="dot" w:pos="7654"/>
          <w:tab w:val="right" w:pos="8929"/>
          <w:tab w:val="right" w:pos="9638"/>
        </w:tabs>
        <w:spacing w:after="120"/>
        <w:ind w:left="1984" w:hanging="425"/>
      </w:pPr>
      <w:r>
        <w:t>9.</w:t>
      </w:r>
      <w:r>
        <w:tab/>
      </w:r>
      <w:r w:rsidRPr="00E44F21">
        <w:rPr>
          <w:lang w:val="fr-FR"/>
        </w:rPr>
        <w:t xml:space="preserve">Corrections d’incohérences dans les modèles de certificats </w:t>
      </w:r>
      <w:r>
        <w:rPr>
          <w:lang w:val="fr-FR"/>
        </w:rPr>
        <w:br/>
      </w:r>
      <w:r w:rsidRPr="00E44F21">
        <w:rPr>
          <w:lang w:val="fr-FR"/>
        </w:rPr>
        <w:t>d’agrément</w:t>
      </w:r>
      <w:r>
        <w:tab/>
      </w:r>
      <w:r>
        <w:tab/>
        <w:t>51–52</w:t>
      </w:r>
      <w:r>
        <w:tab/>
        <w:t>13</w:t>
      </w:r>
    </w:p>
    <w:p w14:paraId="1E963F02" w14:textId="77777777" w:rsidR="00554809" w:rsidRDefault="00554809" w:rsidP="00554809">
      <w:pPr>
        <w:tabs>
          <w:tab w:val="right" w:leader="dot" w:pos="7654"/>
          <w:tab w:val="right" w:pos="8929"/>
          <w:tab w:val="right" w:pos="9638"/>
        </w:tabs>
        <w:spacing w:after="120"/>
        <w:ind w:left="1984" w:hanging="425"/>
      </w:pPr>
      <w:r>
        <w:t>10.</w:t>
      </w:r>
      <w:r>
        <w:tab/>
      </w:r>
      <w:r w:rsidRPr="00E44F21">
        <w:rPr>
          <w:lang w:val="fr-FR"/>
        </w:rPr>
        <w:t xml:space="preserve">Mise à jour des listes de contrôle des bateaux conformément </w:t>
      </w:r>
      <w:r>
        <w:rPr>
          <w:lang w:val="fr-FR"/>
        </w:rPr>
        <w:br/>
      </w:r>
      <w:r w:rsidRPr="00E44F21">
        <w:rPr>
          <w:lang w:val="fr-FR"/>
        </w:rPr>
        <w:t>au 1.8.1.2.1</w:t>
      </w:r>
      <w:r>
        <w:tab/>
      </w:r>
      <w:r>
        <w:tab/>
        <w:t>53–54</w:t>
      </w:r>
      <w:r>
        <w:tab/>
        <w:t>13</w:t>
      </w:r>
    </w:p>
    <w:p w14:paraId="04FC042D" w14:textId="77777777" w:rsidR="00554809" w:rsidRDefault="00554809" w:rsidP="00554809">
      <w:pPr>
        <w:tabs>
          <w:tab w:val="right" w:leader="dot" w:pos="7654"/>
          <w:tab w:val="right" w:pos="8929"/>
          <w:tab w:val="right" w:pos="9638"/>
        </w:tabs>
        <w:spacing w:after="120"/>
        <w:ind w:left="1984" w:hanging="425"/>
      </w:pPr>
      <w:r>
        <w:t>11.</w:t>
      </w:r>
      <w:r>
        <w:tab/>
      </w:r>
      <w:r w:rsidRPr="00E44F21">
        <w:rPr>
          <w:lang w:val="fr-FR"/>
        </w:rPr>
        <w:t xml:space="preserve">Amendement au 8.1.2.3 (documents devant se trouver à bord </w:t>
      </w:r>
      <w:r>
        <w:rPr>
          <w:lang w:val="fr-FR"/>
        </w:rPr>
        <w:br/>
      </w:r>
      <w:r w:rsidRPr="00E44F21">
        <w:rPr>
          <w:lang w:val="fr-FR"/>
        </w:rPr>
        <w:t>des bateaux-citernes</w:t>
      </w:r>
      <w:r>
        <w:rPr>
          <w:lang w:val="fr-FR"/>
        </w:rPr>
        <w:t xml:space="preserve"> </w:t>
      </w:r>
      <w:r w:rsidRPr="00E44F21">
        <w:rPr>
          <w:lang w:val="fr-FR"/>
        </w:rPr>
        <w:t>− prescriptions transitoires)</w:t>
      </w:r>
      <w:r>
        <w:tab/>
      </w:r>
      <w:r>
        <w:tab/>
        <w:t>55</w:t>
      </w:r>
      <w:r>
        <w:tab/>
        <w:t>13</w:t>
      </w:r>
    </w:p>
    <w:p w14:paraId="5338DAA9" w14:textId="77777777" w:rsidR="00554809" w:rsidRDefault="00554809" w:rsidP="00554809">
      <w:pPr>
        <w:tabs>
          <w:tab w:val="right" w:leader="dot" w:pos="7654"/>
          <w:tab w:val="right" w:pos="8929"/>
          <w:tab w:val="right" w:pos="9638"/>
        </w:tabs>
        <w:spacing w:after="120"/>
        <w:ind w:left="1984" w:hanging="425"/>
      </w:pPr>
      <w:r>
        <w:t>12.</w:t>
      </w:r>
      <w:r>
        <w:tab/>
      </w:r>
      <w:r w:rsidRPr="00E44F21">
        <w:rPr>
          <w:lang w:val="fr-FR"/>
        </w:rPr>
        <w:t>Tuyauteries flexibles utilisées pour le GNL</w:t>
      </w:r>
      <w:r>
        <w:tab/>
      </w:r>
      <w:r>
        <w:tab/>
        <w:t>56</w:t>
      </w:r>
      <w:r>
        <w:tab/>
        <w:t>13</w:t>
      </w:r>
    </w:p>
    <w:p w14:paraId="47295498" w14:textId="77777777" w:rsidR="00554809" w:rsidRDefault="00554809" w:rsidP="00554809">
      <w:pPr>
        <w:tabs>
          <w:tab w:val="right" w:leader="dot" w:pos="7654"/>
          <w:tab w:val="right" w:pos="8929"/>
          <w:tab w:val="right" w:pos="9638"/>
        </w:tabs>
        <w:spacing w:after="120"/>
        <w:ind w:left="1984" w:hanging="425"/>
      </w:pPr>
      <w:r>
        <w:t>13.</w:t>
      </w:r>
      <w:r>
        <w:tab/>
      </w:r>
      <w:r w:rsidRPr="00E44F21">
        <w:rPr>
          <w:lang w:val="fr-FR"/>
        </w:rPr>
        <w:t xml:space="preserve">Amendements au 8.1.2.3 (documents devant se trouver à bord </w:t>
      </w:r>
      <w:r>
        <w:rPr>
          <w:lang w:val="fr-FR"/>
        </w:rPr>
        <w:br/>
      </w:r>
      <w:r w:rsidRPr="00E44F21">
        <w:rPr>
          <w:lang w:val="fr-FR"/>
        </w:rPr>
        <w:t>des bateaux-citernes)</w:t>
      </w:r>
      <w:r>
        <w:tab/>
      </w:r>
      <w:r>
        <w:tab/>
        <w:t>57</w:t>
      </w:r>
      <w:r>
        <w:tab/>
        <w:t>14</w:t>
      </w:r>
    </w:p>
    <w:p w14:paraId="179F24D6" w14:textId="77777777" w:rsidR="00554809" w:rsidRDefault="00554809" w:rsidP="00554809">
      <w:pPr>
        <w:tabs>
          <w:tab w:val="right" w:leader="dot" w:pos="7654"/>
          <w:tab w:val="right" w:pos="8929"/>
          <w:tab w:val="right" w:pos="9638"/>
        </w:tabs>
        <w:spacing w:after="120"/>
        <w:ind w:left="1984" w:hanging="425"/>
      </w:pPr>
      <w:r>
        <w:t>14.</w:t>
      </w:r>
      <w:r>
        <w:tab/>
      </w:r>
      <w:r w:rsidRPr="00E44F21">
        <w:rPr>
          <w:lang w:val="fr-FR"/>
        </w:rPr>
        <w:t xml:space="preserve">Amendement au 8.1.2.2 (documents devant se trouver à bord </w:t>
      </w:r>
      <w:r>
        <w:rPr>
          <w:lang w:val="fr-FR"/>
        </w:rPr>
        <w:br/>
      </w:r>
      <w:r w:rsidRPr="00E44F21">
        <w:rPr>
          <w:lang w:val="fr-FR"/>
        </w:rPr>
        <w:t>des bateaux à</w:t>
      </w:r>
      <w:r>
        <w:rPr>
          <w:lang w:val="fr-FR"/>
        </w:rPr>
        <w:t> </w:t>
      </w:r>
      <w:r w:rsidRPr="00E44F21">
        <w:rPr>
          <w:lang w:val="fr-FR"/>
        </w:rPr>
        <w:t>marchandises sèches)</w:t>
      </w:r>
      <w:r>
        <w:tab/>
      </w:r>
      <w:r>
        <w:tab/>
        <w:t>58</w:t>
      </w:r>
      <w:r>
        <w:tab/>
        <w:t>14</w:t>
      </w:r>
    </w:p>
    <w:p w14:paraId="4F54E282" w14:textId="77777777" w:rsidR="00554809" w:rsidRDefault="00554809" w:rsidP="00554809">
      <w:pPr>
        <w:tabs>
          <w:tab w:val="right" w:leader="dot" w:pos="7654"/>
          <w:tab w:val="right" w:pos="8929"/>
          <w:tab w:val="right" w:pos="9638"/>
        </w:tabs>
        <w:spacing w:after="120"/>
        <w:ind w:left="1984" w:hanging="425"/>
      </w:pPr>
      <w:r>
        <w:t>15.</w:t>
      </w:r>
      <w:r>
        <w:tab/>
      </w:r>
      <w:r w:rsidRPr="00E44F21">
        <w:rPr>
          <w:lang w:val="fr-FR"/>
        </w:rPr>
        <w:t>Amendement au 7.1.4.1 (Limitation des quantités transportées)</w:t>
      </w:r>
      <w:r>
        <w:tab/>
      </w:r>
      <w:r>
        <w:tab/>
        <w:t>59</w:t>
      </w:r>
      <w:r>
        <w:tab/>
        <w:t>14</w:t>
      </w:r>
    </w:p>
    <w:p w14:paraId="06827AFC" w14:textId="77777777" w:rsidR="00554809" w:rsidRDefault="00554809" w:rsidP="00554809">
      <w:pPr>
        <w:tabs>
          <w:tab w:val="right" w:leader="dot" w:pos="7654"/>
          <w:tab w:val="right" w:pos="8929"/>
          <w:tab w:val="right" w:pos="9638"/>
        </w:tabs>
        <w:spacing w:after="120"/>
        <w:ind w:left="1984" w:hanging="425"/>
      </w:pPr>
      <w:r>
        <w:t>16.</w:t>
      </w:r>
      <w:r>
        <w:tab/>
      </w:r>
      <w:r w:rsidRPr="00E44F21">
        <w:rPr>
          <w:lang w:val="fr-FR"/>
        </w:rPr>
        <w:t>Corrections au 9.3.x.12.4 b) i)</w:t>
      </w:r>
      <w:r>
        <w:tab/>
      </w:r>
      <w:r>
        <w:tab/>
        <w:t>60</w:t>
      </w:r>
      <w:r>
        <w:tab/>
        <w:t>14</w:t>
      </w:r>
    </w:p>
    <w:p w14:paraId="56B4BC49" w14:textId="77777777" w:rsidR="00554809" w:rsidRDefault="00554809" w:rsidP="00554809">
      <w:pPr>
        <w:tabs>
          <w:tab w:val="right" w:leader="dot" w:pos="7654"/>
          <w:tab w:val="right" w:pos="8929"/>
          <w:tab w:val="right" w:pos="9638"/>
        </w:tabs>
        <w:spacing w:after="120"/>
        <w:ind w:left="1984" w:hanging="425"/>
      </w:pPr>
      <w:r>
        <w:t>17.</w:t>
      </w:r>
      <w:r>
        <w:tab/>
      </w:r>
      <w:r w:rsidRPr="00E44F21">
        <w:rPr>
          <w:lang w:val="fr-FR"/>
        </w:rPr>
        <w:t xml:space="preserve">Corrections aux dispositions transitoires pour le 9.3.1.17.4 / 9.3.3.17.4 </w:t>
      </w:r>
      <w:r>
        <w:rPr>
          <w:lang w:val="fr-FR"/>
        </w:rPr>
        <w:br/>
      </w:r>
      <w:r w:rsidRPr="00E44F21">
        <w:rPr>
          <w:lang w:val="fr-FR"/>
        </w:rPr>
        <w:t>du 1.6.7.2.2.2</w:t>
      </w:r>
      <w:r>
        <w:tab/>
      </w:r>
      <w:r>
        <w:tab/>
        <w:t>61</w:t>
      </w:r>
      <w:r>
        <w:tab/>
        <w:t>14</w:t>
      </w:r>
    </w:p>
    <w:p w14:paraId="6EA812D6" w14:textId="77777777" w:rsidR="00554809" w:rsidRDefault="00554809" w:rsidP="00554809">
      <w:pPr>
        <w:tabs>
          <w:tab w:val="right" w:pos="850"/>
          <w:tab w:val="right" w:leader="dot" w:pos="7654"/>
          <w:tab w:val="right" w:pos="8929"/>
          <w:tab w:val="right" w:pos="9638"/>
        </w:tabs>
        <w:spacing w:after="120"/>
        <w:ind w:left="1134" w:hanging="1134"/>
      </w:pPr>
      <w:r>
        <w:tab/>
        <w:t>VII.</w:t>
      </w:r>
      <w:r>
        <w:tab/>
      </w:r>
      <w:r w:rsidRPr="00E44F21">
        <w:rPr>
          <w:lang w:val="fr-FR"/>
        </w:rPr>
        <w:t>Rapports des groupes de travail informels (point 5 de l’ordre du jour)</w:t>
      </w:r>
      <w:r>
        <w:tab/>
      </w:r>
      <w:r>
        <w:tab/>
        <w:t>62–70</w:t>
      </w:r>
      <w:r>
        <w:tab/>
        <w:t>14</w:t>
      </w:r>
    </w:p>
    <w:p w14:paraId="40E77F2C" w14:textId="77777777" w:rsidR="00554809" w:rsidRDefault="00554809" w:rsidP="00554809">
      <w:pPr>
        <w:tabs>
          <w:tab w:val="right" w:leader="dot" w:pos="7654"/>
          <w:tab w:val="right" w:pos="8929"/>
          <w:tab w:val="right" w:pos="9638"/>
        </w:tabs>
        <w:spacing w:after="120"/>
        <w:ind w:left="1559" w:hanging="425"/>
      </w:pPr>
      <w:r>
        <w:t>A.</w:t>
      </w:r>
      <w:r>
        <w:tab/>
      </w:r>
      <w:r w:rsidRPr="00E44F21">
        <w:rPr>
          <w:lang w:val="fr-FR"/>
        </w:rPr>
        <w:t xml:space="preserve">Rapport du groupe de travail informel des citernes à membrane </w:t>
      </w:r>
      <w:r>
        <w:rPr>
          <w:lang w:val="fr-FR"/>
        </w:rPr>
        <w:br/>
      </w:r>
      <w:r w:rsidRPr="00E44F21">
        <w:rPr>
          <w:lang w:val="fr-FR"/>
        </w:rPr>
        <w:t>sur sa quatrième réunion</w:t>
      </w:r>
      <w:r>
        <w:tab/>
      </w:r>
      <w:r>
        <w:tab/>
        <w:t>62–65</w:t>
      </w:r>
      <w:r>
        <w:tab/>
        <w:t>14</w:t>
      </w:r>
    </w:p>
    <w:p w14:paraId="0C069653" w14:textId="77777777" w:rsidR="00554809" w:rsidRDefault="00554809" w:rsidP="00554809">
      <w:pPr>
        <w:tabs>
          <w:tab w:val="right" w:leader="dot" w:pos="7654"/>
          <w:tab w:val="right" w:pos="8929"/>
          <w:tab w:val="right" w:pos="9638"/>
        </w:tabs>
        <w:spacing w:after="120"/>
        <w:ind w:left="1559" w:hanging="425"/>
      </w:pPr>
      <w:r>
        <w:t>B.</w:t>
      </w:r>
      <w:r>
        <w:tab/>
      </w:r>
      <w:r w:rsidRPr="00E44F21">
        <w:rPr>
          <w:lang w:val="fr-FR"/>
        </w:rPr>
        <w:t>Rapport du groupe de travail informel du mélange de cargaisons à</w:t>
      </w:r>
      <w:r>
        <w:rPr>
          <w:lang w:val="fr-FR"/>
        </w:rPr>
        <w:t> </w:t>
      </w:r>
      <w:r w:rsidRPr="00E44F21">
        <w:rPr>
          <w:lang w:val="fr-FR"/>
        </w:rPr>
        <w:t>bord</w:t>
      </w:r>
      <w:r>
        <w:rPr>
          <w:lang w:val="fr-FR"/>
        </w:rPr>
        <w:t xml:space="preserve"> </w:t>
      </w:r>
      <w:r>
        <w:rPr>
          <w:lang w:val="fr-FR"/>
        </w:rPr>
        <w:br/>
      </w:r>
      <w:r w:rsidRPr="00E44F21">
        <w:rPr>
          <w:lang w:val="fr-FR"/>
        </w:rPr>
        <w:t>des barges sur sa troisième réunion</w:t>
      </w:r>
      <w:r>
        <w:tab/>
      </w:r>
      <w:r>
        <w:tab/>
        <w:t>66–67</w:t>
      </w:r>
      <w:r>
        <w:tab/>
        <w:t>15</w:t>
      </w:r>
    </w:p>
    <w:p w14:paraId="73C1B1BC" w14:textId="77777777" w:rsidR="00554809" w:rsidRDefault="00554809" w:rsidP="00554809">
      <w:pPr>
        <w:tabs>
          <w:tab w:val="right" w:leader="dot" w:pos="7654"/>
          <w:tab w:val="right" w:pos="8929"/>
          <w:tab w:val="right" w:pos="9638"/>
        </w:tabs>
        <w:spacing w:after="120"/>
        <w:ind w:left="1559" w:hanging="425"/>
      </w:pPr>
      <w:r>
        <w:t>C.</w:t>
      </w:r>
      <w:r>
        <w:tab/>
      </w:r>
      <w:r w:rsidRPr="00E44F21">
        <w:rPr>
          <w:lang w:val="fr-FR"/>
        </w:rPr>
        <w:t>Rapport du groupe de travail informel des matières sur sa onzième réunion</w:t>
      </w:r>
      <w:r>
        <w:tab/>
      </w:r>
      <w:r>
        <w:tab/>
        <w:t>68–70</w:t>
      </w:r>
      <w:r>
        <w:tab/>
        <w:t>16</w:t>
      </w:r>
    </w:p>
    <w:p w14:paraId="68CC735A" w14:textId="77777777" w:rsidR="00554809" w:rsidRDefault="00554809" w:rsidP="00554809">
      <w:pPr>
        <w:tabs>
          <w:tab w:val="right" w:pos="850"/>
          <w:tab w:val="right" w:leader="dot" w:pos="7654"/>
          <w:tab w:val="right" w:pos="8929"/>
          <w:tab w:val="right" w:pos="9638"/>
        </w:tabs>
        <w:spacing w:after="120"/>
        <w:ind w:left="1134" w:hanging="1134"/>
      </w:pPr>
      <w:r>
        <w:tab/>
        <w:t>VIII.</w:t>
      </w:r>
      <w:r>
        <w:tab/>
      </w:r>
      <w:r w:rsidRPr="00E44F21">
        <w:rPr>
          <w:lang w:val="fr-FR"/>
        </w:rPr>
        <w:t>Programme de travail et calendrier des réunions (point 6 de l’ordre du jour)</w:t>
      </w:r>
      <w:r>
        <w:tab/>
      </w:r>
      <w:r>
        <w:tab/>
        <w:t>71</w:t>
      </w:r>
      <w:r>
        <w:tab/>
        <w:t>16</w:t>
      </w:r>
    </w:p>
    <w:p w14:paraId="06723FDB" w14:textId="77777777" w:rsidR="00554809" w:rsidRDefault="00554809" w:rsidP="00554809">
      <w:pPr>
        <w:tabs>
          <w:tab w:val="right" w:pos="850"/>
          <w:tab w:val="right" w:leader="dot" w:pos="7654"/>
          <w:tab w:val="right" w:pos="8929"/>
          <w:tab w:val="right" w:pos="9638"/>
        </w:tabs>
        <w:spacing w:after="120"/>
        <w:ind w:left="1134" w:hanging="1134"/>
      </w:pPr>
      <w:r>
        <w:tab/>
        <w:t>IX.</w:t>
      </w:r>
      <w:r>
        <w:tab/>
      </w:r>
      <w:r w:rsidRPr="00E44F21">
        <w:rPr>
          <w:lang w:val="fr-FR"/>
        </w:rPr>
        <w:t>Questions diverses (point 7 de l’ordre du jour)</w:t>
      </w:r>
      <w:r>
        <w:tab/>
      </w:r>
      <w:r>
        <w:tab/>
        <w:t>72</w:t>
      </w:r>
      <w:r>
        <w:tab/>
        <w:t>16</w:t>
      </w:r>
    </w:p>
    <w:p w14:paraId="68086735" w14:textId="77777777" w:rsidR="00554809" w:rsidRDefault="00554809" w:rsidP="00554809">
      <w:pPr>
        <w:tabs>
          <w:tab w:val="right" w:pos="850"/>
          <w:tab w:val="right" w:leader="dot" w:pos="7654"/>
          <w:tab w:val="right" w:pos="8929"/>
          <w:tab w:val="right" w:pos="9638"/>
        </w:tabs>
        <w:spacing w:after="120"/>
        <w:ind w:left="1134" w:hanging="1134"/>
      </w:pPr>
      <w:r>
        <w:tab/>
        <w:t>X.</w:t>
      </w:r>
      <w:r>
        <w:tab/>
      </w:r>
      <w:r w:rsidRPr="00E44F21">
        <w:rPr>
          <w:lang w:val="fr-FR"/>
        </w:rPr>
        <w:t>Adoption du rapport (point 8 de l’ordre du jour)</w:t>
      </w:r>
      <w:r>
        <w:tab/>
      </w:r>
      <w:r>
        <w:tab/>
        <w:t>73</w:t>
      </w:r>
      <w:r>
        <w:tab/>
        <w:t>16</w:t>
      </w:r>
    </w:p>
    <w:p w14:paraId="256C545E" w14:textId="77777777" w:rsidR="00554809" w:rsidRPr="00CB6E16" w:rsidRDefault="00554809" w:rsidP="00554809">
      <w:pPr>
        <w:tabs>
          <w:tab w:val="right" w:pos="850"/>
        </w:tabs>
        <w:spacing w:after="120"/>
      </w:pPr>
      <w:r>
        <w:tab/>
        <w:t>Annexes</w:t>
      </w:r>
    </w:p>
    <w:p w14:paraId="47ED5425" w14:textId="77777777" w:rsidR="00554809" w:rsidRDefault="00554809" w:rsidP="00554809">
      <w:pPr>
        <w:tabs>
          <w:tab w:val="right" w:pos="850"/>
          <w:tab w:val="right" w:leader="dot" w:pos="8929"/>
          <w:tab w:val="right" w:pos="9638"/>
        </w:tabs>
        <w:spacing w:after="120"/>
        <w:ind w:left="1134" w:hanging="1134"/>
      </w:pPr>
      <w:r>
        <w:tab/>
        <w:t>I.</w:t>
      </w:r>
      <w:r>
        <w:tab/>
      </w:r>
      <w:r>
        <w:rPr>
          <w:lang w:val="fr-FR"/>
        </w:rPr>
        <w:t xml:space="preserve">Propositions d’amendements au Règlement annexé à l’ADN pour </w:t>
      </w:r>
      <w:proofErr w:type="spellStart"/>
      <w:r>
        <w:rPr>
          <w:lang w:val="fr-FR"/>
        </w:rPr>
        <w:t>entrée</w:t>
      </w:r>
      <w:proofErr w:type="spellEnd"/>
      <w:r>
        <w:rPr>
          <w:lang w:val="fr-FR"/>
        </w:rPr>
        <w:t xml:space="preserve"> en vigueur </w:t>
      </w:r>
      <w:r>
        <w:rPr>
          <w:lang w:val="fr-FR"/>
        </w:rPr>
        <w:br/>
        <w:t>le 1</w:t>
      </w:r>
      <w:r w:rsidRPr="00E328E4">
        <w:rPr>
          <w:vertAlign w:val="superscript"/>
          <w:lang w:val="fr-FR"/>
        </w:rPr>
        <w:t>er</w:t>
      </w:r>
      <w:r>
        <w:rPr>
          <w:lang w:val="fr-FR"/>
        </w:rPr>
        <w:t> janvier 2021</w:t>
      </w:r>
      <w:r>
        <w:tab/>
      </w:r>
      <w:r>
        <w:tab/>
        <w:t>17</w:t>
      </w:r>
    </w:p>
    <w:p w14:paraId="76C1D98B" w14:textId="77777777" w:rsidR="00554809" w:rsidRDefault="00554809" w:rsidP="00554809">
      <w:pPr>
        <w:tabs>
          <w:tab w:val="right" w:pos="850"/>
          <w:tab w:val="right" w:leader="dot" w:pos="8929"/>
          <w:tab w:val="right" w:pos="9638"/>
        </w:tabs>
        <w:spacing w:after="120"/>
        <w:ind w:left="1134" w:hanging="1134"/>
      </w:pPr>
      <w:r>
        <w:tab/>
        <w:t>II.</w:t>
      </w:r>
      <w:r>
        <w:tab/>
      </w:r>
      <w:r w:rsidRPr="009F2758">
        <w:t xml:space="preserve">Corrections au document ECE/TRANS/276 (publication ADN 2019) (ne nécessitant pas </w:t>
      </w:r>
      <w:r>
        <w:br/>
      </w:r>
      <w:r w:rsidRPr="009F2758">
        <w:t>l’acceptation par les Parties contractantes)</w:t>
      </w:r>
      <w:r>
        <w:tab/>
      </w:r>
      <w:r>
        <w:tab/>
        <w:t>25</w:t>
      </w:r>
    </w:p>
    <w:p w14:paraId="05C39BFE" w14:textId="77777777" w:rsidR="00554809" w:rsidRDefault="00554809" w:rsidP="00554809">
      <w:pPr>
        <w:tabs>
          <w:tab w:val="right" w:pos="850"/>
          <w:tab w:val="right" w:leader="dot" w:pos="8929"/>
          <w:tab w:val="right" w:pos="9638"/>
        </w:tabs>
        <w:spacing w:after="120"/>
        <w:ind w:left="1134" w:hanging="1134"/>
      </w:pPr>
      <w:r>
        <w:tab/>
        <w:t>III.</w:t>
      </w:r>
      <w:r>
        <w:tab/>
      </w:r>
      <w:r w:rsidRPr="009F2758">
        <w:t xml:space="preserve">Propositions de corrections au Règlement annexé à l’ADN (sous réserve d’acceptation </w:t>
      </w:r>
      <w:r>
        <w:br/>
      </w:r>
      <w:r w:rsidRPr="009F2758">
        <w:t>par les Parties contractantes)</w:t>
      </w:r>
      <w:r>
        <w:tab/>
      </w:r>
      <w:r>
        <w:tab/>
        <w:t>26</w:t>
      </w:r>
    </w:p>
    <w:p w14:paraId="3C44015E" w14:textId="77777777" w:rsidR="00E44F21" w:rsidRPr="00E44F21" w:rsidRDefault="00CB6E16" w:rsidP="00554809">
      <w:pPr>
        <w:pStyle w:val="HChG"/>
        <w:rPr>
          <w:lang w:val="fr-FR"/>
        </w:rPr>
      </w:pPr>
      <w:r>
        <w:rPr>
          <w:lang w:val="fr-FR"/>
        </w:rPr>
        <w:br w:type="page"/>
      </w:r>
      <w:r w:rsidR="00E44F21" w:rsidRPr="00E44F21">
        <w:rPr>
          <w:lang w:val="fr-FR"/>
        </w:rPr>
        <w:lastRenderedPageBreak/>
        <w:tab/>
        <w:t>I.</w:t>
      </w:r>
      <w:r w:rsidR="00E44F21" w:rsidRPr="00E44F21">
        <w:rPr>
          <w:lang w:val="fr-FR"/>
        </w:rPr>
        <w:tab/>
        <w:t>Participation</w:t>
      </w:r>
    </w:p>
    <w:p w14:paraId="17F53F6E" w14:textId="77777777" w:rsidR="00E44F21" w:rsidRPr="00E44F21" w:rsidRDefault="00E44F21" w:rsidP="00E44F21">
      <w:pPr>
        <w:pStyle w:val="SingleTxtG"/>
        <w:rPr>
          <w:lang w:val="fr-FR"/>
        </w:rPr>
      </w:pPr>
      <w:bookmarkStart w:id="4" w:name="_Hlk18340908"/>
      <w:r w:rsidRPr="00E44F21">
        <w:rPr>
          <w:lang w:val="fr-FR"/>
        </w:rPr>
        <w:t>1.</w:t>
      </w:r>
      <w:r w:rsidRPr="00E44F21">
        <w:rPr>
          <w:lang w:val="fr-FR"/>
        </w:rPr>
        <w:tab/>
        <w:t>La Réunion commune d’experts du Règlement annexé à l’Accord européen relatif au transport international des marchandises dangereuses par voies de navigation intérieures (ADN) (Comité de sécurité de l’ADN) a tenu sa trente-cinquième session à Genève du 26 au 30 août 2019, sous la présidence de M.</w:t>
      </w:r>
      <w:r w:rsidR="001602A8">
        <w:rPr>
          <w:lang w:val="fr-FR"/>
        </w:rPr>
        <w:t> </w:t>
      </w:r>
      <w:r w:rsidRPr="00E44F21">
        <w:rPr>
          <w:lang w:val="fr-FR"/>
        </w:rPr>
        <w:t>H.</w:t>
      </w:r>
      <w:r w:rsidR="001602A8">
        <w:rPr>
          <w:lang w:val="fr-FR"/>
        </w:rPr>
        <w:t> </w:t>
      </w:r>
      <w:proofErr w:type="spellStart"/>
      <w:r w:rsidRPr="00E44F21">
        <w:rPr>
          <w:lang w:val="fr-FR"/>
        </w:rPr>
        <w:t>Langenberg</w:t>
      </w:r>
      <w:proofErr w:type="spellEnd"/>
      <w:r w:rsidRPr="00E44F21">
        <w:rPr>
          <w:lang w:val="fr-FR"/>
        </w:rPr>
        <w:t xml:space="preserve"> (Pays-Bas) et la </w:t>
      </w:r>
      <w:r w:rsidR="009805F3">
        <w:rPr>
          <w:lang w:val="fr-FR"/>
        </w:rPr>
        <w:t>v</w:t>
      </w:r>
      <w:r w:rsidRPr="00E44F21">
        <w:rPr>
          <w:lang w:val="fr-FR"/>
        </w:rPr>
        <w:t>ice-</w:t>
      </w:r>
      <w:r w:rsidR="009805F3">
        <w:rPr>
          <w:lang w:val="fr-FR"/>
        </w:rPr>
        <w:t>p</w:t>
      </w:r>
      <w:r w:rsidRPr="00E44F21">
        <w:rPr>
          <w:lang w:val="fr-FR"/>
        </w:rPr>
        <w:t xml:space="preserve">résidence de M. B. Birklhuber (Autriche). </w:t>
      </w:r>
      <w:bookmarkStart w:id="5" w:name="_Hlk18487351"/>
      <w:bookmarkEnd w:id="5"/>
    </w:p>
    <w:p w14:paraId="368F0EFE" w14:textId="77777777" w:rsidR="00E44F21" w:rsidRPr="00E44F21" w:rsidRDefault="00E44F21" w:rsidP="00E44F21">
      <w:pPr>
        <w:pStyle w:val="SingleTxtG"/>
        <w:rPr>
          <w:lang w:val="fr-FR"/>
        </w:rPr>
      </w:pPr>
      <w:r w:rsidRPr="00E44F21">
        <w:rPr>
          <w:lang w:val="fr-FR"/>
        </w:rPr>
        <w:t>2.</w:t>
      </w:r>
      <w:r w:rsidRPr="00E44F21">
        <w:rPr>
          <w:lang w:val="fr-FR"/>
        </w:rPr>
        <w:tab/>
        <w:t>Ont participé aux travaux de la session des représentants des pays suivants</w:t>
      </w:r>
      <w:r w:rsidR="001602A8">
        <w:rPr>
          <w:lang w:val="fr-FR"/>
        </w:rPr>
        <w:t> </w:t>
      </w:r>
      <w:r w:rsidRPr="00E44F21">
        <w:rPr>
          <w:lang w:val="fr-FR"/>
        </w:rPr>
        <w:t xml:space="preserve">: Allemagne, Autriche, Belgique, Bulgarie, Fédération de Russie, France, Luxembourg, Pays-Bas, Roumanie, Slovaquie, Suisse et Tchéquie. </w:t>
      </w:r>
    </w:p>
    <w:p w14:paraId="293EEA4F" w14:textId="77777777" w:rsidR="00E44F21" w:rsidRPr="00E44F21" w:rsidRDefault="00E44F21" w:rsidP="00E44F21">
      <w:pPr>
        <w:pStyle w:val="SingleTxtG"/>
        <w:rPr>
          <w:lang w:val="fr-FR"/>
        </w:rPr>
      </w:pPr>
      <w:r w:rsidRPr="00E44F21">
        <w:rPr>
          <w:lang w:val="fr-FR"/>
        </w:rPr>
        <w:t>3.</w:t>
      </w:r>
      <w:r w:rsidRPr="00E44F21">
        <w:rPr>
          <w:lang w:val="fr-FR"/>
        </w:rPr>
        <w:tab/>
      </w:r>
      <w:r w:rsidRPr="00E44F21">
        <w:rPr>
          <w:spacing w:val="-2"/>
          <w:lang w:val="fr-FR"/>
        </w:rPr>
        <w:t>Étaient représentées les organisations intergouvernementales suivantes</w:t>
      </w:r>
      <w:r w:rsidR="001602A8" w:rsidRPr="001602A8">
        <w:rPr>
          <w:spacing w:val="-2"/>
          <w:lang w:val="fr-FR"/>
        </w:rPr>
        <w:t> </w:t>
      </w:r>
      <w:r w:rsidRPr="00E44F21">
        <w:rPr>
          <w:spacing w:val="-2"/>
          <w:lang w:val="fr-FR"/>
        </w:rPr>
        <w:t>: Commission centrale pour la navigation du Rhin (CCNR), Commission du Danube (CD) et Union européenne.</w:t>
      </w:r>
    </w:p>
    <w:p w14:paraId="6DAFAFD7" w14:textId="77777777" w:rsidR="00E44F21" w:rsidRPr="00E44F21" w:rsidRDefault="00E44F21" w:rsidP="00E44F21">
      <w:pPr>
        <w:pStyle w:val="SingleTxtG"/>
        <w:rPr>
          <w:lang w:val="fr-FR"/>
        </w:rPr>
      </w:pPr>
      <w:r w:rsidRPr="00E44F21">
        <w:rPr>
          <w:lang w:val="fr-FR"/>
        </w:rPr>
        <w:t>4.</w:t>
      </w:r>
      <w:r w:rsidRPr="00E44F21">
        <w:rPr>
          <w:lang w:val="fr-FR"/>
        </w:rPr>
        <w:tab/>
        <w:t>Étaient également représentées les organisations non gouvernementales ci-après</w:t>
      </w:r>
      <w:r w:rsidR="001602A8">
        <w:rPr>
          <w:lang w:val="fr-FR"/>
        </w:rPr>
        <w:t> </w:t>
      </w:r>
      <w:r w:rsidRPr="00E44F21">
        <w:rPr>
          <w:lang w:val="fr-FR"/>
        </w:rPr>
        <w:t xml:space="preserve">: Comité international de prévention des accidents du travail de la navigation intérieure (CIPA), Conseil européen de l’industrie chimique (CEFIC), </w:t>
      </w:r>
      <w:proofErr w:type="spellStart"/>
      <w:r w:rsidRPr="00E44F21">
        <w:rPr>
          <w:lang w:val="fr-FR"/>
        </w:rPr>
        <w:t>European</w:t>
      </w:r>
      <w:proofErr w:type="spellEnd"/>
      <w:r w:rsidRPr="00E44F21">
        <w:rPr>
          <w:lang w:val="fr-FR"/>
        </w:rPr>
        <w:t xml:space="preserve"> Bulk </w:t>
      </w:r>
      <w:proofErr w:type="spellStart"/>
      <w:r w:rsidRPr="00E44F21">
        <w:rPr>
          <w:lang w:val="fr-FR"/>
        </w:rPr>
        <w:t>Oil</w:t>
      </w:r>
      <w:proofErr w:type="spellEnd"/>
      <w:r w:rsidRPr="00E44F21">
        <w:rPr>
          <w:lang w:val="fr-FR"/>
        </w:rPr>
        <w:t xml:space="preserve"> </w:t>
      </w:r>
      <w:proofErr w:type="spellStart"/>
      <w:r w:rsidRPr="00E44F21">
        <w:rPr>
          <w:lang w:val="fr-FR"/>
        </w:rPr>
        <w:t>Traders’Association</w:t>
      </w:r>
      <w:proofErr w:type="spellEnd"/>
      <w:r w:rsidRPr="00E44F21">
        <w:rPr>
          <w:lang w:val="fr-FR"/>
        </w:rPr>
        <w:t xml:space="preserve"> (EBOTA), </w:t>
      </w:r>
      <w:proofErr w:type="spellStart"/>
      <w:r w:rsidRPr="00E44F21">
        <w:rPr>
          <w:lang w:val="fr-FR"/>
        </w:rPr>
        <w:t>Federation</w:t>
      </w:r>
      <w:proofErr w:type="spellEnd"/>
      <w:r w:rsidRPr="00E44F21">
        <w:rPr>
          <w:lang w:val="fr-FR"/>
        </w:rPr>
        <w:t xml:space="preserve"> of </w:t>
      </w:r>
      <w:proofErr w:type="spellStart"/>
      <w:r w:rsidRPr="00E44F21">
        <w:rPr>
          <w:lang w:val="fr-FR"/>
        </w:rPr>
        <w:t>European</w:t>
      </w:r>
      <w:proofErr w:type="spellEnd"/>
      <w:r w:rsidRPr="00E44F21">
        <w:rPr>
          <w:lang w:val="fr-FR"/>
        </w:rPr>
        <w:t xml:space="preserve"> Tank Storage Associations (FETSA), </w:t>
      </w:r>
      <w:proofErr w:type="spellStart"/>
      <w:r w:rsidRPr="00E44F21">
        <w:rPr>
          <w:lang w:val="fr-FR"/>
        </w:rPr>
        <w:t>FuelsEurope</w:t>
      </w:r>
      <w:proofErr w:type="spellEnd"/>
      <w:r w:rsidRPr="00E44F21">
        <w:rPr>
          <w:lang w:val="fr-FR"/>
        </w:rPr>
        <w:t>, Organisation européenne des bateliers (OEB), sociétés de classification recommandées ADN et Union européenne de la navigation fluviale (UENF).</w:t>
      </w:r>
    </w:p>
    <w:p w14:paraId="07F9AE77" w14:textId="77777777" w:rsidR="00E44F21" w:rsidRPr="00E44F21" w:rsidRDefault="00E44F21" w:rsidP="001602A8">
      <w:pPr>
        <w:pStyle w:val="HChG"/>
        <w:rPr>
          <w:lang w:val="fr-FR"/>
        </w:rPr>
      </w:pPr>
      <w:r w:rsidRPr="00E44F21">
        <w:rPr>
          <w:lang w:val="fr-FR"/>
        </w:rPr>
        <w:tab/>
        <w:t>II.</w:t>
      </w:r>
      <w:r w:rsidRPr="00E44F21">
        <w:rPr>
          <w:lang w:val="fr-FR"/>
        </w:rPr>
        <w:tab/>
        <w:t>Ouverture de la session</w:t>
      </w:r>
    </w:p>
    <w:p w14:paraId="10A6B951" w14:textId="77777777" w:rsidR="00E44F21" w:rsidRPr="00E44F21" w:rsidRDefault="00E44F21" w:rsidP="001602A8">
      <w:pPr>
        <w:pStyle w:val="H1G"/>
        <w:rPr>
          <w:lang w:val="fr-FR"/>
        </w:rPr>
      </w:pPr>
      <w:r w:rsidRPr="00E44F21">
        <w:rPr>
          <w:lang w:val="fr-FR"/>
        </w:rPr>
        <w:tab/>
      </w:r>
      <w:r w:rsidRPr="00E44F21">
        <w:rPr>
          <w:lang w:val="fr-FR"/>
        </w:rPr>
        <w:tab/>
        <w:t>Changements intervenus au secrétariat</w:t>
      </w:r>
    </w:p>
    <w:p w14:paraId="672000BC" w14:textId="77777777" w:rsidR="00E44F21" w:rsidRPr="00E44F21" w:rsidRDefault="00E44F21" w:rsidP="00E44F21">
      <w:pPr>
        <w:pStyle w:val="SingleTxtG"/>
        <w:rPr>
          <w:lang w:val="fr-FR"/>
        </w:rPr>
      </w:pPr>
      <w:r w:rsidRPr="00E44F21">
        <w:rPr>
          <w:lang w:val="fr-FR"/>
        </w:rPr>
        <w:t>5.</w:t>
      </w:r>
      <w:r w:rsidRPr="00E44F21">
        <w:rPr>
          <w:lang w:val="fr-FR"/>
        </w:rPr>
        <w:tab/>
        <w:t>Au nom du Directeur de la Division des transports durables, M. </w:t>
      </w:r>
      <w:proofErr w:type="spellStart"/>
      <w:r w:rsidRPr="00E44F21">
        <w:rPr>
          <w:lang w:val="fr-FR"/>
        </w:rPr>
        <w:t>Alexopoulos</w:t>
      </w:r>
      <w:proofErr w:type="spellEnd"/>
      <w:r w:rsidRPr="00E44F21">
        <w:rPr>
          <w:lang w:val="fr-FR"/>
        </w:rPr>
        <w:t xml:space="preserve"> a informé le Comité de sécurité que M. Romain Hubert avait été nommé Chef de la Section de la gestion de la sécurité routière et des marchandises dangereuses, avec effet au 1</w:t>
      </w:r>
      <w:r w:rsidRPr="00E44F21">
        <w:rPr>
          <w:vertAlign w:val="superscript"/>
          <w:lang w:val="fr-FR"/>
        </w:rPr>
        <w:t>er</w:t>
      </w:r>
      <w:r w:rsidRPr="00E44F21">
        <w:rPr>
          <w:lang w:val="fr-FR"/>
        </w:rPr>
        <w:t> juin 2019. Il a remercié l’équipe des marchandises dangereuses pour l’excellent travail accompli afin d’éviter toute interruption des services pendant la période transitoire entre le départ à la retraite de M. Kervella et le recrutement de M. Hubert. Le Comité a souhaité la bienvenue à M. Hubert et s’est joint à M.</w:t>
      </w:r>
      <w:r w:rsidR="0092743C">
        <w:rPr>
          <w:lang w:val="fr-FR"/>
        </w:rPr>
        <w:t> </w:t>
      </w:r>
      <w:proofErr w:type="spellStart"/>
      <w:r w:rsidRPr="00E44F21">
        <w:rPr>
          <w:lang w:val="fr-FR"/>
        </w:rPr>
        <w:t>Alexopoulos</w:t>
      </w:r>
      <w:proofErr w:type="spellEnd"/>
      <w:r w:rsidRPr="00E44F21">
        <w:rPr>
          <w:lang w:val="fr-FR"/>
        </w:rPr>
        <w:t xml:space="preserve"> pour saluer le très bon travail réalisé par l’équipe des marchandises dangereuses durant cette période, et en particulier par M</w:t>
      </w:r>
      <w:r w:rsidRPr="00E44F21">
        <w:rPr>
          <w:vertAlign w:val="superscript"/>
          <w:lang w:val="fr-FR"/>
        </w:rPr>
        <w:t>me</w:t>
      </w:r>
      <w:r w:rsidRPr="00E44F21">
        <w:rPr>
          <w:lang w:val="fr-FR"/>
        </w:rPr>
        <w:t> Garcia Couto en tant que secrétaire du Comité de sécurité et chef de section par intérim.</w:t>
      </w:r>
    </w:p>
    <w:bookmarkEnd w:id="4"/>
    <w:p w14:paraId="51C921DC" w14:textId="77777777" w:rsidR="00E44F21" w:rsidRPr="00B40FDA" w:rsidRDefault="00E44F21" w:rsidP="0092743C">
      <w:pPr>
        <w:pStyle w:val="HChG"/>
        <w:rPr>
          <w:lang w:val="fr-FR"/>
        </w:rPr>
      </w:pPr>
      <w:r w:rsidRPr="00E44F21">
        <w:rPr>
          <w:lang w:val="fr-FR"/>
        </w:rPr>
        <w:tab/>
      </w:r>
      <w:r w:rsidRPr="00B40FDA">
        <w:rPr>
          <w:lang w:val="fr-FR"/>
        </w:rPr>
        <w:t>III.</w:t>
      </w:r>
      <w:r w:rsidRPr="00B40FDA">
        <w:rPr>
          <w:lang w:val="fr-FR"/>
        </w:rPr>
        <w:tab/>
        <w:t>Adoption de l’ordre du jour (point 1 de l’ordre du jour)</w:t>
      </w:r>
    </w:p>
    <w:p w14:paraId="2C24CE8A" w14:textId="77777777" w:rsidR="00B40FDA" w:rsidRDefault="00E44F21" w:rsidP="00B40FDA">
      <w:pPr>
        <w:pStyle w:val="SingleTxtG"/>
        <w:ind w:left="3119" w:hanging="1985"/>
        <w:rPr>
          <w:i/>
          <w:iCs/>
          <w:lang w:val="fr-FR"/>
        </w:rPr>
      </w:pPr>
      <w:r w:rsidRPr="00B40FDA">
        <w:rPr>
          <w:i/>
          <w:iCs/>
          <w:lang w:val="fr-FR"/>
        </w:rPr>
        <w:t>Documents</w:t>
      </w:r>
      <w:r w:rsidR="0092743C" w:rsidRPr="00B40FDA">
        <w:rPr>
          <w:i/>
          <w:iCs/>
          <w:lang w:val="fr-FR"/>
        </w:rPr>
        <w:t> </w:t>
      </w:r>
      <w:r w:rsidRPr="00B40FDA">
        <w:rPr>
          <w:iCs/>
          <w:lang w:val="fr-FR"/>
        </w:rPr>
        <w:t>:</w:t>
      </w:r>
      <w:r w:rsidR="0092743C" w:rsidRPr="00B40FDA">
        <w:rPr>
          <w:lang w:val="fr-FR"/>
        </w:rPr>
        <w:tab/>
      </w:r>
      <w:r w:rsidRPr="00B40FDA">
        <w:rPr>
          <w:lang w:val="fr-FR"/>
        </w:rPr>
        <w:t>ECE/TRANS/WP.15/AC.2/71 et Add.1</w:t>
      </w:r>
      <w:r w:rsidR="00CA2031" w:rsidRPr="00B40FDA">
        <w:rPr>
          <w:lang w:val="fr-FR"/>
        </w:rPr>
        <w:t xml:space="preserve"> </w:t>
      </w:r>
    </w:p>
    <w:p w14:paraId="1B1440E7" w14:textId="77777777" w:rsidR="00E44F21" w:rsidRPr="00B40FDA" w:rsidRDefault="00E44F21" w:rsidP="00B40FDA">
      <w:pPr>
        <w:pStyle w:val="SingleTxtG"/>
        <w:ind w:left="3119" w:hanging="1985"/>
        <w:rPr>
          <w:i/>
          <w:iCs/>
          <w:lang w:val="fr-FR"/>
        </w:rPr>
      </w:pPr>
      <w:r w:rsidRPr="00B40FDA">
        <w:rPr>
          <w:i/>
          <w:iCs/>
          <w:lang w:val="fr-FR"/>
        </w:rPr>
        <w:t>Document informel</w:t>
      </w:r>
      <w:r w:rsidR="00B40FDA" w:rsidRPr="00B40FDA">
        <w:rPr>
          <w:iCs/>
          <w:lang w:val="fr-FR"/>
        </w:rPr>
        <w:t> :</w:t>
      </w:r>
      <w:r w:rsidR="00B40FDA">
        <w:rPr>
          <w:iCs/>
          <w:lang w:val="fr-FR"/>
        </w:rPr>
        <w:tab/>
      </w:r>
      <w:r w:rsidRPr="00B40FDA">
        <w:rPr>
          <w:lang w:val="fr-FR"/>
        </w:rPr>
        <w:t>INF.1 (secrétariat)</w:t>
      </w:r>
      <w:r w:rsidR="00CA2031" w:rsidRPr="00B40FDA">
        <w:rPr>
          <w:lang w:val="fr-FR"/>
        </w:rPr>
        <w:t>.</w:t>
      </w:r>
    </w:p>
    <w:p w14:paraId="730A9D4E" w14:textId="77777777" w:rsidR="00E44F21" w:rsidRPr="00E44F21" w:rsidRDefault="00E44F21" w:rsidP="00E44F21">
      <w:pPr>
        <w:pStyle w:val="SingleTxtG"/>
        <w:rPr>
          <w:lang w:val="fr-FR"/>
        </w:rPr>
      </w:pPr>
      <w:r w:rsidRPr="00E44F21">
        <w:rPr>
          <w:lang w:val="fr-FR"/>
        </w:rPr>
        <w:t>6.</w:t>
      </w:r>
      <w:r w:rsidRPr="00E44F21">
        <w:rPr>
          <w:lang w:val="fr-FR"/>
        </w:rPr>
        <w:tab/>
        <w:t>Le Comité de sécurité a adopté l’ordre du jour établi par le secrétariat, tel que modifié par le document INF.1 pour tenir compte des documents INF.2 à INF.37.</w:t>
      </w:r>
    </w:p>
    <w:p w14:paraId="7941ACCC" w14:textId="77777777" w:rsidR="00E44F21" w:rsidRPr="00E44F21" w:rsidRDefault="00E44F21" w:rsidP="00582426">
      <w:pPr>
        <w:pStyle w:val="HChG"/>
        <w:rPr>
          <w:lang w:val="fr-FR"/>
        </w:rPr>
      </w:pPr>
      <w:r w:rsidRPr="00E44F21">
        <w:rPr>
          <w:lang w:val="fr-FR"/>
        </w:rPr>
        <w:tab/>
        <w:t>IV.</w:t>
      </w:r>
      <w:r w:rsidRPr="00E44F21">
        <w:rPr>
          <w:lang w:val="fr-FR"/>
        </w:rPr>
        <w:tab/>
        <w:t>Questions découlant des travaux d’organes des Nations Unies ou d’autres organisations (point 2 de l’ordre du jour)</w:t>
      </w:r>
    </w:p>
    <w:p w14:paraId="678F0ADD" w14:textId="77777777" w:rsidR="00E44F21" w:rsidRPr="00E44F21" w:rsidRDefault="00E44F21" w:rsidP="00E44F21">
      <w:pPr>
        <w:pStyle w:val="SingleTxtG"/>
        <w:rPr>
          <w:lang w:val="fr-FR"/>
        </w:rPr>
      </w:pPr>
      <w:r w:rsidRPr="00E44F21">
        <w:rPr>
          <w:lang w:val="fr-FR"/>
        </w:rPr>
        <w:t>7.</w:t>
      </w:r>
      <w:r w:rsidRPr="00E44F21">
        <w:rPr>
          <w:lang w:val="fr-FR"/>
        </w:rPr>
        <w:tab/>
        <w:t>Le représentant de la Commission du Danube a informé le Comité de sécurité de la nouvelle structure et du nouveau mandat de son organisation depuis le 1</w:t>
      </w:r>
      <w:r w:rsidRPr="00E44F21">
        <w:rPr>
          <w:vertAlign w:val="superscript"/>
          <w:lang w:val="fr-FR"/>
        </w:rPr>
        <w:t>er</w:t>
      </w:r>
      <w:r w:rsidR="00705A4D">
        <w:rPr>
          <w:lang w:val="fr-FR"/>
        </w:rPr>
        <w:t> </w:t>
      </w:r>
      <w:r w:rsidRPr="00E44F21">
        <w:rPr>
          <w:lang w:val="fr-FR"/>
        </w:rPr>
        <w:t>juillet 2019, conformément à la Convention de Belgrade. Il a également rendu compte des résultats d’un séminaire, tenu en Allemagne le 27</w:t>
      </w:r>
      <w:r w:rsidR="00582426">
        <w:rPr>
          <w:lang w:val="fr-FR"/>
        </w:rPr>
        <w:t> </w:t>
      </w:r>
      <w:r w:rsidRPr="00E44F21">
        <w:rPr>
          <w:lang w:val="fr-FR"/>
        </w:rPr>
        <w:t xml:space="preserve">mars 2019, sur la mise en œuvre dans la région du Danube de mesures harmonisées d’inspection et de contrôle relatives aux voies navigables intérieures (codes de conduite, pratiques optimales en matière de contrôle du respect des prescriptions de l’ADN, informations pratiques, formation des inspecteurs et données sur les experts nationaux). </w:t>
      </w:r>
    </w:p>
    <w:p w14:paraId="75A0AAC1" w14:textId="77777777" w:rsidR="00E44F21" w:rsidRPr="00E44F21" w:rsidRDefault="00E44F21" w:rsidP="00582426">
      <w:pPr>
        <w:pStyle w:val="HChG"/>
        <w:rPr>
          <w:lang w:val="fr-FR"/>
        </w:rPr>
      </w:pPr>
      <w:r w:rsidRPr="00E44F21">
        <w:rPr>
          <w:lang w:val="fr-FR"/>
        </w:rPr>
        <w:lastRenderedPageBreak/>
        <w:tab/>
        <w:t>V.</w:t>
      </w:r>
      <w:r w:rsidRPr="00E44F21">
        <w:rPr>
          <w:lang w:val="fr-FR"/>
        </w:rPr>
        <w:tab/>
        <w:t>Mise en œuvre de l’Accord européen relatif au transport international des marchandises dangereuses par voies de</w:t>
      </w:r>
      <w:r w:rsidR="00582426">
        <w:rPr>
          <w:lang w:val="fr-FR"/>
        </w:rPr>
        <w:t> </w:t>
      </w:r>
      <w:r w:rsidRPr="00E44F21">
        <w:rPr>
          <w:lang w:val="fr-FR"/>
        </w:rPr>
        <w:t>navigation intérieures (ADN) (point 3 de l’ordre du jour)</w:t>
      </w:r>
    </w:p>
    <w:p w14:paraId="2FC3B296" w14:textId="77777777" w:rsidR="00E44F21" w:rsidRPr="00E44F21" w:rsidRDefault="00E44F21" w:rsidP="00582426">
      <w:pPr>
        <w:pStyle w:val="H1G"/>
        <w:rPr>
          <w:lang w:val="fr-FR"/>
        </w:rPr>
      </w:pPr>
      <w:r w:rsidRPr="00E44F21">
        <w:rPr>
          <w:lang w:val="fr-FR"/>
        </w:rPr>
        <w:tab/>
        <w:t>A.</w:t>
      </w:r>
      <w:r w:rsidRPr="00E44F21">
        <w:rPr>
          <w:lang w:val="fr-FR"/>
        </w:rPr>
        <w:tab/>
        <w:t>État de l’ADN</w:t>
      </w:r>
    </w:p>
    <w:p w14:paraId="01A703BB" w14:textId="77777777" w:rsidR="00E44F21" w:rsidRPr="00E44F21" w:rsidRDefault="00E44F21" w:rsidP="00E44F21">
      <w:pPr>
        <w:pStyle w:val="SingleTxtG"/>
        <w:rPr>
          <w:lang w:val="fr-FR"/>
        </w:rPr>
      </w:pPr>
      <w:r w:rsidRPr="00E44F21">
        <w:rPr>
          <w:lang w:val="fr-FR"/>
        </w:rPr>
        <w:t>8.</w:t>
      </w:r>
      <w:r w:rsidRPr="00E44F21">
        <w:rPr>
          <w:lang w:val="fr-FR"/>
        </w:rPr>
        <w:tab/>
        <w:t>Le Comité de sécurité n’a noté aucune information nouvelle concernant l’état de l’ADN.</w:t>
      </w:r>
    </w:p>
    <w:p w14:paraId="7F46CB3C" w14:textId="77777777" w:rsidR="00E44F21" w:rsidRPr="00E44F21" w:rsidRDefault="00E44F21" w:rsidP="00582426">
      <w:pPr>
        <w:pStyle w:val="H1G"/>
        <w:rPr>
          <w:lang w:val="fr-FR"/>
        </w:rPr>
      </w:pPr>
      <w:r w:rsidRPr="00E44F21">
        <w:rPr>
          <w:lang w:val="fr-FR"/>
        </w:rPr>
        <w:tab/>
        <w:t>B.</w:t>
      </w:r>
      <w:r w:rsidRPr="00E44F21">
        <w:rPr>
          <w:lang w:val="fr-FR"/>
        </w:rPr>
        <w:tab/>
        <w:t>Autorisations spéciales, dérogations et équivalences</w:t>
      </w:r>
    </w:p>
    <w:p w14:paraId="59EFC6BD" w14:textId="77777777" w:rsidR="00E44F21" w:rsidRPr="00E44F21" w:rsidRDefault="00E44F21" w:rsidP="00E44F21">
      <w:pPr>
        <w:pStyle w:val="SingleTxtG"/>
        <w:rPr>
          <w:lang w:val="fr-FR"/>
        </w:rPr>
      </w:pPr>
      <w:r w:rsidRPr="00E44F21">
        <w:rPr>
          <w:lang w:val="fr-FR"/>
        </w:rPr>
        <w:t>9.</w:t>
      </w:r>
      <w:r w:rsidRPr="00E44F21">
        <w:rPr>
          <w:lang w:val="fr-FR"/>
        </w:rPr>
        <w:tab/>
        <w:t>Aucun document n’ayant été soumis au titre de ce point de l’ordre du jour, la question n’a pas été abordée.</w:t>
      </w:r>
    </w:p>
    <w:p w14:paraId="5EA83579" w14:textId="77777777" w:rsidR="00E44F21" w:rsidRPr="00E44F21" w:rsidRDefault="00E44F21" w:rsidP="00582426">
      <w:pPr>
        <w:pStyle w:val="H1G"/>
        <w:rPr>
          <w:lang w:val="fr-FR"/>
        </w:rPr>
      </w:pPr>
      <w:r w:rsidRPr="00E44F21">
        <w:rPr>
          <w:lang w:val="fr-FR"/>
        </w:rPr>
        <w:tab/>
        <w:t>C.</w:t>
      </w:r>
      <w:r w:rsidRPr="00E44F21">
        <w:rPr>
          <w:lang w:val="fr-FR"/>
        </w:rPr>
        <w:tab/>
        <w:t>Interprétation du Règlement annexé à l’ADN</w:t>
      </w:r>
    </w:p>
    <w:p w14:paraId="7618439D" w14:textId="77777777" w:rsidR="00E44F21" w:rsidRPr="00E44F21" w:rsidRDefault="00E44F21" w:rsidP="00582426">
      <w:pPr>
        <w:pStyle w:val="H23G"/>
        <w:rPr>
          <w:lang w:val="fr-FR"/>
        </w:rPr>
      </w:pPr>
      <w:r w:rsidRPr="00E44F21">
        <w:rPr>
          <w:lang w:val="fr-FR"/>
        </w:rPr>
        <w:tab/>
        <w:t>1.</w:t>
      </w:r>
      <w:r w:rsidRPr="00E44F21">
        <w:rPr>
          <w:lang w:val="fr-FR"/>
        </w:rPr>
        <w:tab/>
        <w:t>Dégazage des bateaux-citernes dans une station de réception</w:t>
      </w:r>
    </w:p>
    <w:p w14:paraId="1BE6C404" w14:textId="77777777" w:rsidR="00E44F21" w:rsidRPr="00E44F21" w:rsidRDefault="00E44F21" w:rsidP="003A3B8F">
      <w:pPr>
        <w:pStyle w:val="SingleTxtG"/>
        <w:ind w:left="3119" w:hanging="1985"/>
        <w:jc w:val="left"/>
        <w:rPr>
          <w:lang w:val="fr-FR"/>
        </w:rPr>
      </w:pPr>
      <w:r w:rsidRPr="00C26384">
        <w:rPr>
          <w:i/>
          <w:iCs/>
          <w:lang w:val="fr-FR"/>
        </w:rPr>
        <w:t>Documents informels</w:t>
      </w:r>
      <w:r w:rsidR="003A3B8F" w:rsidRPr="003A3B8F">
        <w:rPr>
          <w:iCs/>
          <w:lang w:val="fr-FR"/>
        </w:rPr>
        <w:t> :</w:t>
      </w:r>
      <w:r w:rsidR="003A3B8F">
        <w:rPr>
          <w:iCs/>
          <w:lang w:val="fr-FR"/>
        </w:rPr>
        <w:tab/>
      </w:r>
      <w:r w:rsidRPr="003A3B8F">
        <w:rPr>
          <w:iCs/>
          <w:lang w:val="fr-FR"/>
        </w:rPr>
        <w:t>I</w:t>
      </w:r>
      <w:r w:rsidRPr="003A3B8F">
        <w:rPr>
          <w:lang w:val="fr-FR"/>
        </w:rPr>
        <w:t>NF.14 (Allemagne), INF.33 et INF.35 (OEB et UENF), INF.26</w:t>
      </w:r>
      <w:r w:rsidR="003A3B8F">
        <w:rPr>
          <w:lang w:val="fr-FR"/>
        </w:rPr>
        <w:t> </w:t>
      </w:r>
      <w:r w:rsidRPr="003A3B8F">
        <w:rPr>
          <w:lang w:val="fr-FR"/>
        </w:rPr>
        <w:t>(sociétés de classification recommandées ADN) et INF.36</w:t>
      </w:r>
      <w:r w:rsidR="00C26384">
        <w:rPr>
          <w:lang w:val="fr-FR"/>
        </w:rPr>
        <w:t> </w:t>
      </w:r>
      <w:r w:rsidRPr="003A3B8F">
        <w:rPr>
          <w:lang w:val="fr-FR"/>
        </w:rPr>
        <w:t>(Belgique)</w:t>
      </w:r>
      <w:r w:rsidR="00744B13">
        <w:rPr>
          <w:lang w:val="fr-FR"/>
        </w:rPr>
        <w:t>.</w:t>
      </w:r>
    </w:p>
    <w:p w14:paraId="7EFA892B" w14:textId="77777777" w:rsidR="00E44F21" w:rsidRPr="00E44F21" w:rsidRDefault="00E44F21" w:rsidP="00E44F21">
      <w:pPr>
        <w:pStyle w:val="SingleTxtG"/>
        <w:rPr>
          <w:lang w:val="fr-FR"/>
        </w:rPr>
      </w:pPr>
      <w:bookmarkStart w:id="6" w:name="_Hlk18327360"/>
      <w:r w:rsidRPr="00E44F21">
        <w:rPr>
          <w:lang w:val="fr-FR"/>
        </w:rPr>
        <w:t>10.</w:t>
      </w:r>
      <w:r w:rsidRPr="00E44F21">
        <w:rPr>
          <w:lang w:val="fr-FR"/>
        </w:rPr>
        <w:tab/>
        <w:t>Le Comité de sécurité a accueilli favorablement la proposition de l’Allemagne et noté qu’il existait quatre moyens de procéder au dégazage des bateaux-citernes dans les stations de réception : deux à circuit ouvert et deux à circuit fermé. Les systèmes ouverts devraient être équipés de pare-flammes appropriés et, si nécessaire, de soupapes de sécurité basse pression. Le représentant de l’UENF a insisté sur la nécessité de modifier le 7.2.3.7.2.3 et de réfléchir aux systèmes de protection contre l’explosion lors du dégazage des bateaux-citernes vers des stations de réception à terre dans les cas où des soupapes basse pression à ressort (fixes ou mobiles) étaient utilisées (document informel INF.35). Il a confirmé que de telles soupapes à ressort n’existaient pas encore. Il a également été noté que les soupapes basse pression n’étaient pas actuellement définies dans l’ADN. Le Comité de sécurité était d’avis que l’ADN avait pour objet de régir le matériel et les prescriptions de sécurité à bord des bateaux mais qu’il ne pouvait être appliqué aux installations à terre. Il a été jugé préférable, dans un premier temps, de modifier le 7.2.3.7.2.3 et de préciser l’emploi des termes «</w:t>
      </w:r>
      <w:r w:rsidR="00162425">
        <w:rPr>
          <w:lang w:val="fr-FR"/>
        </w:rPr>
        <w:t> </w:t>
      </w:r>
      <w:r w:rsidRPr="00E44F21">
        <w:rPr>
          <w:lang w:val="fr-FR"/>
        </w:rPr>
        <w:t>déflagration</w:t>
      </w:r>
      <w:r w:rsidR="00162425">
        <w:rPr>
          <w:lang w:val="fr-FR"/>
        </w:rPr>
        <w:t> </w:t>
      </w:r>
      <w:r w:rsidRPr="00E44F21">
        <w:rPr>
          <w:lang w:val="fr-FR"/>
        </w:rPr>
        <w:t>» et «</w:t>
      </w:r>
      <w:r w:rsidR="00162425">
        <w:rPr>
          <w:lang w:val="fr-FR"/>
        </w:rPr>
        <w:t> </w:t>
      </w:r>
      <w:r w:rsidRPr="00E44F21">
        <w:rPr>
          <w:lang w:val="fr-FR"/>
        </w:rPr>
        <w:t>détonation</w:t>
      </w:r>
      <w:r w:rsidR="00162425">
        <w:rPr>
          <w:lang w:val="fr-FR"/>
        </w:rPr>
        <w:t> </w:t>
      </w:r>
      <w:r w:rsidRPr="00E44F21">
        <w:rPr>
          <w:lang w:val="fr-FR"/>
        </w:rPr>
        <w:t>» (voir le document informel INF.26, par. 5).</w:t>
      </w:r>
    </w:p>
    <w:bookmarkEnd w:id="6"/>
    <w:p w14:paraId="6C6D2DE8" w14:textId="77777777" w:rsidR="00E44F21" w:rsidRPr="00E44F21" w:rsidRDefault="00E44F21" w:rsidP="00E44F21">
      <w:pPr>
        <w:pStyle w:val="SingleTxtG"/>
        <w:rPr>
          <w:lang w:val="fr-FR"/>
        </w:rPr>
      </w:pPr>
      <w:r w:rsidRPr="00E44F21">
        <w:rPr>
          <w:lang w:val="fr-FR"/>
        </w:rPr>
        <w:t>11.</w:t>
      </w:r>
      <w:r w:rsidRPr="00E44F21">
        <w:rPr>
          <w:lang w:val="fr-FR"/>
        </w:rPr>
        <w:tab/>
        <w:t>Le représentant de l’UENF a posé la question de savoir si l’ADN devait en priorité porter sur les problèmes de sécurité ou sur ceux ayant trait à l’environnement (document informel INF.33). Plusieurs représentants étaient d’avis que l’ADN devait essentiellement traiter des questions de sécurité et que les questions environnementales relevaient d’autres instruments tels que la Convention relative à la collecte, au dépôt et à la réception des déchets survenant en navigation rhénane et intérieure (CDNI). On a également fait observer que le dégazage dans l’atmosphère des bateaux-citernes dans les zones à forte densité de population était déjà interdit par l’ADN. Le représentant des Pays-Bas a demandé au Comité de sécurité une interprétation officielle de l’expression «</w:t>
      </w:r>
      <w:r w:rsidR="00582426">
        <w:rPr>
          <w:lang w:val="fr-FR"/>
        </w:rPr>
        <w:t> </w:t>
      </w:r>
      <w:r w:rsidRPr="00E44F21">
        <w:rPr>
          <w:lang w:val="fr-FR"/>
        </w:rPr>
        <w:t>zones à forte densité de population</w:t>
      </w:r>
      <w:r w:rsidR="00582426">
        <w:rPr>
          <w:lang w:val="fr-FR"/>
        </w:rPr>
        <w:t> </w:t>
      </w:r>
      <w:r w:rsidRPr="00E44F21">
        <w:rPr>
          <w:lang w:val="fr-FR"/>
        </w:rPr>
        <w:t>», qui posait des problèmes d’application dans la pratique.</w:t>
      </w:r>
    </w:p>
    <w:p w14:paraId="3386FDB7" w14:textId="77777777" w:rsidR="00E44F21" w:rsidRPr="00E44F21" w:rsidRDefault="00E44F21" w:rsidP="00E44F21">
      <w:pPr>
        <w:pStyle w:val="SingleTxtG"/>
        <w:rPr>
          <w:lang w:val="fr-FR"/>
        </w:rPr>
      </w:pPr>
      <w:r w:rsidRPr="00E44F21">
        <w:rPr>
          <w:lang w:val="fr-FR"/>
        </w:rPr>
        <w:t>12.</w:t>
      </w:r>
      <w:r w:rsidRPr="00E44F21">
        <w:rPr>
          <w:lang w:val="fr-FR"/>
        </w:rPr>
        <w:tab/>
        <w:t>Le Comité de sécurité a décidé de ne pas proposer d’interprétation officielle</w:t>
      </w:r>
      <w:r w:rsidR="002C2756">
        <w:rPr>
          <w:lang w:val="fr-FR"/>
        </w:rPr>
        <w:t> </w:t>
      </w:r>
      <w:r w:rsidRPr="00E44F21">
        <w:rPr>
          <w:lang w:val="fr-FR"/>
        </w:rPr>
        <w:t>; il a préféré créer un groupe de travail informel présidé par le représentant de la Belgique et animé par les représentants des Pays-Bas, dont le mandat serait le suivant :</w:t>
      </w:r>
    </w:p>
    <w:p w14:paraId="5CC026A0" w14:textId="77777777" w:rsidR="00E44F21" w:rsidRPr="00E44F21" w:rsidRDefault="002C2756" w:rsidP="00E44F21">
      <w:pPr>
        <w:pStyle w:val="SingleTxtG"/>
        <w:rPr>
          <w:lang w:val="fr-FR"/>
        </w:rPr>
      </w:pPr>
      <w:bookmarkStart w:id="7" w:name="_Hlk18342694"/>
      <w:r>
        <w:rPr>
          <w:lang w:val="fr-FR"/>
        </w:rPr>
        <w:tab/>
      </w:r>
      <w:r w:rsidR="00E44F21" w:rsidRPr="00E44F21">
        <w:rPr>
          <w:lang w:val="fr-FR"/>
        </w:rPr>
        <w:t>«</w:t>
      </w:r>
      <w:r>
        <w:rPr>
          <w:lang w:val="fr-FR"/>
        </w:rPr>
        <w:t> </w:t>
      </w:r>
      <w:r w:rsidR="00E44F21" w:rsidRPr="00E44F21">
        <w:rPr>
          <w:lang w:val="fr-FR"/>
        </w:rPr>
        <w:t>Il est demandé au groupe de travail informel :</w:t>
      </w:r>
    </w:p>
    <w:p w14:paraId="5296BD76" w14:textId="77777777" w:rsidR="002C2756" w:rsidRDefault="00E44F21" w:rsidP="00E44F21">
      <w:pPr>
        <w:pStyle w:val="Bullet1G"/>
        <w:rPr>
          <w:lang w:val="fr-FR"/>
        </w:rPr>
      </w:pPr>
      <w:r w:rsidRPr="00E44F21">
        <w:rPr>
          <w:lang w:val="fr-FR"/>
        </w:rPr>
        <w:t>D’examiner les avantages et les inconvénients qu’il y aurait à modifier les dispositions relatives à l’interdiction de dégazage dans l’atmosphère dans les zones à forte densité de population aux 7.2.3.7.1.2 et 7.2.3.7.1.3 ;</w:t>
      </w:r>
    </w:p>
    <w:p w14:paraId="7BEF42F0" w14:textId="77777777" w:rsidR="002C2756" w:rsidRDefault="00E44F21" w:rsidP="00E44F21">
      <w:pPr>
        <w:pStyle w:val="Bullet1G"/>
        <w:rPr>
          <w:lang w:val="fr-FR"/>
        </w:rPr>
      </w:pPr>
      <w:r w:rsidRPr="002C2756">
        <w:rPr>
          <w:lang w:val="fr-FR"/>
        </w:rPr>
        <w:t>D’examiner dans quel contexte les dispositions du dernier paragraphe des 7.2.3.7.1.2 et 7.2.3.7.1.3 ont été prises ;</w:t>
      </w:r>
    </w:p>
    <w:p w14:paraId="24E7E0AF" w14:textId="77777777" w:rsidR="002C2756" w:rsidRDefault="00E44F21" w:rsidP="00E44F21">
      <w:pPr>
        <w:pStyle w:val="Bullet1G"/>
        <w:rPr>
          <w:lang w:val="fr-FR"/>
        </w:rPr>
      </w:pPr>
      <w:r w:rsidRPr="002C2756">
        <w:rPr>
          <w:lang w:val="fr-FR"/>
        </w:rPr>
        <w:lastRenderedPageBreak/>
        <w:t>De se renseigner sur l’existence ou non de règlements relatifs aux émissions opérationnelles durant le transport de marchandises dangereuses sur les voies navigables intérieures, dans les pays qui sont Parties contractantes à la CDNI ainsi que dans les autres pays qui sont Parties contractantes à l’ADN ;</w:t>
      </w:r>
    </w:p>
    <w:p w14:paraId="6EA357D6" w14:textId="77777777" w:rsidR="002C2756" w:rsidRDefault="00E44F21" w:rsidP="00E44F21">
      <w:pPr>
        <w:pStyle w:val="Bullet1G"/>
        <w:rPr>
          <w:lang w:val="fr-FR"/>
        </w:rPr>
      </w:pPr>
      <w:r w:rsidRPr="002C2756">
        <w:rPr>
          <w:lang w:val="fr-FR"/>
        </w:rPr>
        <w:t>De proposer des amendements, s’il est nécessaire de réviser les dispositions des 7.2.3.7.1.2 et 7.2.3.7.1.3 ;</w:t>
      </w:r>
    </w:p>
    <w:p w14:paraId="0B6DAAC6" w14:textId="77777777" w:rsidR="00E44F21" w:rsidRPr="002C2756" w:rsidRDefault="00E44F21" w:rsidP="00E44F21">
      <w:pPr>
        <w:pStyle w:val="Bullet1G"/>
        <w:rPr>
          <w:lang w:val="fr-FR"/>
        </w:rPr>
      </w:pPr>
      <w:r w:rsidRPr="002C2756">
        <w:rPr>
          <w:lang w:val="fr-FR"/>
        </w:rPr>
        <w:t>De rendre compte des résultats de ses travaux à la trente-sixième session du Comité de sécurité de l’ADN, en janvier 2020.</w:t>
      </w:r>
      <w:r w:rsidR="002C2756">
        <w:rPr>
          <w:lang w:val="fr-FR"/>
        </w:rPr>
        <w:t> </w:t>
      </w:r>
      <w:r w:rsidRPr="002C2756">
        <w:rPr>
          <w:lang w:val="fr-FR"/>
        </w:rPr>
        <w:t>»</w:t>
      </w:r>
      <w:r w:rsidR="002C2756">
        <w:rPr>
          <w:lang w:val="fr-FR"/>
        </w:rPr>
        <w:t>.</w:t>
      </w:r>
    </w:p>
    <w:p w14:paraId="093D357D" w14:textId="77777777" w:rsidR="00E44F21" w:rsidRPr="00E44F21" w:rsidRDefault="00E44F21" w:rsidP="00E44F21">
      <w:pPr>
        <w:pStyle w:val="SingleTxtG"/>
        <w:rPr>
          <w:lang w:val="fr-FR"/>
        </w:rPr>
      </w:pPr>
      <w:r w:rsidRPr="00E44F21">
        <w:rPr>
          <w:lang w:val="fr-FR"/>
        </w:rPr>
        <w:t>13.</w:t>
      </w:r>
      <w:r w:rsidRPr="00E44F21">
        <w:rPr>
          <w:lang w:val="fr-FR"/>
        </w:rPr>
        <w:tab/>
        <w:t>Le Comité de sécurité a noté qu’il était prévu que la première réunion du groupe de travail informel se tiendrait à Anvers les 20 et 21 novembre 2019.</w:t>
      </w:r>
      <w:bookmarkEnd w:id="7"/>
    </w:p>
    <w:p w14:paraId="0C39C1CC" w14:textId="77777777" w:rsidR="00E44F21" w:rsidRPr="00E44F21" w:rsidRDefault="00E44F21" w:rsidP="002C2756">
      <w:pPr>
        <w:pStyle w:val="H23G"/>
        <w:rPr>
          <w:lang w:val="fr-FR"/>
        </w:rPr>
      </w:pPr>
      <w:r w:rsidRPr="00E44F21">
        <w:rPr>
          <w:lang w:val="fr-FR"/>
        </w:rPr>
        <w:tab/>
        <w:t>2.</w:t>
      </w:r>
      <w:r w:rsidRPr="00E44F21">
        <w:rPr>
          <w:lang w:val="fr-FR"/>
        </w:rPr>
        <w:tab/>
        <w:t>Débits de chargement et de déchargement</w:t>
      </w:r>
    </w:p>
    <w:p w14:paraId="1ECC6A3B" w14:textId="77777777" w:rsidR="00E44F21" w:rsidRPr="00E44F21" w:rsidRDefault="00E44F21" w:rsidP="00744B13">
      <w:pPr>
        <w:pStyle w:val="SingleTxtG"/>
        <w:ind w:left="3119" w:hanging="1985"/>
        <w:jc w:val="left"/>
        <w:rPr>
          <w:lang w:val="fr-FR"/>
        </w:rPr>
      </w:pPr>
      <w:r w:rsidRPr="00C26384">
        <w:rPr>
          <w:i/>
          <w:lang w:val="fr-FR"/>
        </w:rPr>
        <w:t>Document</w:t>
      </w:r>
      <w:r w:rsidR="00744B13">
        <w:rPr>
          <w:i/>
          <w:lang w:val="fr-FR"/>
        </w:rPr>
        <w:t xml:space="preserve"> informel</w:t>
      </w:r>
      <w:r w:rsidRPr="00C26384">
        <w:rPr>
          <w:lang w:val="fr-FR"/>
        </w:rPr>
        <w:t> :</w:t>
      </w:r>
      <w:r w:rsidRPr="00C26384">
        <w:rPr>
          <w:lang w:val="fr-FR"/>
        </w:rPr>
        <w:tab/>
        <w:t>INF.9 (Pays-Bas)</w:t>
      </w:r>
      <w:r w:rsidR="00744B13">
        <w:rPr>
          <w:lang w:val="fr-FR"/>
        </w:rPr>
        <w:t>.</w:t>
      </w:r>
    </w:p>
    <w:p w14:paraId="231418FA" w14:textId="77777777" w:rsidR="00E44F21" w:rsidRPr="00E44F21" w:rsidRDefault="00E44F21" w:rsidP="00E44F21">
      <w:pPr>
        <w:pStyle w:val="SingleTxtG"/>
        <w:rPr>
          <w:lang w:val="fr-FR"/>
        </w:rPr>
      </w:pPr>
      <w:r w:rsidRPr="00E44F21">
        <w:rPr>
          <w:lang w:val="fr-FR"/>
        </w:rPr>
        <w:t>14.</w:t>
      </w:r>
      <w:r w:rsidRPr="00E44F21">
        <w:rPr>
          <w:lang w:val="fr-FR"/>
        </w:rPr>
        <w:tab/>
        <w:t xml:space="preserve">Le Comité de sécurité a remercié les représentants des Pays-Bas et de l’UENF pour les informations qu’ils lui avaient communiquées et pour avoir proposé l’examen de cette question. Il a été convenu que les points soulevés dans le document informel concernant les dispositions manquantes dans l’ADN constitueraient le point de départ d’une future proposition visant à harmoniser les pratiques de chargement et de déchargement. Le Comité de sécurité a accueilli favorablement l’initiative des Pays-Bas consistant à élaborer un modèle type pour les instructions de chargement et de déchargement qui préciserait les débits admissibles de chargement et de déchargement, compte tenu de la configuration de la barge et des caractéristiques de la matière. </w:t>
      </w:r>
    </w:p>
    <w:p w14:paraId="550EE37E" w14:textId="77777777" w:rsidR="00E44F21" w:rsidRPr="00E44F21" w:rsidRDefault="00E44F21" w:rsidP="00E44F21">
      <w:pPr>
        <w:pStyle w:val="SingleTxtG"/>
        <w:rPr>
          <w:lang w:val="fr-FR"/>
        </w:rPr>
      </w:pPr>
      <w:r w:rsidRPr="00E44F21">
        <w:rPr>
          <w:lang w:val="fr-FR"/>
        </w:rPr>
        <w:t>15.</w:t>
      </w:r>
      <w:r w:rsidRPr="00E44F21">
        <w:rPr>
          <w:lang w:val="fr-FR"/>
        </w:rPr>
        <w:tab/>
        <w:t>Le Comité de sécurité a pris note de plusieurs observations concernant l’application concrète des prescriptions actuelles des chapitres 7 et 9 ainsi que l’élaboration d’une fiche technique uniformisée pour les opérations de chargement et de déchargement afin de faciliter la communication entre le terminal et les exploitants de barges. Il a souligné la nécessité de préciser : i) la méthode de détermination de la vitesse de chargement et de la densité de vapeur, ii) les responsabilités concernant la fourniture de la fiche technique et iii) les définitions et dispositions à inclure dans l’ADN.</w:t>
      </w:r>
    </w:p>
    <w:p w14:paraId="373A4D36" w14:textId="77777777" w:rsidR="00E44F21" w:rsidRPr="00E44F21" w:rsidRDefault="00E44F21" w:rsidP="00E44F21">
      <w:pPr>
        <w:pStyle w:val="SingleTxtG"/>
        <w:rPr>
          <w:lang w:val="fr-FR"/>
        </w:rPr>
      </w:pPr>
      <w:r w:rsidRPr="00E44F21">
        <w:rPr>
          <w:lang w:val="fr-FR"/>
        </w:rPr>
        <w:t>16.</w:t>
      </w:r>
      <w:r w:rsidRPr="00E44F21">
        <w:rPr>
          <w:lang w:val="fr-FR"/>
        </w:rPr>
        <w:tab/>
        <w:t>Le Comité de sécurité a accueilli avec intérêt la proposition faite par les représentants des Pays-Bas et de l’UENF d’élaborer une proposition tenant compte des observations reçues pour examen à l’une de ses sessions suivantes.</w:t>
      </w:r>
    </w:p>
    <w:p w14:paraId="52B0F4CC" w14:textId="77777777" w:rsidR="00E44F21" w:rsidRPr="00E44F21" w:rsidRDefault="00E44F21" w:rsidP="002C2756">
      <w:pPr>
        <w:pStyle w:val="H23G"/>
        <w:rPr>
          <w:lang w:val="fr-FR"/>
        </w:rPr>
      </w:pPr>
      <w:r w:rsidRPr="00E44F21">
        <w:rPr>
          <w:lang w:val="fr-FR"/>
        </w:rPr>
        <w:tab/>
        <w:t>3.</w:t>
      </w:r>
      <w:r w:rsidRPr="00E44F21">
        <w:rPr>
          <w:lang w:val="fr-FR"/>
        </w:rPr>
        <w:tab/>
        <w:t xml:space="preserve">Matières ayant un point d’éclair supérieur à 60 ºC et inférieur ou égal à 100 ºC et matières dangereuses pour l’environnement classées sous le </w:t>
      </w:r>
      <w:r w:rsidR="000B2F0A">
        <w:rPr>
          <w:lang w:val="fr-FR"/>
        </w:rPr>
        <w:t>No</w:t>
      </w:r>
      <w:r w:rsidRPr="00E44F21">
        <w:rPr>
          <w:lang w:val="fr-FR"/>
        </w:rPr>
        <w:t xml:space="preserve"> ONU 3082 ou le numéro d’identification 9003</w:t>
      </w:r>
    </w:p>
    <w:p w14:paraId="69AC0A54" w14:textId="77777777" w:rsidR="00E44F21" w:rsidRPr="00744B13" w:rsidRDefault="00E44F21" w:rsidP="00744B13">
      <w:pPr>
        <w:pStyle w:val="SingleTxtG"/>
        <w:ind w:left="3119" w:hanging="1985"/>
        <w:jc w:val="left"/>
      </w:pPr>
      <w:r w:rsidRPr="00744B13">
        <w:rPr>
          <w:i/>
          <w:iCs/>
        </w:rPr>
        <w:t>Document</w:t>
      </w:r>
      <w:r w:rsidR="00744B13">
        <w:rPr>
          <w:i/>
          <w:iCs/>
        </w:rPr>
        <w:t> </w:t>
      </w:r>
      <w:r w:rsidR="00744B13" w:rsidRPr="00744B13">
        <w:rPr>
          <w:iCs/>
        </w:rPr>
        <w:t>:</w:t>
      </w:r>
      <w:r w:rsidRPr="00744B13">
        <w:tab/>
        <w:t>ECE/TRANS/WP.15/AC.2/2019/34 (CEFIC)</w:t>
      </w:r>
      <w:r w:rsidR="00744B13">
        <w:t>.</w:t>
      </w:r>
    </w:p>
    <w:p w14:paraId="081518A7" w14:textId="77777777" w:rsidR="00E44F21" w:rsidRPr="00E44F21" w:rsidRDefault="00E44F21" w:rsidP="00E44F21">
      <w:pPr>
        <w:pStyle w:val="SingleTxtG"/>
        <w:rPr>
          <w:lang w:val="fr-FR"/>
        </w:rPr>
      </w:pPr>
      <w:r w:rsidRPr="00E44F21">
        <w:rPr>
          <w:lang w:val="fr-FR"/>
        </w:rPr>
        <w:t>17.</w:t>
      </w:r>
      <w:r w:rsidRPr="00E44F21">
        <w:rPr>
          <w:lang w:val="fr-FR"/>
        </w:rPr>
        <w:tab/>
        <w:t>Le Comité de sécurité a pris note de la proposition du CEFIC concernant les critères à appliquer pour la classification des matières ayant un point d’éclair supérieur à 60</w:t>
      </w:r>
      <w:r w:rsidR="00C74B0C">
        <w:rPr>
          <w:lang w:val="fr-FR"/>
        </w:rPr>
        <w:t> </w:t>
      </w:r>
      <w:r w:rsidRPr="00E44F21">
        <w:rPr>
          <w:lang w:val="fr-FR"/>
        </w:rPr>
        <w:t>°C et inférieur ou égal à 100</w:t>
      </w:r>
      <w:r w:rsidR="00C74B0C">
        <w:rPr>
          <w:lang w:val="fr-FR"/>
        </w:rPr>
        <w:t> </w:t>
      </w:r>
      <w:r w:rsidRPr="00E44F21">
        <w:rPr>
          <w:lang w:val="fr-FR"/>
        </w:rPr>
        <w:t>°C et les matières dangereuses pour l’environnement. Il a été convenu de renvoyer la question au groupe de travail informel des matières. Le président du groupe de travail informel a confirmé qu’il était nécessaire de poursuivre l’examen de cette question au sein de son groupe et de soumettre une proposition concrète à une prochaine session.</w:t>
      </w:r>
    </w:p>
    <w:p w14:paraId="2C5F73DE" w14:textId="77777777" w:rsidR="00E44F21" w:rsidRPr="00E44F21" w:rsidRDefault="00E44F21" w:rsidP="002C2756">
      <w:pPr>
        <w:pStyle w:val="H23G"/>
        <w:rPr>
          <w:lang w:val="fr-FR"/>
        </w:rPr>
      </w:pPr>
      <w:r w:rsidRPr="00E44F21">
        <w:rPr>
          <w:lang w:val="fr-FR"/>
        </w:rPr>
        <w:tab/>
        <w:t>4.</w:t>
      </w:r>
      <w:r w:rsidRPr="00E44F21">
        <w:rPr>
          <w:lang w:val="fr-FR"/>
        </w:rPr>
        <w:tab/>
        <w:t>Dégazage des bateaux-citernes</w:t>
      </w:r>
    </w:p>
    <w:p w14:paraId="64ECE423" w14:textId="77777777" w:rsidR="00E44F21" w:rsidRPr="00E44F21" w:rsidRDefault="00E44F21" w:rsidP="00744B13">
      <w:pPr>
        <w:pStyle w:val="SingleTxtG"/>
        <w:ind w:left="3119" w:hanging="1985"/>
        <w:jc w:val="left"/>
        <w:rPr>
          <w:lang w:val="fr-FR"/>
        </w:rPr>
      </w:pPr>
      <w:r w:rsidRPr="00744B13">
        <w:rPr>
          <w:i/>
          <w:iCs/>
          <w:lang w:val="fr-FR"/>
        </w:rPr>
        <w:t>Document</w:t>
      </w:r>
      <w:r w:rsidR="00744B13">
        <w:rPr>
          <w:i/>
          <w:iCs/>
          <w:lang w:val="fr-FR"/>
        </w:rPr>
        <w:t xml:space="preserve"> informel</w:t>
      </w:r>
      <w:r w:rsidRPr="00744B13">
        <w:rPr>
          <w:iCs/>
          <w:lang w:val="fr-FR"/>
        </w:rPr>
        <w:t> :</w:t>
      </w:r>
      <w:r w:rsidRPr="00744B13">
        <w:rPr>
          <w:i/>
          <w:iCs/>
          <w:lang w:val="fr-FR"/>
        </w:rPr>
        <w:tab/>
      </w:r>
      <w:r w:rsidRPr="00744B13">
        <w:t>INF</w:t>
      </w:r>
      <w:r w:rsidRPr="00744B13">
        <w:rPr>
          <w:lang w:val="fr-FR"/>
        </w:rPr>
        <w:t>.2 (Allemagne)</w:t>
      </w:r>
      <w:r w:rsidR="00744B13">
        <w:rPr>
          <w:lang w:val="fr-FR"/>
        </w:rPr>
        <w:t>.</w:t>
      </w:r>
    </w:p>
    <w:p w14:paraId="6EF90068" w14:textId="77777777" w:rsidR="00E44F21" w:rsidRPr="00E44F21" w:rsidRDefault="00E44F21" w:rsidP="00E44F21">
      <w:pPr>
        <w:pStyle w:val="SingleTxtG"/>
        <w:rPr>
          <w:lang w:val="fr-FR"/>
        </w:rPr>
      </w:pPr>
      <w:r w:rsidRPr="00E44F21">
        <w:rPr>
          <w:lang w:val="fr-FR"/>
        </w:rPr>
        <w:t>18.</w:t>
      </w:r>
      <w:r w:rsidRPr="00E44F21">
        <w:rPr>
          <w:lang w:val="fr-FR"/>
        </w:rPr>
        <w:tab/>
        <w:t xml:space="preserve">Après qu’il a été précisé que le problème décrit dans le document informel était de nature générale, plusieurs délégations ont appuyé l’interprétation donnée par l’Allemagne au paragraphe 5 du document mentionné. Il a été noté que les dispositions du 7.2.5.0.1 devaient être complétées par des conditions supplémentaires pour le </w:t>
      </w:r>
      <w:bookmarkStart w:id="8" w:name="_Hlk22747497"/>
      <w:r w:rsidRPr="00E44F21">
        <w:rPr>
          <w:lang w:val="fr-FR"/>
        </w:rPr>
        <w:t xml:space="preserve">retrait </w:t>
      </w:r>
      <w:bookmarkEnd w:id="8"/>
      <w:r w:rsidRPr="00E44F21">
        <w:rPr>
          <w:lang w:val="fr-FR"/>
        </w:rPr>
        <w:t xml:space="preserve">des feux bleus ou des cônes bleus. Les représentants de l’UENF ont souligné l’importance de la compatibilité des matières chargées consécutivement dans les citernes à cargaison. Le représentant du CEFIC a ajouté que, selon une directive de l’industrie chimique, les opérations de chargement et de déchargement de l’acide sulfurique (Nos ONU 1830 et 1831) devaient être coordonnées et </w:t>
      </w:r>
      <w:r w:rsidRPr="00E44F21">
        <w:rPr>
          <w:lang w:val="fr-FR"/>
        </w:rPr>
        <w:lastRenderedPageBreak/>
        <w:t>consignées par l’entité s’occupant du chargement, le capitaine du bateau et l’entité s’occupant du déchargement. Le représentant de la Commission du Danube a informé le Comité du projet de mise en œuvre de la CDNI dans la région du Danube.</w:t>
      </w:r>
    </w:p>
    <w:p w14:paraId="619192FC" w14:textId="77777777" w:rsidR="00E44F21" w:rsidRPr="00E44F21" w:rsidRDefault="00E44F21" w:rsidP="00E44F21">
      <w:pPr>
        <w:pStyle w:val="SingleTxtG"/>
        <w:rPr>
          <w:lang w:val="fr-FR"/>
        </w:rPr>
      </w:pPr>
      <w:r w:rsidRPr="00E44F21">
        <w:rPr>
          <w:lang w:val="fr-FR"/>
        </w:rPr>
        <w:t>19.</w:t>
      </w:r>
      <w:r w:rsidRPr="00E44F21">
        <w:rPr>
          <w:lang w:val="fr-FR"/>
        </w:rPr>
        <w:tab/>
        <w:t>Conformément au principe selon lequel l’ordre de prépondérance des dangers devait être pris en compte pour chaque matière, il a été conclu qu’une démarche systématique devait être trouvée pour inclure des dispositions dans l’ADN. Le Comité de sécurité s’est félicité de l’intention de l’Allemagne de soumettre un document de réflexion sur ce sujet à une session ultérieure.</w:t>
      </w:r>
    </w:p>
    <w:p w14:paraId="28C0BB78" w14:textId="77777777" w:rsidR="00E44F21" w:rsidRPr="00E44F21" w:rsidRDefault="00E44F21" w:rsidP="002C2756">
      <w:pPr>
        <w:pStyle w:val="H23G"/>
        <w:rPr>
          <w:lang w:val="fr-FR"/>
        </w:rPr>
      </w:pPr>
      <w:r w:rsidRPr="00E44F21">
        <w:rPr>
          <w:lang w:val="fr-FR"/>
        </w:rPr>
        <w:tab/>
        <w:t>5.</w:t>
      </w:r>
      <w:r w:rsidRPr="00E44F21">
        <w:rPr>
          <w:lang w:val="fr-FR"/>
        </w:rPr>
        <w:tab/>
        <w:t>Dispositifs de prise d’échantillons et ventilation</w:t>
      </w:r>
    </w:p>
    <w:p w14:paraId="04E4AFFB" w14:textId="77777777" w:rsidR="00E44F21" w:rsidRPr="00E44F21" w:rsidRDefault="00E44F21" w:rsidP="00744B13">
      <w:pPr>
        <w:pStyle w:val="SingleTxtG"/>
        <w:ind w:left="3119" w:hanging="1985"/>
        <w:jc w:val="left"/>
        <w:rPr>
          <w:lang w:val="fr-FR"/>
        </w:rPr>
      </w:pPr>
      <w:r w:rsidRPr="00744B13">
        <w:rPr>
          <w:i/>
          <w:iCs/>
          <w:lang w:val="fr-FR"/>
        </w:rPr>
        <w:t>Document</w:t>
      </w:r>
      <w:r w:rsidR="00744B13">
        <w:rPr>
          <w:i/>
          <w:iCs/>
          <w:lang w:val="fr-FR"/>
        </w:rPr>
        <w:t xml:space="preserve"> informel</w:t>
      </w:r>
      <w:r w:rsidRPr="00744B13">
        <w:rPr>
          <w:iCs/>
          <w:lang w:val="fr-FR"/>
        </w:rPr>
        <w:t> :</w:t>
      </w:r>
      <w:r w:rsidRPr="00744B13">
        <w:rPr>
          <w:i/>
          <w:iCs/>
          <w:lang w:val="fr-FR"/>
        </w:rPr>
        <w:tab/>
      </w:r>
      <w:r w:rsidRPr="00744B13">
        <w:rPr>
          <w:iCs/>
          <w:lang w:val="fr-FR"/>
        </w:rPr>
        <w:t>INF</w:t>
      </w:r>
      <w:r w:rsidRPr="00744B13">
        <w:rPr>
          <w:lang w:val="fr-FR"/>
        </w:rPr>
        <w:t>.</w:t>
      </w:r>
      <w:r w:rsidRPr="00744B13">
        <w:t>28</w:t>
      </w:r>
      <w:r w:rsidRPr="00744B13">
        <w:rPr>
          <w:lang w:val="fr-FR"/>
        </w:rPr>
        <w:t xml:space="preserve"> (Autriche)</w:t>
      </w:r>
      <w:r w:rsidR="00744B13">
        <w:rPr>
          <w:lang w:val="fr-FR"/>
        </w:rPr>
        <w:t>.</w:t>
      </w:r>
    </w:p>
    <w:p w14:paraId="543FEB4D" w14:textId="77777777" w:rsidR="00E44F21" w:rsidRPr="00E44F21" w:rsidRDefault="00E44F21" w:rsidP="00E44F21">
      <w:pPr>
        <w:pStyle w:val="SingleTxtG"/>
        <w:rPr>
          <w:lang w:val="fr-FR"/>
        </w:rPr>
      </w:pPr>
      <w:r w:rsidRPr="00E44F21">
        <w:rPr>
          <w:lang w:val="fr-FR"/>
        </w:rPr>
        <w:t>20.</w:t>
      </w:r>
      <w:r w:rsidRPr="00E44F21">
        <w:rPr>
          <w:lang w:val="fr-FR"/>
        </w:rPr>
        <w:tab/>
        <w:t>Concernant les dispositifs d’échantillonnage, certains représentants ont estimé qu’une liste actualisée des dispositifs agréés était nécessaire et que, dans le cas où un bateau était vendu à un acquéreur établi dans un autre pays, les dispositifs agréés de prise d’échantillons devaient être acceptés par l’autorité compétente ou la société de classification de ce pays, conformément au principe de la reconnaissance mutuelle entre les Parties contractantes à l’ADN. Le représentant de l’Allemagne a rappelé s’être employé par le passé à préciser les responsabilités de l’autorité compétente et des sociétés de classification à cet égard. Il n’était pas convaincu de la nécessité de retirer ces dispositions de l’ADN. Il a été décidé que la prescription d’un type de dispositif approuvé par l’autorité compétente devait être supprimée. Le représentant de l’Autriche a accepté de soumettre une proposition à la session suivante.</w:t>
      </w:r>
    </w:p>
    <w:p w14:paraId="3332CEE0" w14:textId="77777777" w:rsidR="00E44F21" w:rsidRPr="00E44F21" w:rsidRDefault="00E44F21" w:rsidP="00E44F21">
      <w:pPr>
        <w:pStyle w:val="SingleTxtG"/>
        <w:rPr>
          <w:lang w:val="fr-FR"/>
        </w:rPr>
      </w:pPr>
      <w:r w:rsidRPr="00E44F21">
        <w:rPr>
          <w:lang w:val="fr-FR"/>
        </w:rPr>
        <w:t>21.</w:t>
      </w:r>
      <w:r w:rsidRPr="00E44F21">
        <w:rPr>
          <w:lang w:val="fr-FR"/>
        </w:rPr>
        <w:tab/>
        <w:t>En ce qui concerne l’interprétation du 9.3.3.12.2, le Comité de sécurité, sous réserve d’un examen final par les sociétés de classification recommandées ADN à la session suivante, a conclu ce qui suit :</w:t>
      </w:r>
    </w:p>
    <w:p w14:paraId="3F37426A" w14:textId="77777777" w:rsidR="002C2756" w:rsidRDefault="00E44F21" w:rsidP="00E44F21">
      <w:pPr>
        <w:pStyle w:val="Bullet1G"/>
        <w:rPr>
          <w:lang w:val="fr-FR"/>
        </w:rPr>
      </w:pPr>
      <w:r w:rsidRPr="00E44F21">
        <w:rPr>
          <w:lang w:val="fr-FR"/>
        </w:rPr>
        <w:t>Par «</w:t>
      </w:r>
      <w:r w:rsidR="002C2756">
        <w:rPr>
          <w:lang w:val="fr-FR"/>
        </w:rPr>
        <w:t> </w:t>
      </w:r>
      <w:r w:rsidRPr="00E44F21">
        <w:rPr>
          <w:lang w:val="fr-FR"/>
        </w:rPr>
        <w:t>système de ventilation</w:t>
      </w:r>
      <w:r w:rsidR="002C2756">
        <w:rPr>
          <w:lang w:val="fr-FR"/>
        </w:rPr>
        <w:t> </w:t>
      </w:r>
      <w:r w:rsidRPr="00E44F21">
        <w:rPr>
          <w:lang w:val="fr-FR"/>
        </w:rPr>
        <w:t>», on n’entend pas uniquement les systèmes actifs ; il n’est donc pas nécessaire d’installer des ventilateurs ;</w:t>
      </w:r>
    </w:p>
    <w:p w14:paraId="45FBAA95" w14:textId="77777777" w:rsidR="002C2756" w:rsidRDefault="00E44F21" w:rsidP="00E44F21">
      <w:pPr>
        <w:pStyle w:val="Bullet1G"/>
        <w:rPr>
          <w:lang w:val="fr-FR"/>
        </w:rPr>
      </w:pPr>
      <w:r w:rsidRPr="002C2756">
        <w:rPr>
          <w:lang w:val="fr-FR"/>
        </w:rPr>
        <w:t>Les panneaux d’écoutille peuvent effectivement constituer un «</w:t>
      </w:r>
      <w:r w:rsidR="00171FAF">
        <w:rPr>
          <w:lang w:val="fr-FR"/>
        </w:rPr>
        <w:t> </w:t>
      </w:r>
      <w:r w:rsidRPr="002C2756">
        <w:rPr>
          <w:lang w:val="fr-FR"/>
        </w:rPr>
        <w:t>système de ventilation</w:t>
      </w:r>
      <w:r w:rsidR="00171FAF">
        <w:rPr>
          <w:lang w:val="fr-FR"/>
        </w:rPr>
        <w:t> </w:t>
      </w:r>
      <w:r w:rsidRPr="002C2756">
        <w:rPr>
          <w:lang w:val="fr-FR"/>
        </w:rPr>
        <w:t>» approprié ;</w:t>
      </w:r>
    </w:p>
    <w:p w14:paraId="62CBFA4E" w14:textId="77777777" w:rsidR="002C2756" w:rsidRDefault="00E44F21" w:rsidP="00E44F21">
      <w:pPr>
        <w:pStyle w:val="Bullet1G"/>
        <w:rPr>
          <w:lang w:val="fr-FR"/>
        </w:rPr>
      </w:pPr>
      <w:r w:rsidRPr="002C2756">
        <w:rPr>
          <w:lang w:val="fr-FR"/>
        </w:rPr>
        <w:t>Un col de cygne est effectivement un « système de ventilation » approprié ;</w:t>
      </w:r>
    </w:p>
    <w:p w14:paraId="464E7CEB" w14:textId="77777777" w:rsidR="002C2756" w:rsidRDefault="00E44F21" w:rsidP="00E44F21">
      <w:pPr>
        <w:pStyle w:val="Bullet1G"/>
        <w:rPr>
          <w:lang w:val="fr-FR"/>
        </w:rPr>
      </w:pPr>
      <w:r w:rsidRPr="002C2756">
        <w:rPr>
          <w:lang w:val="fr-FR"/>
        </w:rPr>
        <w:t>Deux orifices d’aération bien positionnés (par ex</w:t>
      </w:r>
      <w:r w:rsidR="002C2756">
        <w:rPr>
          <w:lang w:val="fr-FR"/>
        </w:rPr>
        <w:t>emple</w:t>
      </w:r>
      <w:r w:rsidRPr="002C2756">
        <w:rPr>
          <w:lang w:val="fr-FR"/>
        </w:rPr>
        <w:t>, hottes d’aération) par pièce constituent effectivement un «</w:t>
      </w:r>
      <w:r w:rsidR="002C2756">
        <w:rPr>
          <w:lang w:val="fr-FR"/>
        </w:rPr>
        <w:t xml:space="preserve"> </w:t>
      </w:r>
      <w:r w:rsidRPr="002C2756">
        <w:rPr>
          <w:lang w:val="fr-FR"/>
        </w:rPr>
        <w:t>système de ventilation</w:t>
      </w:r>
      <w:r w:rsidR="002C2756">
        <w:rPr>
          <w:lang w:val="fr-FR"/>
        </w:rPr>
        <w:t> </w:t>
      </w:r>
      <w:r w:rsidRPr="002C2756">
        <w:rPr>
          <w:lang w:val="fr-FR"/>
        </w:rPr>
        <w:t>» approprié ;</w:t>
      </w:r>
    </w:p>
    <w:p w14:paraId="4C1B2381" w14:textId="77777777" w:rsidR="00E44F21" w:rsidRPr="002C2756" w:rsidRDefault="00E44F21" w:rsidP="00E44F21">
      <w:pPr>
        <w:pStyle w:val="Bullet1G"/>
        <w:rPr>
          <w:lang w:val="fr-FR"/>
        </w:rPr>
      </w:pPr>
      <w:r w:rsidRPr="002C2756">
        <w:rPr>
          <w:lang w:val="fr-FR"/>
        </w:rPr>
        <w:t>Il n’est effectivement pas nécessaire d’installer des coupe-flammes dans les orifices d’aération des bateaux-citernes du type N ouvert avec coupe-flammes et du type N fermé.</w:t>
      </w:r>
    </w:p>
    <w:p w14:paraId="482DE76D" w14:textId="77777777" w:rsidR="00E44F21" w:rsidRPr="00E44F21" w:rsidRDefault="00E44F21" w:rsidP="002C2756">
      <w:pPr>
        <w:pStyle w:val="H23G"/>
        <w:rPr>
          <w:lang w:val="fr-FR"/>
        </w:rPr>
      </w:pPr>
      <w:r w:rsidRPr="00E44F21">
        <w:rPr>
          <w:lang w:val="fr-FR"/>
        </w:rPr>
        <w:tab/>
        <w:t>6.</w:t>
      </w:r>
      <w:r w:rsidRPr="00E44F21">
        <w:rPr>
          <w:lang w:val="fr-FR"/>
        </w:rPr>
        <w:tab/>
        <w:t>Proposition d’adaptation du 8.3.5 de l’ADN, « Travaux à bord »</w:t>
      </w:r>
    </w:p>
    <w:p w14:paraId="24141917" w14:textId="77777777" w:rsidR="00E44F21" w:rsidRPr="00E44F21" w:rsidRDefault="00E44F21" w:rsidP="00744B13">
      <w:pPr>
        <w:pStyle w:val="SingleTxtG"/>
        <w:ind w:left="3119" w:hanging="1985"/>
        <w:jc w:val="left"/>
        <w:rPr>
          <w:lang w:val="fr-FR"/>
        </w:rPr>
      </w:pPr>
      <w:r w:rsidRPr="00744B13">
        <w:rPr>
          <w:i/>
          <w:iCs/>
          <w:lang w:val="fr-FR"/>
        </w:rPr>
        <w:t>Documents informels</w:t>
      </w:r>
      <w:r w:rsidRPr="00744B13">
        <w:rPr>
          <w:iCs/>
          <w:lang w:val="fr-FR"/>
        </w:rPr>
        <w:t> :</w:t>
      </w:r>
      <w:r w:rsidRPr="00744B13">
        <w:rPr>
          <w:lang w:val="fr-FR"/>
        </w:rPr>
        <w:tab/>
      </w:r>
      <w:r w:rsidRPr="00744B13">
        <w:rPr>
          <w:iCs/>
          <w:lang w:val="fr-FR"/>
        </w:rPr>
        <w:t>INF</w:t>
      </w:r>
      <w:r w:rsidRPr="00744B13">
        <w:rPr>
          <w:lang w:val="fr-FR"/>
        </w:rPr>
        <w:t xml:space="preserve">.16 (UENF et OEB) </w:t>
      </w:r>
      <w:r w:rsidR="00744B13">
        <w:rPr>
          <w:lang w:val="fr-FR"/>
        </w:rPr>
        <w:t xml:space="preserve">et </w:t>
      </w:r>
      <w:r w:rsidRPr="00744B13">
        <w:rPr>
          <w:lang w:val="fr-FR"/>
        </w:rPr>
        <w:t>INF.30 (Commission européenne)</w:t>
      </w:r>
      <w:r w:rsidR="00744B13">
        <w:rPr>
          <w:lang w:val="fr-FR"/>
        </w:rPr>
        <w:t>.</w:t>
      </w:r>
    </w:p>
    <w:p w14:paraId="32134EB0" w14:textId="77777777" w:rsidR="00E44F21" w:rsidRPr="00E44F21" w:rsidRDefault="00E44F21" w:rsidP="00E44F21">
      <w:pPr>
        <w:pStyle w:val="SingleTxtG"/>
        <w:rPr>
          <w:lang w:val="fr-FR"/>
        </w:rPr>
      </w:pPr>
      <w:r w:rsidRPr="00E44F21">
        <w:rPr>
          <w:lang w:val="fr-FR"/>
        </w:rPr>
        <w:t>22.</w:t>
      </w:r>
      <w:r w:rsidRPr="00E44F21">
        <w:rPr>
          <w:lang w:val="fr-FR"/>
        </w:rPr>
        <w:tab/>
        <w:t>Le représentant de l’UENF a rappelé qu’il n’était pas toujours facile de savoir d’après le 8.3.5 s’il était permis d’effectuer des travaux de réparation ou d’entretien à bord des bateaux. Il a proposé d’en modifier les dispositions et d’énumérer les travaux susceptibles d’être exécutés, en tenant compte des règles et normes de sécurité au travail générales ainsi que de la directive ATEX. Plusieurs représentants ont préféré que les dispositions du 8.3.5 ne soient pas assouplies et soient conservées telles quelles. Le représentant de l’UENF a annoncé qu’il élaborerait un document d’orientation sur différents types de travaux à bord en vue d’une poursuite de l’examen de la question à la session suivante.</w:t>
      </w:r>
    </w:p>
    <w:p w14:paraId="29BE8CC8" w14:textId="77777777" w:rsidR="00E44F21" w:rsidRPr="00E44F21" w:rsidRDefault="00E44F21" w:rsidP="00E44F21">
      <w:pPr>
        <w:pStyle w:val="SingleTxtG"/>
        <w:rPr>
          <w:lang w:val="fr-FR"/>
        </w:rPr>
      </w:pPr>
      <w:r w:rsidRPr="00E44F21">
        <w:rPr>
          <w:lang w:val="fr-FR"/>
        </w:rPr>
        <w:t>23.</w:t>
      </w:r>
      <w:r w:rsidRPr="00E44F21">
        <w:rPr>
          <w:lang w:val="fr-FR"/>
        </w:rPr>
        <w:tab/>
        <w:t>Le Comité de sécurité a pris note avec intérêt des informations fournies par la Commission européenne sur la norme européenne EN</w:t>
      </w:r>
      <w:r w:rsidR="00171FAF">
        <w:rPr>
          <w:lang w:val="fr-FR"/>
        </w:rPr>
        <w:t> </w:t>
      </w:r>
      <w:r w:rsidRPr="00E44F21">
        <w:rPr>
          <w:lang w:val="fr-FR"/>
        </w:rPr>
        <w:t xml:space="preserve">60079-20 et sur la </w:t>
      </w:r>
      <w:bookmarkStart w:id="9" w:name="_Hlk22749263"/>
      <w:r w:rsidRPr="00E44F21">
        <w:rPr>
          <w:lang w:val="fr-FR"/>
        </w:rPr>
        <w:t xml:space="preserve">décision 2019/1202 </w:t>
      </w:r>
      <w:bookmarkEnd w:id="9"/>
      <w:r w:rsidRPr="00E44F21">
        <w:rPr>
          <w:lang w:val="fr-FR"/>
        </w:rPr>
        <w:t>de l’Union européenne relative aux normes harmonisées pour les appareils et les systèmes de protection destinés à être utilisés en atmosphères potentiellement explosives élaborées à l’appui de la directive 2014/34/UE.</w:t>
      </w:r>
    </w:p>
    <w:p w14:paraId="0E2B9C24" w14:textId="77777777" w:rsidR="00E44F21" w:rsidRPr="00E44F21" w:rsidRDefault="00E44F21" w:rsidP="002C2756">
      <w:pPr>
        <w:pStyle w:val="H23G"/>
        <w:rPr>
          <w:lang w:val="fr-FR"/>
        </w:rPr>
      </w:pPr>
      <w:r w:rsidRPr="00E44F21">
        <w:rPr>
          <w:lang w:val="fr-FR"/>
        </w:rPr>
        <w:tab/>
        <w:t>7.</w:t>
      </w:r>
      <w:r w:rsidRPr="00E44F21">
        <w:rPr>
          <w:lang w:val="fr-FR"/>
        </w:rPr>
        <w:tab/>
        <w:t>Étalonnage des installations de détection avec du n-hexane et des détecteurs de gaz</w:t>
      </w:r>
    </w:p>
    <w:p w14:paraId="3A11CF7E" w14:textId="77777777" w:rsidR="00E44F21" w:rsidRPr="00E44F21" w:rsidRDefault="00E44F21" w:rsidP="002B3B8D">
      <w:pPr>
        <w:pStyle w:val="SingleTxtG"/>
        <w:ind w:left="3119" w:hanging="1985"/>
        <w:jc w:val="left"/>
        <w:rPr>
          <w:lang w:val="fr-FR"/>
        </w:rPr>
      </w:pPr>
      <w:r w:rsidRPr="002B3B8D">
        <w:rPr>
          <w:i/>
          <w:iCs/>
          <w:lang w:val="fr-FR"/>
        </w:rPr>
        <w:t>Document</w:t>
      </w:r>
      <w:r w:rsidR="002B3B8D">
        <w:rPr>
          <w:i/>
          <w:iCs/>
          <w:lang w:val="fr-FR"/>
        </w:rPr>
        <w:t xml:space="preserve"> informel</w:t>
      </w:r>
      <w:r w:rsidRPr="002B3B8D">
        <w:rPr>
          <w:iCs/>
          <w:lang w:val="fr-FR"/>
        </w:rPr>
        <w:t> :</w:t>
      </w:r>
      <w:r w:rsidRPr="002B3B8D">
        <w:rPr>
          <w:i/>
          <w:iCs/>
          <w:lang w:val="fr-FR"/>
        </w:rPr>
        <w:tab/>
      </w:r>
      <w:r w:rsidRPr="002B3B8D">
        <w:rPr>
          <w:lang w:val="fr-FR"/>
        </w:rPr>
        <w:t>INF.17 (</w:t>
      </w:r>
      <w:r w:rsidRPr="002B3B8D">
        <w:rPr>
          <w:iCs/>
          <w:lang w:val="fr-FR"/>
        </w:rPr>
        <w:t>UENF</w:t>
      </w:r>
      <w:r w:rsidRPr="002B3B8D">
        <w:rPr>
          <w:lang w:val="fr-FR"/>
        </w:rPr>
        <w:t xml:space="preserve"> et OEB)</w:t>
      </w:r>
      <w:r w:rsidR="002B3B8D">
        <w:rPr>
          <w:lang w:val="fr-FR"/>
        </w:rPr>
        <w:t>.</w:t>
      </w:r>
    </w:p>
    <w:p w14:paraId="5851FA60" w14:textId="77777777" w:rsidR="00E44F21" w:rsidRPr="00E44F21" w:rsidRDefault="00E44F21" w:rsidP="00E44F21">
      <w:pPr>
        <w:pStyle w:val="SingleTxtG"/>
        <w:rPr>
          <w:lang w:val="fr-FR"/>
        </w:rPr>
      </w:pPr>
      <w:r w:rsidRPr="00E44F21">
        <w:rPr>
          <w:lang w:val="fr-FR"/>
        </w:rPr>
        <w:lastRenderedPageBreak/>
        <w:t>24.</w:t>
      </w:r>
      <w:r w:rsidRPr="00E44F21">
        <w:rPr>
          <w:lang w:val="fr-FR"/>
        </w:rPr>
        <w:tab/>
        <w:t>Le représentant de l’UENF a fait part de ses préoccupations quant aux nouvelles dispositions de l’ADN 2019 relatives à l’étalonnage des installations de détection de gaz en fonction des matières les plus dangereuses, sachant qu’il n’existait pas de classement desdites matières selon leur limite inférieure d’explosivité (LIE). Il a ajouté que, dans la pratique, l’utilisation de divers gaz ou liquides d’étalonnage donnerait lieu à des alertes fausses ou supplémentaires. Le Comité de sécurité a chargé le groupe de travail informel des matières d’approfondir l’examen de la question et de trouver une solution envisageable.</w:t>
      </w:r>
    </w:p>
    <w:p w14:paraId="5BFF1A67" w14:textId="77777777" w:rsidR="00E44F21" w:rsidRPr="00E44F21" w:rsidRDefault="00E44F21" w:rsidP="002C2756">
      <w:pPr>
        <w:pStyle w:val="H23G"/>
        <w:rPr>
          <w:lang w:val="fr-FR"/>
        </w:rPr>
      </w:pPr>
      <w:r w:rsidRPr="00E44F21">
        <w:rPr>
          <w:lang w:val="fr-FR"/>
        </w:rPr>
        <w:tab/>
        <w:t>8.</w:t>
      </w:r>
      <w:r w:rsidRPr="00E44F21">
        <w:rPr>
          <w:lang w:val="fr-FR"/>
        </w:rPr>
        <w:tab/>
        <w:t>Installation de détection de gaz</w:t>
      </w:r>
    </w:p>
    <w:p w14:paraId="64A4BFFA" w14:textId="77777777" w:rsidR="00E44F21" w:rsidRPr="00E44F21" w:rsidRDefault="002B3B8D" w:rsidP="002B3B8D">
      <w:pPr>
        <w:pStyle w:val="SingleTxtG"/>
        <w:ind w:left="3119" w:hanging="1985"/>
        <w:jc w:val="left"/>
        <w:rPr>
          <w:lang w:val="fr-FR"/>
        </w:rPr>
      </w:pPr>
      <w:r w:rsidRPr="002B3B8D">
        <w:rPr>
          <w:i/>
          <w:iCs/>
          <w:lang w:val="fr-FR"/>
        </w:rPr>
        <w:t>Document informel</w:t>
      </w:r>
      <w:r w:rsidRPr="002B3B8D">
        <w:rPr>
          <w:iCs/>
          <w:lang w:val="fr-FR"/>
        </w:rPr>
        <w:t> :</w:t>
      </w:r>
      <w:r w:rsidR="00E44F21" w:rsidRPr="002B3B8D">
        <w:rPr>
          <w:i/>
          <w:iCs/>
          <w:lang w:val="fr-FR"/>
        </w:rPr>
        <w:tab/>
      </w:r>
      <w:r w:rsidR="00E44F21" w:rsidRPr="002B3B8D">
        <w:rPr>
          <w:lang w:val="fr-FR"/>
        </w:rPr>
        <w:t>INF.21 (Allemagne)</w:t>
      </w:r>
      <w:r>
        <w:rPr>
          <w:lang w:val="fr-FR"/>
        </w:rPr>
        <w:t>.</w:t>
      </w:r>
    </w:p>
    <w:p w14:paraId="1F65BC81" w14:textId="77777777" w:rsidR="00E44F21" w:rsidRPr="00E44F21" w:rsidRDefault="00E44F21" w:rsidP="00E44F21">
      <w:pPr>
        <w:pStyle w:val="SingleTxtG"/>
        <w:rPr>
          <w:lang w:val="fr-FR"/>
        </w:rPr>
      </w:pPr>
      <w:r w:rsidRPr="00E44F21">
        <w:rPr>
          <w:lang w:val="fr-FR"/>
        </w:rPr>
        <w:t>25.</w:t>
      </w:r>
      <w:r w:rsidRPr="00E44F21">
        <w:rPr>
          <w:lang w:val="fr-FR"/>
        </w:rPr>
        <w:tab/>
        <w:t>Le Comité de sécurité a également chargé le groupe de travail informel des matières d’examiner et de préciser le texte du 7.2.3.6 dans les différentes langues, y compris la version russe.</w:t>
      </w:r>
    </w:p>
    <w:p w14:paraId="1CFD5CCF" w14:textId="77777777" w:rsidR="00E44F21" w:rsidRPr="00E44F21" w:rsidRDefault="00E44F21" w:rsidP="002C2756">
      <w:pPr>
        <w:pStyle w:val="H23G"/>
        <w:rPr>
          <w:lang w:val="fr-FR"/>
        </w:rPr>
      </w:pPr>
      <w:r w:rsidRPr="00E44F21">
        <w:rPr>
          <w:lang w:val="fr-FR"/>
        </w:rPr>
        <w:tab/>
        <w:t>9.</w:t>
      </w:r>
      <w:r w:rsidRPr="00E44F21">
        <w:rPr>
          <w:lang w:val="fr-FR"/>
        </w:rPr>
        <w:tab/>
        <w:t xml:space="preserve">Classement en zones </w:t>
      </w:r>
      <w:r w:rsidR="002C2756">
        <w:rPr>
          <w:lang w:val="fr-FR"/>
        </w:rPr>
        <w:t>−</w:t>
      </w:r>
      <w:r w:rsidRPr="00E44F21">
        <w:rPr>
          <w:lang w:val="fr-FR"/>
        </w:rPr>
        <w:t xml:space="preserve"> zone 1</w:t>
      </w:r>
    </w:p>
    <w:p w14:paraId="3EDE30AA" w14:textId="77777777" w:rsidR="00E44F21" w:rsidRPr="00E44F21" w:rsidRDefault="002B3B8D" w:rsidP="002B3B8D">
      <w:pPr>
        <w:pStyle w:val="SingleTxtG"/>
        <w:ind w:left="3119" w:hanging="1985"/>
        <w:jc w:val="left"/>
        <w:rPr>
          <w:lang w:val="fr-FR"/>
        </w:rPr>
      </w:pPr>
      <w:r w:rsidRPr="002B3B8D">
        <w:rPr>
          <w:i/>
          <w:iCs/>
          <w:lang w:val="fr-FR"/>
        </w:rPr>
        <w:t>Document informel</w:t>
      </w:r>
      <w:r w:rsidRPr="002B3B8D">
        <w:rPr>
          <w:iCs/>
          <w:lang w:val="fr-FR"/>
        </w:rPr>
        <w:t> :</w:t>
      </w:r>
      <w:r w:rsidR="00E44F21" w:rsidRPr="002B3B8D">
        <w:rPr>
          <w:i/>
          <w:iCs/>
          <w:lang w:val="fr-FR"/>
        </w:rPr>
        <w:tab/>
      </w:r>
      <w:r w:rsidR="00E44F21" w:rsidRPr="002B3B8D">
        <w:rPr>
          <w:lang w:val="fr-FR"/>
        </w:rPr>
        <w:t>INF.25 (sociétés de classification recommandées ADN)</w:t>
      </w:r>
      <w:r>
        <w:rPr>
          <w:lang w:val="fr-FR"/>
        </w:rPr>
        <w:t>.</w:t>
      </w:r>
    </w:p>
    <w:p w14:paraId="6CFDBDD3" w14:textId="77777777" w:rsidR="00E44F21" w:rsidRPr="00E44F21" w:rsidRDefault="00E44F21" w:rsidP="00E44F21">
      <w:pPr>
        <w:pStyle w:val="SingleTxtG"/>
        <w:rPr>
          <w:lang w:val="fr-FR"/>
        </w:rPr>
      </w:pPr>
      <w:r w:rsidRPr="00E44F21">
        <w:rPr>
          <w:lang w:val="fr-FR"/>
        </w:rPr>
        <w:t>26.</w:t>
      </w:r>
      <w:r w:rsidRPr="00E44F21">
        <w:rPr>
          <w:lang w:val="fr-FR"/>
        </w:rPr>
        <w:tab/>
        <w:t>Le Comité de sécurité a remercié les sociétés de classification recommandées ADN d’avoir décelé des divergences concernant la définition de la zone 1 entre les différentes versions linguistiques de l’ADN. Il a été précisé que la proposition initiale avait pour objet de décrire la zone comprise entre deux cercles concentriques, le cercle intérieur étant l’ouverture et le cercle extérieur ayant un rayon égal à celui du cercle intérieur + 2,50 m (soit une bordure extérieure d’une largeur de 2,50 m). S’agissant de la hauteur de la forme tridimensionnelle, il a été indiqué qu’elle devait être de 2,50 m au-dessus du pont et de 1,50 m au-dessus de la tuyauterie. Une proposition visant à éliminer les divergences sera élaborée par les représentants des Pays-Bas et des sociétés de classification recommandées ADN pour la session suivante du Comité de sécurité.</w:t>
      </w:r>
    </w:p>
    <w:p w14:paraId="5D684036" w14:textId="77777777" w:rsidR="00E44F21" w:rsidRPr="00E44F21" w:rsidRDefault="00E44F21" w:rsidP="00E44F21">
      <w:pPr>
        <w:pStyle w:val="SingleTxtG"/>
        <w:rPr>
          <w:lang w:val="fr-FR"/>
        </w:rPr>
      </w:pPr>
      <w:r w:rsidRPr="00E44F21">
        <w:rPr>
          <w:lang w:val="fr-FR"/>
        </w:rPr>
        <w:t>27.</w:t>
      </w:r>
      <w:r w:rsidRPr="00E44F21">
        <w:rPr>
          <w:lang w:val="fr-FR"/>
        </w:rPr>
        <w:tab/>
        <w:t>S’agissant de la question posée au paragraphe 11, il a été précisé que les ouvertures à brides borgnes boulonnées devaient être considérées comme des ouvertures dans le contexte de la protection contre les explosions, sauf indication contraire dans la définition de la zone 1.</w:t>
      </w:r>
    </w:p>
    <w:p w14:paraId="03743B80" w14:textId="77777777" w:rsidR="00E44F21" w:rsidRPr="00E44F21" w:rsidRDefault="00E44F21" w:rsidP="002C2756">
      <w:pPr>
        <w:pStyle w:val="H1G"/>
        <w:rPr>
          <w:lang w:val="fr-FR"/>
        </w:rPr>
      </w:pPr>
      <w:r w:rsidRPr="00E44F21">
        <w:rPr>
          <w:lang w:val="fr-FR"/>
        </w:rPr>
        <w:tab/>
        <w:t>D.</w:t>
      </w:r>
      <w:r w:rsidRPr="00E44F21">
        <w:rPr>
          <w:lang w:val="fr-FR"/>
        </w:rPr>
        <w:tab/>
        <w:t>Formation des experts</w:t>
      </w:r>
    </w:p>
    <w:p w14:paraId="1D1B55D9" w14:textId="77777777" w:rsidR="00E44F21" w:rsidRPr="00E44F21" w:rsidRDefault="00E44F21" w:rsidP="002C2756">
      <w:pPr>
        <w:pStyle w:val="H23G"/>
        <w:rPr>
          <w:lang w:val="fr-FR"/>
        </w:rPr>
      </w:pPr>
      <w:r w:rsidRPr="00E44F21">
        <w:rPr>
          <w:lang w:val="fr-FR"/>
        </w:rPr>
        <w:tab/>
        <w:t>1.</w:t>
      </w:r>
      <w:r w:rsidRPr="00E44F21">
        <w:rPr>
          <w:lang w:val="fr-FR"/>
        </w:rPr>
        <w:tab/>
        <w:t>Proposition visant à actualiser le calendrier de travail du groupe de travail informel</w:t>
      </w:r>
      <w:r w:rsidR="002C2756">
        <w:rPr>
          <w:lang w:val="fr-FR"/>
        </w:rPr>
        <w:t> </w:t>
      </w:r>
      <w:r w:rsidRPr="00E44F21">
        <w:rPr>
          <w:lang w:val="fr-FR"/>
        </w:rPr>
        <w:t>de la formation des experts</w:t>
      </w:r>
    </w:p>
    <w:p w14:paraId="3CB93016" w14:textId="77777777" w:rsidR="002B3B8D" w:rsidRDefault="00E44F21" w:rsidP="002B3B8D">
      <w:pPr>
        <w:pStyle w:val="SingleTxtG"/>
        <w:ind w:left="3119" w:hanging="1985"/>
        <w:jc w:val="left"/>
        <w:rPr>
          <w:lang w:val="fr-FR"/>
        </w:rPr>
      </w:pPr>
      <w:r w:rsidRPr="002B3B8D">
        <w:rPr>
          <w:i/>
          <w:iCs/>
          <w:lang w:val="fr-FR"/>
        </w:rPr>
        <w:t>Document</w:t>
      </w:r>
      <w:r w:rsidRPr="002B3B8D">
        <w:rPr>
          <w:iCs/>
          <w:lang w:val="fr-FR"/>
        </w:rPr>
        <w:t> :</w:t>
      </w:r>
      <w:r w:rsidRPr="002B3B8D">
        <w:rPr>
          <w:lang w:val="fr-FR"/>
        </w:rPr>
        <w:tab/>
        <w:t>ECE/TRANS/WP.15/AC.2/2019/25 (CCNR)</w:t>
      </w:r>
    </w:p>
    <w:p w14:paraId="2776960F" w14:textId="77777777" w:rsidR="00E44F21" w:rsidRPr="00E44F21" w:rsidRDefault="00E44F21" w:rsidP="002B3B8D">
      <w:pPr>
        <w:pStyle w:val="SingleTxtG"/>
        <w:ind w:left="3119" w:hanging="1985"/>
        <w:jc w:val="left"/>
        <w:rPr>
          <w:lang w:val="fr-FR"/>
        </w:rPr>
      </w:pPr>
      <w:r w:rsidRPr="002B3B8D">
        <w:rPr>
          <w:i/>
          <w:iCs/>
          <w:lang w:val="fr-FR"/>
        </w:rPr>
        <w:t>Documents informels</w:t>
      </w:r>
      <w:r w:rsidR="002B3B8D">
        <w:rPr>
          <w:iCs/>
          <w:lang w:val="fr-FR"/>
        </w:rPr>
        <w:t> :</w:t>
      </w:r>
      <w:r w:rsidR="002B3B8D">
        <w:rPr>
          <w:iCs/>
          <w:lang w:val="fr-FR"/>
        </w:rPr>
        <w:tab/>
      </w:r>
      <w:r w:rsidRPr="002B3B8D">
        <w:rPr>
          <w:lang w:val="fr-FR"/>
        </w:rPr>
        <w:t>INF.29 (Allemagne) et INF.10 (CCNR)</w:t>
      </w:r>
      <w:r w:rsidR="002B3B8D">
        <w:rPr>
          <w:lang w:val="fr-FR"/>
        </w:rPr>
        <w:t>.</w:t>
      </w:r>
    </w:p>
    <w:p w14:paraId="0B677DAB" w14:textId="77777777" w:rsidR="00E44F21" w:rsidRPr="00E44F21" w:rsidRDefault="00E44F21" w:rsidP="00E44F21">
      <w:pPr>
        <w:pStyle w:val="SingleTxtG"/>
        <w:rPr>
          <w:lang w:val="fr-FR"/>
        </w:rPr>
      </w:pPr>
      <w:r w:rsidRPr="00E44F21">
        <w:rPr>
          <w:lang w:val="fr-FR"/>
        </w:rPr>
        <w:t>28.</w:t>
      </w:r>
      <w:r w:rsidRPr="00E44F21">
        <w:rPr>
          <w:lang w:val="fr-FR"/>
        </w:rPr>
        <w:tab/>
        <w:t>Le Comité de sécurité a examiné le rapport de la vingtième réunion du groupe de travail informel de la formation des experts, tel que présenté dans le document ECE/TRANS/WP.15/AC.2/2019/25 et adopté les amendements proposés dans son annexe 1. Il a été rappelé au Comité de sécurité que les statistiques relatives aux examens devaient être adressées au secrétariat de la CEE. Aux fins de l’harmonisation des données communiquées, le Comité a adopté le modèle proposé à l’annexe 2 du rapport.</w:t>
      </w:r>
    </w:p>
    <w:p w14:paraId="1C4CAFC9" w14:textId="77777777" w:rsidR="00E44F21" w:rsidRPr="00E44F21" w:rsidRDefault="00E44F21" w:rsidP="00E44F21">
      <w:pPr>
        <w:pStyle w:val="SingleTxtG"/>
        <w:rPr>
          <w:lang w:val="fr-FR"/>
        </w:rPr>
      </w:pPr>
      <w:r w:rsidRPr="00E44F21">
        <w:rPr>
          <w:lang w:val="fr-FR"/>
        </w:rPr>
        <w:t>29.</w:t>
      </w:r>
      <w:r w:rsidRPr="00E44F21">
        <w:rPr>
          <w:lang w:val="fr-FR"/>
        </w:rPr>
        <w:tab/>
        <w:t>Le représentant de la CCNR s’est porté volontaire pour établir en temps voulu un document officiel proposant les amendements mentionnés aux paragraphes</w:t>
      </w:r>
      <w:r w:rsidR="002C2756">
        <w:rPr>
          <w:lang w:val="fr-FR"/>
        </w:rPr>
        <w:t xml:space="preserve"> </w:t>
      </w:r>
      <w:r w:rsidRPr="00E44F21">
        <w:rPr>
          <w:lang w:val="fr-FR"/>
        </w:rPr>
        <w:t>32 à 34 du rapport. En ce qui concerne l’annexe</w:t>
      </w:r>
      <w:r w:rsidR="00171FAF">
        <w:rPr>
          <w:lang w:val="fr-FR"/>
        </w:rPr>
        <w:t> </w:t>
      </w:r>
      <w:r w:rsidRPr="00E44F21">
        <w:rPr>
          <w:lang w:val="fr-FR"/>
        </w:rPr>
        <w:t>3 sur l’élaboration d’épreuves écrites à choix multiples, il a été convenu que le groupe de travail informel reprendrait l’examen des questions suivantes :</w:t>
      </w:r>
    </w:p>
    <w:p w14:paraId="4500815E" w14:textId="77777777" w:rsidR="002C2756" w:rsidRDefault="00E44F21" w:rsidP="002C2756">
      <w:pPr>
        <w:pStyle w:val="SingleTxtG"/>
        <w:ind w:firstLine="567"/>
        <w:rPr>
          <w:lang w:val="fr-FR"/>
        </w:rPr>
      </w:pPr>
      <w:r w:rsidRPr="00E44F21">
        <w:rPr>
          <w:lang w:val="fr-FR"/>
        </w:rPr>
        <w:t>i)</w:t>
      </w:r>
      <w:r w:rsidRPr="00E44F21">
        <w:rPr>
          <w:lang w:val="fr-FR"/>
        </w:rPr>
        <w:tab/>
        <w:t>Niveau de maîtrise de la langue d’examen ;</w:t>
      </w:r>
    </w:p>
    <w:p w14:paraId="3F6FDAB3" w14:textId="77777777" w:rsidR="002C2756" w:rsidRDefault="00E44F21" w:rsidP="002C2756">
      <w:pPr>
        <w:pStyle w:val="SingleTxtG"/>
        <w:ind w:firstLine="567"/>
        <w:rPr>
          <w:lang w:val="fr-FR"/>
        </w:rPr>
      </w:pPr>
      <w:r w:rsidRPr="00E44F21">
        <w:rPr>
          <w:lang w:val="fr-FR"/>
        </w:rPr>
        <w:t>ii)</w:t>
      </w:r>
      <w:r w:rsidRPr="00E44F21">
        <w:rPr>
          <w:lang w:val="fr-FR"/>
        </w:rPr>
        <w:tab/>
        <w:t>Prolongation de la durée de l’examen ;</w:t>
      </w:r>
    </w:p>
    <w:p w14:paraId="4125DFEA" w14:textId="77777777" w:rsidR="00E44F21" w:rsidRPr="00E44F21" w:rsidRDefault="00E44F21" w:rsidP="002C2756">
      <w:pPr>
        <w:pStyle w:val="SingleTxtG"/>
        <w:ind w:firstLine="567"/>
        <w:rPr>
          <w:lang w:val="fr-FR"/>
        </w:rPr>
      </w:pPr>
      <w:r w:rsidRPr="00E44F21">
        <w:rPr>
          <w:lang w:val="fr-FR"/>
        </w:rPr>
        <w:t>iii)</w:t>
      </w:r>
      <w:r w:rsidRPr="00E44F21">
        <w:rPr>
          <w:lang w:val="fr-FR"/>
        </w:rPr>
        <w:tab/>
        <w:t>Simplification de l’énoncé des questions à l’aide de schémas ou de chiffres, le cas échéant, et abaissement du nombre de réponses à trois, dont deux réponses erronées mais plausibles.</w:t>
      </w:r>
    </w:p>
    <w:p w14:paraId="650BFA82" w14:textId="77777777" w:rsidR="00E44F21" w:rsidRPr="00E44F21" w:rsidRDefault="00E44F21" w:rsidP="00E44F21">
      <w:pPr>
        <w:pStyle w:val="SingleTxtG"/>
        <w:rPr>
          <w:lang w:val="fr-FR"/>
        </w:rPr>
      </w:pPr>
      <w:r w:rsidRPr="00E44F21">
        <w:rPr>
          <w:lang w:val="fr-FR"/>
        </w:rPr>
        <w:lastRenderedPageBreak/>
        <w:t>30.</w:t>
      </w:r>
      <w:r w:rsidRPr="00E44F21">
        <w:rPr>
          <w:lang w:val="fr-FR"/>
        </w:rPr>
        <w:tab/>
        <w:t xml:space="preserve">Le Comité de sécurité a souscrit à l’idée du groupe de travail informel selon laquelle, après la fin de la période de transition pour la formation en matière de stabilité, la durée du cours de recyclage devrait revenir à deux jours, au lieu de trois. </w:t>
      </w:r>
    </w:p>
    <w:p w14:paraId="179639A7" w14:textId="77777777" w:rsidR="00E44F21" w:rsidRPr="00E44F21" w:rsidRDefault="00E44F21" w:rsidP="00E44F21">
      <w:pPr>
        <w:pStyle w:val="SingleTxtG"/>
        <w:rPr>
          <w:lang w:val="fr-FR"/>
        </w:rPr>
      </w:pPr>
      <w:r w:rsidRPr="00E44F21">
        <w:rPr>
          <w:lang w:val="fr-FR"/>
        </w:rPr>
        <w:t>31.</w:t>
      </w:r>
      <w:r w:rsidRPr="00E44F21">
        <w:rPr>
          <w:lang w:val="fr-FR"/>
        </w:rPr>
        <w:tab/>
        <w:t>Le Comité de sécurité a approuvé le calendrier de travail actualisé du groupe de travail informel tel qu’il figure dans le document informel INF.10. Il a été noté que la réunion suivante du groupe de travail informel se tiendrait en principe du 24 au 26 mars 2020.</w:t>
      </w:r>
    </w:p>
    <w:p w14:paraId="792E68C6" w14:textId="77777777" w:rsidR="00E44F21" w:rsidRPr="00E44F21" w:rsidRDefault="00E44F21" w:rsidP="002C2756">
      <w:pPr>
        <w:pStyle w:val="H1G"/>
        <w:rPr>
          <w:lang w:val="fr-FR"/>
        </w:rPr>
      </w:pPr>
      <w:r w:rsidRPr="00E44F21">
        <w:rPr>
          <w:lang w:val="fr-FR"/>
        </w:rPr>
        <w:tab/>
        <w:t>E.</w:t>
      </w:r>
      <w:r w:rsidRPr="00E44F21">
        <w:rPr>
          <w:lang w:val="fr-FR"/>
        </w:rPr>
        <w:tab/>
        <w:t xml:space="preserve">Questions relatives aux sociétés de classification </w:t>
      </w:r>
    </w:p>
    <w:p w14:paraId="04765B1C" w14:textId="77777777" w:rsidR="00E44F21" w:rsidRPr="00E44F21" w:rsidRDefault="00E44F21" w:rsidP="002C2756">
      <w:pPr>
        <w:pStyle w:val="H23G"/>
        <w:rPr>
          <w:lang w:val="fr-FR"/>
        </w:rPr>
      </w:pPr>
      <w:r w:rsidRPr="00E44F21">
        <w:rPr>
          <w:lang w:val="fr-FR"/>
        </w:rPr>
        <w:tab/>
        <w:t>1.</w:t>
      </w:r>
      <w:r w:rsidRPr="00E44F21">
        <w:rPr>
          <w:lang w:val="fr-FR"/>
        </w:rPr>
        <w:tab/>
        <w:t>Contenu du dossier de bateau</w:t>
      </w:r>
    </w:p>
    <w:p w14:paraId="4B91F94B" w14:textId="77777777" w:rsidR="00E44F21" w:rsidRPr="00E44F21" w:rsidRDefault="00E44F21" w:rsidP="002B3B8D">
      <w:pPr>
        <w:pStyle w:val="SingleTxtG"/>
        <w:ind w:left="3119" w:hanging="1985"/>
        <w:jc w:val="left"/>
        <w:rPr>
          <w:lang w:val="fr-FR"/>
        </w:rPr>
      </w:pPr>
      <w:r w:rsidRPr="002B3B8D">
        <w:rPr>
          <w:i/>
          <w:iCs/>
          <w:lang w:val="fr-FR"/>
        </w:rPr>
        <w:t>Document</w:t>
      </w:r>
      <w:r w:rsidR="002B3B8D">
        <w:rPr>
          <w:i/>
          <w:iCs/>
          <w:lang w:val="fr-FR"/>
        </w:rPr>
        <w:t xml:space="preserve"> informel</w:t>
      </w:r>
      <w:r w:rsidRPr="002B3B8D">
        <w:rPr>
          <w:iCs/>
          <w:lang w:val="fr-FR"/>
        </w:rPr>
        <w:t> :</w:t>
      </w:r>
      <w:r w:rsidRPr="002B3B8D">
        <w:rPr>
          <w:i/>
          <w:iCs/>
          <w:lang w:val="fr-FR"/>
        </w:rPr>
        <w:tab/>
      </w:r>
      <w:r w:rsidRPr="002B3B8D">
        <w:rPr>
          <w:lang w:val="fr-FR"/>
        </w:rPr>
        <w:t>INF.4 (sociétés de classification recommandées ADN)</w:t>
      </w:r>
      <w:r w:rsidR="002B3B8D">
        <w:rPr>
          <w:lang w:val="fr-FR"/>
        </w:rPr>
        <w:t>.</w:t>
      </w:r>
    </w:p>
    <w:p w14:paraId="3A158DF6" w14:textId="77777777" w:rsidR="00E44F21" w:rsidRPr="00E44F21" w:rsidRDefault="00E44F21" w:rsidP="00E44F21">
      <w:pPr>
        <w:pStyle w:val="SingleTxtG"/>
        <w:rPr>
          <w:lang w:val="fr-FR"/>
        </w:rPr>
      </w:pPr>
      <w:r w:rsidRPr="00E44F21">
        <w:rPr>
          <w:lang w:val="fr-FR"/>
        </w:rPr>
        <w:t>32.</w:t>
      </w:r>
      <w:r w:rsidRPr="00E44F21">
        <w:rPr>
          <w:lang w:val="fr-FR"/>
        </w:rPr>
        <w:tab/>
        <w:t>Le Comité de sécurité a accueilli avec intérêt la proposition du groupe de travail informel des sociétés de classification recommandées ADN et a pris note de plusieurs observations concernant le document informel INF.4. Les avis étaient partagés sur la question de savoir si la liste serait indicative ou contraignante, ainsi que sur les éléments essentiels du dossier de bateau. Le Comité de sécurité est convenu que ce dossier ne devait pas, en principe, faire l’objet d’inspections, et qu’il devait être restructuré de manière à tenir compte uniquement des prescriptions relatives à l’ADN.</w:t>
      </w:r>
    </w:p>
    <w:p w14:paraId="67F3D66E" w14:textId="77777777" w:rsidR="00E44F21" w:rsidRPr="00E44F21" w:rsidRDefault="00E44F21" w:rsidP="00E44F21">
      <w:pPr>
        <w:pStyle w:val="SingleTxtG"/>
        <w:rPr>
          <w:lang w:val="fr-FR"/>
        </w:rPr>
      </w:pPr>
      <w:r w:rsidRPr="00E44F21">
        <w:rPr>
          <w:lang w:val="fr-FR"/>
        </w:rPr>
        <w:t>33.</w:t>
      </w:r>
      <w:r w:rsidRPr="00E44F21">
        <w:rPr>
          <w:lang w:val="fr-FR"/>
        </w:rPr>
        <w:tab/>
        <w:t>Le Comité de sécurité, estimant qu’il était prématuré d’adopter la liste des éléments devant figurer dans le dossier de bateau, a invité le groupe de travail informel à poursuivre son examen de la question en tenant compte des observations formulées. Il a demandé au secrétariat de corriger la date indiquée au 1.6.7.2.2.5 de la version anglaise de l’ADN, qui devait se lire «</w:t>
      </w:r>
      <w:r w:rsidR="002C2756">
        <w:rPr>
          <w:lang w:val="fr-FR"/>
        </w:rPr>
        <w:t> </w:t>
      </w:r>
      <w:r w:rsidRPr="00E44F21">
        <w:rPr>
          <w:lang w:val="fr-FR"/>
        </w:rPr>
        <w:t>1 July 2017</w:t>
      </w:r>
      <w:r w:rsidR="002C2756">
        <w:rPr>
          <w:lang w:val="fr-FR"/>
        </w:rPr>
        <w:t> </w:t>
      </w:r>
      <w:r w:rsidRPr="00E44F21">
        <w:rPr>
          <w:lang w:val="fr-FR"/>
        </w:rPr>
        <w:t xml:space="preserve">» (voir annexe II). </w:t>
      </w:r>
    </w:p>
    <w:p w14:paraId="10761F6B" w14:textId="77777777" w:rsidR="00E44F21" w:rsidRPr="00E44F21" w:rsidRDefault="00E44F21" w:rsidP="002C2756">
      <w:pPr>
        <w:pStyle w:val="H23G"/>
        <w:rPr>
          <w:lang w:val="fr-FR"/>
        </w:rPr>
      </w:pPr>
      <w:bookmarkStart w:id="10" w:name="_Hlk17742638"/>
      <w:r w:rsidRPr="00E44F21">
        <w:rPr>
          <w:lang w:val="fr-FR"/>
        </w:rPr>
        <w:tab/>
        <w:t>2.</w:t>
      </w:r>
      <w:r w:rsidRPr="00E44F21">
        <w:rPr>
          <w:lang w:val="fr-FR"/>
        </w:rPr>
        <w:tab/>
        <w:t>Rapport de la dix-septième réunion du groupe de travail informel des sociétés de classification recommandées ADN</w:t>
      </w:r>
    </w:p>
    <w:p w14:paraId="1E9FFD1A" w14:textId="77777777" w:rsidR="00E44F21" w:rsidRPr="00E44F21" w:rsidRDefault="00E44F21" w:rsidP="002B3B8D">
      <w:pPr>
        <w:pStyle w:val="SingleTxtG"/>
        <w:ind w:left="3119" w:hanging="1985"/>
        <w:jc w:val="left"/>
        <w:rPr>
          <w:lang w:val="fr-FR"/>
        </w:rPr>
      </w:pPr>
      <w:r w:rsidRPr="002B3B8D">
        <w:rPr>
          <w:i/>
          <w:iCs/>
          <w:lang w:val="fr-FR"/>
        </w:rPr>
        <w:t>Documents informels</w:t>
      </w:r>
      <w:r w:rsidRPr="002B3B8D">
        <w:rPr>
          <w:iCs/>
          <w:lang w:val="fr-FR"/>
        </w:rPr>
        <w:t> :</w:t>
      </w:r>
      <w:r w:rsidRPr="002B3B8D">
        <w:rPr>
          <w:lang w:val="fr-FR"/>
        </w:rPr>
        <w:tab/>
        <w:t>INF.11 et INF.22 (sociétés de classification recommandées ADN)</w:t>
      </w:r>
      <w:r w:rsidR="002B3B8D">
        <w:rPr>
          <w:lang w:val="fr-FR"/>
        </w:rPr>
        <w:t>.</w:t>
      </w:r>
    </w:p>
    <w:p w14:paraId="7ABD8EE1" w14:textId="77777777" w:rsidR="00E44F21" w:rsidRPr="00E44F21" w:rsidRDefault="00E44F21" w:rsidP="00E44F21">
      <w:pPr>
        <w:pStyle w:val="SingleTxtG"/>
        <w:rPr>
          <w:lang w:val="fr-FR"/>
        </w:rPr>
      </w:pPr>
      <w:r w:rsidRPr="00E44F21">
        <w:rPr>
          <w:lang w:val="fr-FR"/>
        </w:rPr>
        <w:t>34.</w:t>
      </w:r>
      <w:r w:rsidRPr="00E44F21">
        <w:rPr>
          <w:lang w:val="fr-FR"/>
        </w:rPr>
        <w:tab/>
        <w:t>Le Comité de sécurité a pris note du rapport du groupe de travail informel, tel qu’il figure dans le document informel INF.11. Il s’est penché sur les points 2 e), 4 b), 4 k) et 4</w:t>
      </w:r>
      <w:r w:rsidR="002C2756">
        <w:rPr>
          <w:lang w:val="fr-FR"/>
        </w:rPr>
        <w:t> </w:t>
      </w:r>
      <w:r w:rsidRPr="00E44F21">
        <w:rPr>
          <w:lang w:val="fr-FR"/>
        </w:rPr>
        <w:t>u), à propos desquels il est convenu des mesures ci-après :</w:t>
      </w:r>
      <w:bookmarkEnd w:id="10"/>
    </w:p>
    <w:p w14:paraId="551F5608" w14:textId="77777777" w:rsidR="002C2756" w:rsidRDefault="00E44F21" w:rsidP="00E44F21">
      <w:pPr>
        <w:pStyle w:val="Bullet1G"/>
        <w:rPr>
          <w:lang w:val="fr-FR"/>
        </w:rPr>
      </w:pPr>
      <w:r w:rsidRPr="00E44F21">
        <w:rPr>
          <w:lang w:val="fr-FR"/>
        </w:rPr>
        <w:t xml:space="preserve">Utilisation des évaporations de GNL comme combustible (point 2 e)) : </w:t>
      </w:r>
      <w:r w:rsidR="00B07475">
        <w:rPr>
          <w:lang w:val="fr-FR"/>
        </w:rPr>
        <w:t>l</w:t>
      </w:r>
      <w:r w:rsidRPr="00E44F21">
        <w:rPr>
          <w:lang w:val="fr-FR"/>
        </w:rPr>
        <w:t>e Comité de sécurité a invité le groupe de travail informel à poursuivre l’examen d’une nouvelle proposition fondée sur le Recueil international de règles sur les transporteurs de gaz (Recueil IGC) de l’Organisation maritime internationale ;</w:t>
      </w:r>
    </w:p>
    <w:p w14:paraId="2E345A55" w14:textId="77777777" w:rsidR="002C2756" w:rsidRDefault="00E44F21" w:rsidP="00E44F21">
      <w:pPr>
        <w:pStyle w:val="Bullet1G"/>
        <w:rPr>
          <w:lang w:val="fr-FR"/>
        </w:rPr>
      </w:pPr>
      <w:r w:rsidRPr="002C2756">
        <w:rPr>
          <w:lang w:val="fr-FR"/>
        </w:rPr>
        <w:t xml:space="preserve">Bateaux à propulsion électrique (point 4 b)) : </w:t>
      </w:r>
      <w:r w:rsidR="00B07475">
        <w:rPr>
          <w:lang w:val="fr-FR"/>
        </w:rPr>
        <w:t>l</w:t>
      </w:r>
      <w:r w:rsidRPr="002C2756">
        <w:rPr>
          <w:lang w:val="fr-FR"/>
        </w:rPr>
        <w:t>e Comité de sécurité a demandé au secrétariat de la CCNR de le tenir informé des évolutions techniques étudiées au sein du Groupe de travail des prescriptions techniques (CESNI-PT), afin qu’il en soit tenu compte dans les propositions d’amendements futures ;</w:t>
      </w:r>
    </w:p>
    <w:p w14:paraId="297A3829" w14:textId="77777777" w:rsidR="002C2756" w:rsidRDefault="00E44F21" w:rsidP="00E44F21">
      <w:pPr>
        <w:pStyle w:val="Bullet1G"/>
        <w:rPr>
          <w:lang w:val="fr-FR"/>
        </w:rPr>
      </w:pPr>
      <w:r w:rsidRPr="002C2756">
        <w:rPr>
          <w:lang w:val="fr-FR"/>
        </w:rPr>
        <w:t>Groupe d’explosion des équipements non électriques (point</w:t>
      </w:r>
      <w:r w:rsidR="00B07475">
        <w:rPr>
          <w:lang w:val="fr-FR"/>
        </w:rPr>
        <w:t> </w:t>
      </w:r>
      <w:r w:rsidRPr="002C2756">
        <w:rPr>
          <w:lang w:val="fr-FR"/>
        </w:rPr>
        <w:t>4</w:t>
      </w:r>
      <w:r w:rsidR="00B07475">
        <w:rPr>
          <w:lang w:val="fr-FR"/>
        </w:rPr>
        <w:t> </w:t>
      </w:r>
      <w:r w:rsidRPr="002C2756">
        <w:rPr>
          <w:lang w:val="fr-FR"/>
        </w:rPr>
        <w:t>k))</w:t>
      </w:r>
      <w:r w:rsidR="00B07475">
        <w:rPr>
          <w:lang w:val="fr-FR"/>
        </w:rPr>
        <w:t> </w:t>
      </w:r>
      <w:r w:rsidRPr="002C2756">
        <w:rPr>
          <w:lang w:val="fr-FR"/>
        </w:rPr>
        <w:t xml:space="preserve">: </w:t>
      </w:r>
      <w:r w:rsidR="00B07475">
        <w:rPr>
          <w:lang w:val="fr-FR"/>
        </w:rPr>
        <w:t>l</w:t>
      </w:r>
      <w:r w:rsidRPr="002C2756">
        <w:rPr>
          <w:lang w:val="fr-FR"/>
        </w:rPr>
        <w:t>e Comité de sécurité a invité le groupe de travail informel à procéder à une étude détaillée de la situation actuelle pour les bateaux en service avant 1995 ;</w:t>
      </w:r>
    </w:p>
    <w:p w14:paraId="50C94919" w14:textId="77777777" w:rsidR="00E44F21" w:rsidRPr="002C2756" w:rsidRDefault="00E44F21" w:rsidP="00E44F21">
      <w:pPr>
        <w:pStyle w:val="Bullet1G"/>
        <w:rPr>
          <w:lang w:val="fr-FR"/>
        </w:rPr>
      </w:pPr>
      <w:r w:rsidRPr="002C2756">
        <w:rPr>
          <w:lang w:val="fr-FR"/>
        </w:rPr>
        <w:t>Déflagration, détonation et feu continu (point</w:t>
      </w:r>
      <w:r w:rsidR="00B07475">
        <w:rPr>
          <w:lang w:val="fr-FR"/>
        </w:rPr>
        <w:t> </w:t>
      </w:r>
      <w:r w:rsidRPr="002C2756">
        <w:rPr>
          <w:lang w:val="fr-FR"/>
        </w:rPr>
        <w:t>4 u))</w:t>
      </w:r>
      <w:r w:rsidR="00B07475">
        <w:rPr>
          <w:lang w:val="fr-FR"/>
        </w:rPr>
        <w:t> </w:t>
      </w:r>
      <w:r w:rsidRPr="002C2756">
        <w:rPr>
          <w:lang w:val="fr-FR"/>
        </w:rPr>
        <w:t>: Après examen du document informel INF.22, le Comité de sécurité a invité les sociétés de classification recommandées ADN à revoir leur proposition en tenant compte de l’avis des experts en explosifs et à soumettre un document officiel pour examen à sa session suivante.</w:t>
      </w:r>
    </w:p>
    <w:p w14:paraId="55061381" w14:textId="77777777" w:rsidR="00E44F21" w:rsidRPr="00E44F21" w:rsidRDefault="00E44F21" w:rsidP="002C2756">
      <w:pPr>
        <w:pStyle w:val="H23G"/>
        <w:rPr>
          <w:lang w:val="fr-FR"/>
        </w:rPr>
      </w:pPr>
      <w:r w:rsidRPr="00E44F21">
        <w:rPr>
          <w:lang w:val="fr-FR"/>
        </w:rPr>
        <w:tab/>
        <w:t>3.</w:t>
      </w:r>
      <w:r w:rsidRPr="00E44F21">
        <w:rPr>
          <w:lang w:val="fr-FR"/>
        </w:rPr>
        <w:tab/>
        <w:t>État d’avancement de l’agrément des instruments de chargement</w:t>
      </w:r>
    </w:p>
    <w:p w14:paraId="65272A61" w14:textId="77777777" w:rsidR="00E44F21" w:rsidRPr="00E44F21" w:rsidRDefault="002B3B8D" w:rsidP="002B3B8D">
      <w:pPr>
        <w:pStyle w:val="SingleTxtG"/>
        <w:ind w:left="3119" w:hanging="1985"/>
        <w:jc w:val="left"/>
        <w:rPr>
          <w:lang w:val="fr-FR"/>
        </w:rPr>
      </w:pPr>
      <w:r w:rsidRPr="002B3B8D">
        <w:rPr>
          <w:i/>
          <w:iCs/>
          <w:lang w:val="fr-FR"/>
        </w:rPr>
        <w:t>Document informel</w:t>
      </w:r>
      <w:r w:rsidRPr="002B3B8D">
        <w:rPr>
          <w:iCs/>
          <w:lang w:val="fr-FR"/>
        </w:rPr>
        <w:t> :</w:t>
      </w:r>
      <w:r w:rsidR="00E44F21" w:rsidRPr="002B3B8D">
        <w:rPr>
          <w:i/>
          <w:iCs/>
          <w:lang w:val="fr-FR"/>
        </w:rPr>
        <w:tab/>
      </w:r>
      <w:r w:rsidR="00E44F21" w:rsidRPr="002B3B8D">
        <w:rPr>
          <w:lang w:val="fr-FR"/>
        </w:rPr>
        <w:t>INF.12 (sociétés de classification recommandées ADN)</w:t>
      </w:r>
      <w:r>
        <w:rPr>
          <w:lang w:val="fr-FR"/>
        </w:rPr>
        <w:t>.</w:t>
      </w:r>
    </w:p>
    <w:p w14:paraId="2A91C85F" w14:textId="77777777" w:rsidR="00E44F21" w:rsidRPr="00E44F21" w:rsidRDefault="00E44F21" w:rsidP="00E44F21">
      <w:pPr>
        <w:pStyle w:val="SingleTxtG"/>
        <w:rPr>
          <w:lang w:val="fr-FR"/>
        </w:rPr>
      </w:pPr>
      <w:r w:rsidRPr="00E44F21">
        <w:rPr>
          <w:lang w:val="fr-FR"/>
        </w:rPr>
        <w:t>35.</w:t>
      </w:r>
      <w:r w:rsidRPr="00E44F21">
        <w:rPr>
          <w:lang w:val="fr-FR"/>
        </w:rPr>
        <w:tab/>
        <w:t xml:space="preserve">Le Comité de sécurité a pris note des progrès réalisés par le groupe de travail informel des sociétés de classification recommandées ADN en ce qui concerne l’agrément des instruments de chargement, et a dit escompter que les sociétés de classification termineraient leur tâche avant la fin de l’année. </w:t>
      </w:r>
    </w:p>
    <w:p w14:paraId="35C0A507" w14:textId="77777777" w:rsidR="00E44F21" w:rsidRPr="00E44F21" w:rsidRDefault="00E44F21" w:rsidP="002C2756">
      <w:pPr>
        <w:pStyle w:val="H23G"/>
        <w:rPr>
          <w:lang w:val="fr-FR"/>
        </w:rPr>
      </w:pPr>
      <w:r w:rsidRPr="00E44F21">
        <w:rPr>
          <w:lang w:val="fr-FR"/>
        </w:rPr>
        <w:lastRenderedPageBreak/>
        <w:tab/>
        <w:t>4.</w:t>
      </w:r>
      <w:r w:rsidRPr="00E44F21">
        <w:rPr>
          <w:lang w:val="fr-FR"/>
        </w:rPr>
        <w:tab/>
        <w:t>Prescriptions du 7.2.2.19.3 relatives aux convois poussés et aux formations à couple</w:t>
      </w:r>
    </w:p>
    <w:p w14:paraId="3A87C014" w14:textId="77777777" w:rsidR="00E44F21" w:rsidRPr="00E44F21" w:rsidRDefault="00E44F21" w:rsidP="002B3B8D">
      <w:pPr>
        <w:pStyle w:val="SingleTxtG"/>
        <w:ind w:left="3119" w:hanging="1985"/>
        <w:jc w:val="left"/>
        <w:rPr>
          <w:lang w:val="fr-FR"/>
        </w:rPr>
      </w:pPr>
      <w:r w:rsidRPr="002B3B8D">
        <w:rPr>
          <w:i/>
          <w:iCs/>
          <w:lang w:val="fr-FR"/>
        </w:rPr>
        <w:t>Document</w:t>
      </w:r>
      <w:r w:rsidR="002B3B8D">
        <w:rPr>
          <w:i/>
          <w:iCs/>
          <w:lang w:val="fr-FR"/>
        </w:rPr>
        <w:t>s informels</w:t>
      </w:r>
      <w:r w:rsidRPr="002B3B8D">
        <w:rPr>
          <w:iCs/>
          <w:lang w:val="fr-FR"/>
        </w:rPr>
        <w:t> :</w:t>
      </w:r>
      <w:r w:rsidRPr="002B3B8D">
        <w:rPr>
          <w:lang w:val="fr-FR"/>
        </w:rPr>
        <w:tab/>
        <w:t>INF.6 (France) et INF.13 (sociétés de classification recommandées ADN)</w:t>
      </w:r>
      <w:bookmarkStart w:id="11" w:name="_Hlk17744014"/>
      <w:bookmarkEnd w:id="11"/>
      <w:r w:rsidR="002B3B8D">
        <w:rPr>
          <w:lang w:val="fr-FR"/>
        </w:rPr>
        <w:t>.</w:t>
      </w:r>
    </w:p>
    <w:p w14:paraId="04E0A47F" w14:textId="77777777" w:rsidR="00E44F21" w:rsidRPr="00E44F21" w:rsidRDefault="00E44F21" w:rsidP="00E44F21">
      <w:pPr>
        <w:pStyle w:val="SingleTxtG"/>
        <w:rPr>
          <w:lang w:val="fr-FR"/>
        </w:rPr>
      </w:pPr>
      <w:r w:rsidRPr="00E44F21">
        <w:rPr>
          <w:lang w:val="fr-FR"/>
        </w:rPr>
        <w:t>36.</w:t>
      </w:r>
      <w:r w:rsidRPr="00E44F21">
        <w:rPr>
          <w:lang w:val="fr-FR"/>
        </w:rPr>
        <w:tab/>
      </w:r>
      <w:bookmarkStart w:id="12" w:name="_Hlk24990594"/>
      <w:r w:rsidRPr="00E44F21">
        <w:rPr>
          <w:lang w:val="fr-FR"/>
        </w:rPr>
        <w:t>Le Comité de sécurité a examiné le document informel INF.13 et pris note de plusieurs observations concernant essentiellement le principe de l’ajout de dispositions transitoires appropriées. Les sociétés de classification recommandées ADN ont été instamment priées d’établir en temps voulu un document officiel pour examen par le Comité à sa session suivante.</w:t>
      </w:r>
      <w:bookmarkEnd w:id="12"/>
    </w:p>
    <w:p w14:paraId="39135ED3" w14:textId="77777777" w:rsidR="00E44F21" w:rsidRPr="00E44F21" w:rsidRDefault="00E44F21" w:rsidP="002C2756">
      <w:pPr>
        <w:pStyle w:val="H23G"/>
        <w:rPr>
          <w:lang w:val="fr-FR"/>
        </w:rPr>
      </w:pPr>
      <w:r w:rsidRPr="00E44F21">
        <w:rPr>
          <w:lang w:val="fr-FR"/>
        </w:rPr>
        <w:tab/>
        <w:t>5.</w:t>
      </w:r>
      <w:r w:rsidRPr="00E44F21">
        <w:rPr>
          <w:lang w:val="fr-FR"/>
        </w:rPr>
        <w:tab/>
        <w:t>Dispositions transitoires concernant le groupe ou sous-groupe d’explosion</w:t>
      </w:r>
    </w:p>
    <w:p w14:paraId="37299174" w14:textId="77777777" w:rsidR="00E44F21" w:rsidRPr="00E44F21" w:rsidRDefault="00E44F21" w:rsidP="002B3B8D">
      <w:pPr>
        <w:pStyle w:val="SingleTxtG"/>
        <w:ind w:left="3119" w:hanging="1985"/>
        <w:jc w:val="left"/>
        <w:rPr>
          <w:lang w:val="fr-FR"/>
        </w:rPr>
      </w:pPr>
      <w:r w:rsidRPr="002B3B8D">
        <w:rPr>
          <w:i/>
          <w:iCs/>
          <w:lang w:val="fr-FR"/>
        </w:rPr>
        <w:t>Document</w:t>
      </w:r>
      <w:r w:rsidR="002B3B8D">
        <w:rPr>
          <w:i/>
          <w:iCs/>
          <w:lang w:val="fr-FR"/>
        </w:rPr>
        <w:t xml:space="preserve"> informel</w:t>
      </w:r>
      <w:r w:rsidRPr="002B3B8D">
        <w:rPr>
          <w:iCs/>
          <w:lang w:val="fr-FR"/>
        </w:rPr>
        <w:t> :</w:t>
      </w:r>
      <w:r w:rsidRPr="002B3B8D">
        <w:rPr>
          <w:i/>
          <w:iCs/>
          <w:lang w:val="fr-FR"/>
        </w:rPr>
        <w:tab/>
      </w:r>
      <w:r w:rsidRPr="002B3B8D">
        <w:rPr>
          <w:lang w:val="fr-FR"/>
        </w:rPr>
        <w:t>INF.24 (sociétés de classification recommandées ADN)</w:t>
      </w:r>
      <w:r w:rsidR="002B3B8D">
        <w:rPr>
          <w:lang w:val="fr-FR"/>
        </w:rPr>
        <w:t>.</w:t>
      </w:r>
    </w:p>
    <w:p w14:paraId="50BDEFF3" w14:textId="77777777" w:rsidR="00E44F21" w:rsidRPr="00E44F21" w:rsidRDefault="00E44F21" w:rsidP="00E44F21">
      <w:pPr>
        <w:pStyle w:val="SingleTxtG"/>
        <w:rPr>
          <w:lang w:val="fr-FR"/>
        </w:rPr>
      </w:pPr>
      <w:r w:rsidRPr="00E44F21">
        <w:rPr>
          <w:lang w:val="fr-FR"/>
        </w:rPr>
        <w:t>37.</w:t>
      </w:r>
      <w:r w:rsidRPr="00E44F21">
        <w:rPr>
          <w:lang w:val="fr-FR"/>
        </w:rPr>
        <w:tab/>
        <w:t>Le secrétariat a informé le Comité de sécurité que la correction qu’il était proposé d’apporter au document ECE/TRANS/WP.15/AC.2/70 avait déjà fait l’objet d’un rectificatif (ECE/TRANS/WP.15/AC.2/70/Corr.1). En ce qui concerne l’application de dispositions transitoires aux autres systèmes de protection énumérés dans le document informel INF.24, le représentant des Pays-Bas s’est proposé d’établir en temps voulu un document officiel pour examen à la session suivante.</w:t>
      </w:r>
    </w:p>
    <w:p w14:paraId="21AB0AD5" w14:textId="77777777" w:rsidR="00E44F21" w:rsidRPr="00E44F21" w:rsidRDefault="00E44F21" w:rsidP="002C2756">
      <w:pPr>
        <w:pStyle w:val="H23G"/>
        <w:rPr>
          <w:lang w:val="fr-FR"/>
        </w:rPr>
      </w:pPr>
      <w:r w:rsidRPr="00E44F21">
        <w:rPr>
          <w:lang w:val="fr-FR"/>
        </w:rPr>
        <w:tab/>
        <w:t>6.</w:t>
      </w:r>
      <w:r w:rsidRPr="00E44F21">
        <w:rPr>
          <w:lang w:val="fr-FR"/>
        </w:rPr>
        <w:tab/>
        <w:t xml:space="preserve">Référence à la conformité à la norme ISO/IEC </w:t>
      </w:r>
      <w:proofErr w:type="gramStart"/>
      <w:r w:rsidRPr="00E44F21">
        <w:rPr>
          <w:lang w:val="fr-FR"/>
        </w:rPr>
        <w:t>17020:</w:t>
      </w:r>
      <w:proofErr w:type="gramEnd"/>
      <w:r w:rsidRPr="00E44F21">
        <w:rPr>
          <w:lang w:val="fr-FR"/>
        </w:rPr>
        <w:t>2012 (ECE/TRANS/WP.15/AC.2/68)</w:t>
      </w:r>
    </w:p>
    <w:p w14:paraId="39CB40C8" w14:textId="77777777" w:rsidR="00E44F21" w:rsidRPr="00E44F21" w:rsidRDefault="002B3B8D" w:rsidP="002B3B8D">
      <w:pPr>
        <w:pStyle w:val="SingleTxtG"/>
        <w:ind w:left="3119" w:hanging="1985"/>
        <w:jc w:val="left"/>
        <w:rPr>
          <w:lang w:val="fr-FR"/>
        </w:rPr>
      </w:pPr>
      <w:r w:rsidRPr="002B3B8D">
        <w:rPr>
          <w:i/>
          <w:iCs/>
          <w:lang w:val="fr-FR"/>
        </w:rPr>
        <w:t>Document</w:t>
      </w:r>
      <w:r>
        <w:rPr>
          <w:i/>
          <w:iCs/>
          <w:lang w:val="fr-FR"/>
        </w:rPr>
        <w:t xml:space="preserve"> informel</w:t>
      </w:r>
      <w:r w:rsidRPr="002B3B8D">
        <w:rPr>
          <w:iCs/>
          <w:lang w:val="fr-FR"/>
        </w:rPr>
        <w:t> :</w:t>
      </w:r>
      <w:r w:rsidR="00E44F21" w:rsidRPr="002B3B8D">
        <w:rPr>
          <w:i/>
          <w:iCs/>
          <w:lang w:val="fr-FR"/>
        </w:rPr>
        <w:tab/>
      </w:r>
      <w:r w:rsidR="00E44F21" w:rsidRPr="002B3B8D">
        <w:rPr>
          <w:lang w:val="fr-FR"/>
        </w:rPr>
        <w:t>INF.34 (Registre maritime russe)</w:t>
      </w:r>
      <w:r>
        <w:rPr>
          <w:lang w:val="fr-FR"/>
        </w:rPr>
        <w:t>.</w:t>
      </w:r>
    </w:p>
    <w:p w14:paraId="4581035C" w14:textId="77777777" w:rsidR="00E44F21" w:rsidRPr="00E44F21" w:rsidRDefault="00E44F21" w:rsidP="00E44F21">
      <w:pPr>
        <w:pStyle w:val="SingleTxtG"/>
        <w:rPr>
          <w:lang w:val="fr-FR"/>
        </w:rPr>
      </w:pPr>
      <w:r w:rsidRPr="00E44F21">
        <w:rPr>
          <w:lang w:val="fr-FR"/>
        </w:rPr>
        <w:t>38.</w:t>
      </w:r>
      <w:r w:rsidRPr="00E44F21">
        <w:rPr>
          <w:lang w:val="fr-FR"/>
        </w:rPr>
        <w:tab/>
        <w:t>Le Comité de sécurité a pris connaissance avec intérêt des informations figurant dans le document informel INF.34 et a relevé qu’elles figuraient également à l’ordre du jour du Comité d’administration de l’ADN.</w:t>
      </w:r>
    </w:p>
    <w:p w14:paraId="016ABDF0" w14:textId="77777777" w:rsidR="00E44F21" w:rsidRPr="00E44F21" w:rsidRDefault="00E44F21" w:rsidP="002C2756">
      <w:pPr>
        <w:pStyle w:val="HChG"/>
        <w:rPr>
          <w:lang w:val="fr-FR"/>
        </w:rPr>
      </w:pPr>
      <w:r w:rsidRPr="00E44F21">
        <w:rPr>
          <w:lang w:val="fr-FR"/>
        </w:rPr>
        <w:tab/>
        <w:t>VI.</w:t>
      </w:r>
      <w:r w:rsidRPr="00E44F21">
        <w:rPr>
          <w:lang w:val="fr-FR"/>
        </w:rPr>
        <w:tab/>
        <w:t>Propositions d’amendements au Règlement annexé à l’ADN (point 4 de l’ordre du jour)</w:t>
      </w:r>
    </w:p>
    <w:p w14:paraId="770547AC" w14:textId="77777777" w:rsidR="00E44F21" w:rsidRPr="00E44F21" w:rsidRDefault="00E44F21" w:rsidP="002C2756">
      <w:pPr>
        <w:pStyle w:val="H1G"/>
        <w:rPr>
          <w:lang w:val="fr-FR"/>
        </w:rPr>
      </w:pPr>
      <w:r w:rsidRPr="00E44F21">
        <w:rPr>
          <w:lang w:val="fr-FR"/>
        </w:rPr>
        <w:tab/>
        <w:t>A.</w:t>
      </w:r>
      <w:r w:rsidRPr="00E44F21">
        <w:rPr>
          <w:lang w:val="fr-FR"/>
        </w:rPr>
        <w:tab/>
        <w:t>Travaux de la Réunion commune RID/ADR/ADN</w:t>
      </w:r>
    </w:p>
    <w:p w14:paraId="209B8720" w14:textId="77777777" w:rsidR="00E44F21" w:rsidRPr="002B3B8D" w:rsidRDefault="00E44F21" w:rsidP="002B3B8D">
      <w:pPr>
        <w:pStyle w:val="SingleTxtG"/>
        <w:ind w:left="3119" w:hanging="1985"/>
        <w:jc w:val="left"/>
        <w:rPr>
          <w:lang w:val="fr-FR"/>
        </w:rPr>
      </w:pPr>
      <w:r w:rsidRPr="002B3B8D">
        <w:rPr>
          <w:i/>
          <w:iCs/>
          <w:lang w:val="fr-FR"/>
        </w:rPr>
        <w:t>Documents</w:t>
      </w:r>
      <w:r w:rsidR="002B3B8D" w:rsidRPr="002B3B8D">
        <w:rPr>
          <w:i/>
          <w:iCs/>
          <w:lang w:val="fr-FR"/>
        </w:rPr>
        <w:t> </w:t>
      </w:r>
      <w:r w:rsidRPr="002B3B8D">
        <w:rPr>
          <w:iCs/>
          <w:lang w:val="fr-FR"/>
        </w:rPr>
        <w:t>:</w:t>
      </w:r>
      <w:r w:rsidRPr="002B3B8D">
        <w:rPr>
          <w:lang w:val="fr-FR"/>
        </w:rPr>
        <w:tab/>
        <w:t>ECE/TRANS/WP.15/AC.1/150, annexe IV</w:t>
      </w:r>
      <w:r w:rsidR="002B3B8D" w:rsidRPr="002B3B8D">
        <w:rPr>
          <w:lang w:val="fr-FR"/>
        </w:rPr>
        <w:t xml:space="preserve"> </w:t>
      </w:r>
      <w:r w:rsidRPr="002B3B8D">
        <w:rPr>
          <w:lang w:val="fr-FR"/>
        </w:rPr>
        <w:br/>
        <w:t>ECE/TRANS/WP.15/AC.1/152, annexe II</w:t>
      </w:r>
      <w:r w:rsidR="002B3B8D" w:rsidRPr="002B3B8D">
        <w:rPr>
          <w:lang w:val="fr-FR"/>
        </w:rPr>
        <w:t xml:space="preserve"> </w:t>
      </w:r>
      <w:r w:rsidRPr="002B3B8D">
        <w:rPr>
          <w:lang w:val="fr-FR"/>
        </w:rPr>
        <w:br/>
        <w:t>ECE/TRANS/WP.15/AC.1/154, annexe II</w:t>
      </w:r>
      <w:r w:rsidR="002B3B8D" w:rsidRPr="002B3B8D">
        <w:rPr>
          <w:lang w:val="fr-FR"/>
        </w:rPr>
        <w:t xml:space="preserve"> </w:t>
      </w:r>
      <w:r w:rsidRPr="002B3B8D">
        <w:rPr>
          <w:lang w:val="fr-FR"/>
        </w:rPr>
        <w:br/>
        <w:t>ECE/TRANS/WP.15/244, annexe I</w:t>
      </w:r>
      <w:r w:rsidR="002B3B8D" w:rsidRPr="002B3B8D">
        <w:rPr>
          <w:lang w:val="fr-FR"/>
        </w:rPr>
        <w:t xml:space="preserve"> </w:t>
      </w:r>
      <w:r w:rsidRPr="002B3B8D">
        <w:rPr>
          <w:lang w:val="fr-FR"/>
        </w:rPr>
        <w:br/>
        <w:t>ECE/TRANS/WP.15/246, annexe</w:t>
      </w:r>
      <w:r w:rsidR="002B3B8D">
        <w:rPr>
          <w:lang w:val="fr-FR"/>
        </w:rPr>
        <w:t>.</w:t>
      </w:r>
    </w:p>
    <w:p w14:paraId="099B9C63" w14:textId="77777777" w:rsidR="00E44F21" w:rsidRPr="00E44F21" w:rsidRDefault="00E44F21" w:rsidP="00E44F21">
      <w:pPr>
        <w:pStyle w:val="SingleTxtG"/>
        <w:rPr>
          <w:lang w:val="fr-FR"/>
        </w:rPr>
      </w:pPr>
      <w:r w:rsidRPr="00E44F21">
        <w:rPr>
          <w:lang w:val="fr-FR"/>
        </w:rPr>
        <w:t>39.</w:t>
      </w:r>
      <w:r w:rsidRPr="00E44F21">
        <w:rPr>
          <w:lang w:val="fr-FR"/>
        </w:rPr>
        <w:tab/>
        <w:t>Il a été demandé au secrétariat de regrouper en un seul document, pour examen à la session suivante, tous les amendements adoptés en 2018 et 2019 par la Réunion commune et par le WP.15 qui devaient également figurer dans le Règlement annexé à l’ADN et n’avaient pas encore été adoptés.</w:t>
      </w:r>
    </w:p>
    <w:p w14:paraId="31CB3990" w14:textId="77777777" w:rsidR="00E44F21" w:rsidRPr="00E44F21" w:rsidRDefault="00E44F21" w:rsidP="002B3B8D">
      <w:pPr>
        <w:pStyle w:val="SingleTxtG"/>
        <w:keepNext/>
        <w:keepLines/>
        <w:ind w:left="3119" w:hanging="1985"/>
        <w:jc w:val="left"/>
        <w:rPr>
          <w:lang w:val="fr-FR"/>
        </w:rPr>
      </w:pPr>
      <w:r w:rsidRPr="002B3B8D">
        <w:rPr>
          <w:i/>
          <w:iCs/>
          <w:lang w:val="fr-FR"/>
        </w:rPr>
        <w:t>Documents</w:t>
      </w:r>
      <w:r w:rsidR="002B3B8D">
        <w:rPr>
          <w:i/>
          <w:iCs/>
          <w:lang w:val="fr-FR"/>
        </w:rPr>
        <w:t xml:space="preserve"> informels</w:t>
      </w:r>
      <w:r w:rsidRPr="002B3B8D">
        <w:rPr>
          <w:iCs/>
          <w:lang w:val="fr-FR"/>
        </w:rPr>
        <w:t> :</w:t>
      </w:r>
      <w:r w:rsidRPr="002B3B8D">
        <w:rPr>
          <w:i/>
          <w:iCs/>
          <w:lang w:val="fr-FR"/>
        </w:rPr>
        <w:tab/>
      </w:r>
      <w:r w:rsidRPr="002B3B8D">
        <w:rPr>
          <w:lang w:val="fr-FR"/>
        </w:rPr>
        <w:t>INF.15 et INF</w:t>
      </w:r>
      <w:r w:rsidR="00455B93" w:rsidRPr="002B3B8D">
        <w:rPr>
          <w:lang w:val="fr-FR"/>
        </w:rPr>
        <w:t>.</w:t>
      </w:r>
      <w:r w:rsidRPr="002B3B8D">
        <w:rPr>
          <w:lang w:val="fr-FR"/>
        </w:rPr>
        <w:t>27 (secrétariat)</w:t>
      </w:r>
      <w:r w:rsidR="002B3B8D">
        <w:rPr>
          <w:lang w:val="fr-FR"/>
        </w:rPr>
        <w:t>.</w:t>
      </w:r>
    </w:p>
    <w:p w14:paraId="5C6C1A9C" w14:textId="77777777" w:rsidR="00E44F21" w:rsidRPr="00E44F21" w:rsidRDefault="00E44F21" w:rsidP="002B3B8D">
      <w:pPr>
        <w:pStyle w:val="SingleTxtG"/>
        <w:keepNext/>
        <w:keepLines/>
        <w:rPr>
          <w:lang w:val="fr-FR"/>
        </w:rPr>
      </w:pPr>
      <w:r w:rsidRPr="00E44F21">
        <w:rPr>
          <w:lang w:val="fr-FR"/>
        </w:rPr>
        <w:t>40.</w:t>
      </w:r>
      <w:r w:rsidRPr="00E44F21">
        <w:rPr>
          <w:lang w:val="fr-FR"/>
        </w:rPr>
        <w:tab/>
        <w:t>Le Comité de sécurité a accueilli avec satisfaction la proposition de synthèse du secrétariat regroupant l’ensemble des amendements que la Réunion commune devait adopter à sa session d’automne 2019 et qui devaient également figurer dans le Règlement annexé à l’ADN. Il a pris note des observations du secrétariat et est convenu des mesures ci-après :</w:t>
      </w:r>
    </w:p>
    <w:p w14:paraId="3A45AF95" w14:textId="77777777" w:rsidR="002C2756" w:rsidRDefault="00E44F21" w:rsidP="00E44F21">
      <w:pPr>
        <w:pStyle w:val="Bullet1G"/>
        <w:rPr>
          <w:lang w:val="fr-FR"/>
        </w:rPr>
      </w:pPr>
      <w:r w:rsidRPr="00E44F21">
        <w:rPr>
          <w:lang w:val="fr-FR"/>
        </w:rPr>
        <w:t>Concernant le 5.4.1, il a été décidé d’attendre les résultats des travaux du Groupe de rédaction et des questions techniques du Sous-Comité du transport des cargaisons et conteneurs (CCC) de l’OMI à sa session de septembre 2019, et de trancher à un stade ultérieur la question de savoir si des modifications du document de transport étaient nécessaires pour l’ADN ;</w:t>
      </w:r>
    </w:p>
    <w:p w14:paraId="1E6DC9F6" w14:textId="77777777" w:rsidR="002C2756" w:rsidRDefault="00E44F21" w:rsidP="00E44F21">
      <w:pPr>
        <w:pStyle w:val="Bullet1G"/>
        <w:rPr>
          <w:lang w:val="fr-FR"/>
        </w:rPr>
      </w:pPr>
      <w:r w:rsidRPr="002C2756">
        <w:rPr>
          <w:lang w:val="fr-FR"/>
        </w:rPr>
        <w:t>Concernant le 5.5.4, il a été recommandé d’attendre les résultats du Groupe de rédaction et des questions techniques à sa session de septembre 2019, car l’insertion d’un nouvel alinéa 5.5.4.1 d) pourrait être pertinent pour l’ADN ;</w:t>
      </w:r>
    </w:p>
    <w:p w14:paraId="74E9AC3E" w14:textId="77777777" w:rsidR="00E44F21" w:rsidRPr="002C2756" w:rsidRDefault="00E44F21" w:rsidP="00E44F21">
      <w:pPr>
        <w:pStyle w:val="Bullet1G"/>
        <w:rPr>
          <w:lang w:val="fr-FR"/>
        </w:rPr>
      </w:pPr>
      <w:r w:rsidRPr="002C2756">
        <w:rPr>
          <w:lang w:val="fr-FR"/>
        </w:rPr>
        <w:lastRenderedPageBreak/>
        <w:t xml:space="preserve">Concernant le chapitre 7.1, les représentants des Parties contractantes ont été invités à consulter leurs autorités nationales compétentes en matière de matières radioactives afin de déterminer laquelle des solutions proposées pourrait être insérée dans l’ADN. Le Comité de sécurité a pris note de la demande du secrétariat de l’OTIF que soit examinée l’utilisation du terme </w:t>
      </w:r>
      <w:proofErr w:type="spellStart"/>
      <w:r w:rsidRPr="002C2756">
        <w:rPr>
          <w:i/>
          <w:iCs/>
          <w:lang w:val="fr-FR"/>
        </w:rPr>
        <w:t>conveyance</w:t>
      </w:r>
      <w:proofErr w:type="spellEnd"/>
      <w:r w:rsidRPr="002C2756">
        <w:rPr>
          <w:lang w:val="fr-FR"/>
        </w:rPr>
        <w:t xml:space="preserve"> (« moyen de transport ») dans l’ADN, présentée dans le document informel INF.15, et il a décidé d’examiner les résultats des débats qui auraient lieu à la session de la Réunion commune prévue à l’automne 2019.</w:t>
      </w:r>
    </w:p>
    <w:p w14:paraId="4381CA79" w14:textId="77777777" w:rsidR="00E44F21" w:rsidRPr="00E44F21" w:rsidRDefault="00E44F21" w:rsidP="00E44F21">
      <w:pPr>
        <w:pStyle w:val="SingleTxtG"/>
        <w:rPr>
          <w:lang w:val="fr-FR"/>
        </w:rPr>
      </w:pPr>
      <w:r w:rsidRPr="00E44F21">
        <w:rPr>
          <w:lang w:val="fr-FR"/>
        </w:rPr>
        <w:t>41.</w:t>
      </w:r>
      <w:r w:rsidRPr="00E44F21">
        <w:rPr>
          <w:lang w:val="fr-FR"/>
        </w:rPr>
        <w:tab/>
        <w:t>Le Comité de sécurité a été informé qu’une réunion d’un groupe de travail informel chargé d’améliorer les rapports d’accident devait se réunir à Bruxelles le 3</w:t>
      </w:r>
      <w:r w:rsidR="009F08BB">
        <w:rPr>
          <w:lang w:val="fr-FR"/>
        </w:rPr>
        <w:t> </w:t>
      </w:r>
      <w:r w:rsidRPr="00E44F21">
        <w:rPr>
          <w:lang w:val="fr-FR"/>
        </w:rPr>
        <w:t>octobre 2019. Tous les représentants ont été invités à prendre part à cette réunion.</w:t>
      </w:r>
    </w:p>
    <w:p w14:paraId="654158D9" w14:textId="77777777" w:rsidR="00E44F21" w:rsidRPr="00E44F21" w:rsidRDefault="00E44F21" w:rsidP="002C2756">
      <w:pPr>
        <w:pStyle w:val="H1G"/>
        <w:rPr>
          <w:lang w:val="fr-FR"/>
        </w:rPr>
      </w:pPr>
      <w:r w:rsidRPr="00E44F21">
        <w:rPr>
          <w:lang w:val="fr-FR"/>
        </w:rPr>
        <w:tab/>
        <w:t>B.</w:t>
      </w:r>
      <w:r w:rsidRPr="00E44F21">
        <w:rPr>
          <w:lang w:val="fr-FR"/>
        </w:rPr>
        <w:tab/>
        <w:t>Autres propositions</w:t>
      </w:r>
    </w:p>
    <w:p w14:paraId="16FA7552" w14:textId="77777777" w:rsidR="00E44F21" w:rsidRPr="00E44F21" w:rsidRDefault="00E44F21" w:rsidP="002C2756">
      <w:pPr>
        <w:pStyle w:val="H23G"/>
        <w:rPr>
          <w:lang w:val="fr-FR"/>
        </w:rPr>
      </w:pPr>
      <w:r w:rsidRPr="00E44F21">
        <w:rPr>
          <w:lang w:val="fr-FR"/>
        </w:rPr>
        <w:tab/>
        <w:t>1.</w:t>
      </w:r>
      <w:r w:rsidRPr="00E44F21">
        <w:rPr>
          <w:lang w:val="fr-FR"/>
        </w:rPr>
        <w:tab/>
        <w:t xml:space="preserve">Proposition d’amendement concernant le </w:t>
      </w:r>
      <w:r w:rsidR="00974977">
        <w:rPr>
          <w:lang w:val="fr-FR"/>
        </w:rPr>
        <w:t>No</w:t>
      </w:r>
      <w:r w:rsidRPr="00E44F21">
        <w:rPr>
          <w:lang w:val="fr-FR"/>
        </w:rPr>
        <w:t xml:space="preserve"> ONU 2057 (</w:t>
      </w:r>
      <w:proofErr w:type="spellStart"/>
      <w:r w:rsidRPr="00E44F21">
        <w:rPr>
          <w:lang w:val="fr-FR"/>
        </w:rPr>
        <w:t>tripropylène</w:t>
      </w:r>
      <w:proofErr w:type="spellEnd"/>
      <w:r w:rsidRPr="00E44F21">
        <w:rPr>
          <w:lang w:val="fr-FR"/>
        </w:rPr>
        <w:t xml:space="preserve">) </w:t>
      </w:r>
      <w:r w:rsidR="00974977">
        <w:rPr>
          <w:lang w:val="fr-FR"/>
        </w:rPr>
        <w:br/>
      </w:r>
      <w:r w:rsidRPr="00E44F21">
        <w:rPr>
          <w:lang w:val="fr-FR"/>
        </w:rPr>
        <w:t>dans le tableau C</w:t>
      </w:r>
    </w:p>
    <w:p w14:paraId="21738144" w14:textId="77777777" w:rsidR="002B3B8D" w:rsidRDefault="00E44F21" w:rsidP="002B3B8D">
      <w:pPr>
        <w:pStyle w:val="SingleTxtG"/>
        <w:ind w:left="3119" w:hanging="1985"/>
        <w:jc w:val="left"/>
        <w:rPr>
          <w:lang w:val="fr-FR"/>
        </w:rPr>
      </w:pPr>
      <w:r w:rsidRPr="002B3B8D">
        <w:rPr>
          <w:i/>
          <w:iCs/>
          <w:lang w:val="fr-FR"/>
        </w:rPr>
        <w:t>Document</w:t>
      </w:r>
      <w:r w:rsidRPr="002B3B8D">
        <w:rPr>
          <w:iCs/>
          <w:lang w:val="fr-FR"/>
        </w:rPr>
        <w:t> :</w:t>
      </w:r>
      <w:r w:rsidRPr="002B3B8D">
        <w:rPr>
          <w:lang w:val="fr-FR"/>
        </w:rPr>
        <w:tab/>
        <w:t xml:space="preserve">ECE/TRANS/WP.15/AC.2/2019/27 (CEFIC) </w:t>
      </w:r>
    </w:p>
    <w:p w14:paraId="6732C333" w14:textId="77777777" w:rsidR="00E44F21" w:rsidRPr="00E44F21" w:rsidRDefault="00E44F21" w:rsidP="002B3B8D">
      <w:pPr>
        <w:pStyle w:val="SingleTxtG"/>
        <w:ind w:left="3119" w:hanging="1985"/>
        <w:jc w:val="left"/>
        <w:rPr>
          <w:lang w:val="fr-FR"/>
        </w:rPr>
      </w:pPr>
      <w:r w:rsidRPr="002B3B8D">
        <w:rPr>
          <w:i/>
          <w:iCs/>
          <w:lang w:val="fr-FR"/>
        </w:rPr>
        <w:t>Document informel</w:t>
      </w:r>
      <w:r w:rsidR="002B3B8D">
        <w:rPr>
          <w:iCs/>
          <w:lang w:val="fr-FR"/>
        </w:rPr>
        <w:t> </w:t>
      </w:r>
      <w:r w:rsidR="002B3B8D">
        <w:rPr>
          <w:lang w:val="fr-FR"/>
        </w:rPr>
        <w:t>:</w:t>
      </w:r>
      <w:r w:rsidR="002B3B8D">
        <w:rPr>
          <w:lang w:val="fr-FR"/>
        </w:rPr>
        <w:tab/>
      </w:r>
      <w:r w:rsidRPr="002B3B8D">
        <w:rPr>
          <w:lang w:val="fr-FR"/>
        </w:rPr>
        <w:t>INF.37 (CEFIC)</w:t>
      </w:r>
      <w:r w:rsidR="002B3B8D">
        <w:rPr>
          <w:lang w:val="fr-FR"/>
        </w:rPr>
        <w:t>.</w:t>
      </w:r>
    </w:p>
    <w:p w14:paraId="21776FE5" w14:textId="77777777" w:rsidR="00E44F21" w:rsidRPr="00E44F21" w:rsidRDefault="00E44F21" w:rsidP="00E44F21">
      <w:pPr>
        <w:pStyle w:val="SingleTxtG"/>
        <w:rPr>
          <w:lang w:val="fr-FR"/>
        </w:rPr>
      </w:pPr>
      <w:r w:rsidRPr="00E44F21">
        <w:rPr>
          <w:lang w:val="fr-FR"/>
        </w:rPr>
        <w:t>42.</w:t>
      </w:r>
      <w:r w:rsidRPr="00E44F21">
        <w:rPr>
          <w:lang w:val="fr-FR"/>
        </w:rPr>
        <w:tab/>
        <w:t xml:space="preserve">À la demande des Pays-Bas, le représentant du CEFIC a fourni la fiche technique de sécurité pour le </w:t>
      </w:r>
      <w:r w:rsidR="00974977">
        <w:rPr>
          <w:lang w:val="fr-FR"/>
        </w:rPr>
        <w:t>No</w:t>
      </w:r>
      <w:r w:rsidRPr="00E44F21">
        <w:rPr>
          <w:lang w:val="fr-FR"/>
        </w:rPr>
        <w:t xml:space="preserve"> ONU 2057 (</w:t>
      </w:r>
      <w:proofErr w:type="spellStart"/>
      <w:r w:rsidRPr="00E44F21">
        <w:rPr>
          <w:lang w:val="fr-FR"/>
        </w:rPr>
        <w:t>tripropylène</w:t>
      </w:r>
      <w:proofErr w:type="spellEnd"/>
      <w:r w:rsidRPr="00E44F21">
        <w:rPr>
          <w:lang w:val="fr-FR"/>
        </w:rPr>
        <w:t>) figurant dans le document informel INF.37. Il s’est porté volontaire pour soumettre à nouveau l’amendement proposé pour examen final par le Comité de sécurité à sa session suivante.</w:t>
      </w:r>
    </w:p>
    <w:p w14:paraId="7E0C5B09" w14:textId="77777777" w:rsidR="00E44F21" w:rsidRPr="00E44F21" w:rsidRDefault="00E44F21" w:rsidP="002C2756">
      <w:pPr>
        <w:pStyle w:val="H23G"/>
        <w:rPr>
          <w:lang w:val="fr-FR"/>
        </w:rPr>
      </w:pPr>
      <w:r w:rsidRPr="00E44F21">
        <w:rPr>
          <w:lang w:val="fr-FR"/>
        </w:rPr>
        <w:tab/>
        <w:t>2.</w:t>
      </w:r>
      <w:r w:rsidRPr="00E44F21">
        <w:rPr>
          <w:lang w:val="fr-FR"/>
        </w:rPr>
        <w:tab/>
        <w:t>Définition de «</w:t>
      </w:r>
      <w:r w:rsidR="00974977">
        <w:rPr>
          <w:lang w:val="fr-FR"/>
        </w:rPr>
        <w:t> </w:t>
      </w:r>
      <w:r w:rsidRPr="00E44F21">
        <w:rPr>
          <w:lang w:val="fr-FR"/>
        </w:rPr>
        <w:t>conduite de retour de gaz (à terre)</w:t>
      </w:r>
      <w:r w:rsidR="00974977">
        <w:rPr>
          <w:lang w:val="fr-FR"/>
        </w:rPr>
        <w:t> </w:t>
      </w:r>
      <w:r w:rsidRPr="00E44F21">
        <w:rPr>
          <w:lang w:val="fr-FR"/>
        </w:rPr>
        <w:t>» au 1.2.1 de l’ADN</w:t>
      </w:r>
    </w:p>
    <w:p w14:paraId="3B0D66F9" w14:textId="77777777" w:rsidR="00E44F21" w:rsidRPr="002B3B8D" w:rsidRDefault="00E44F21" w:rsidP="002B3B8D">
      <w:pPr>
        <w:pStyle w:val="SingleTxtG"/>
        <w:ind w:left="3119" w:hanging="1985"/>
        <w:jc w:val="left"/>
      </w:pPr>
      <w:r w:rsidRPr="002B3B8D">
        <w:rPr>
          <w:i/>
          <w:iCs/>
        </w:rPr>
        <w:t>Document</w:t>
      </w:r>
      <w:r w:rsidRPr="002B3B8D">
        <w:rPr>
          <w:iCs/>
        </w:rPr>
        <w:t> :</w:t>
      </w:r>
      <w:r w:rsidRPr="002B3B8D">
        <w:tab/>
        <w:t>ECE/TRANS/WP.15/AC.2/</w:t>
      </w:r>
      <w:r w:rsidRPr="002B3B8D">
        <w:rPr>
          <w:lang w:val="fr-FR"/>
        </w:rPr>
        <w:t>2019</w:t>
      </w:r>
      <w:r w:rsidRPr="002B3B8D">
        <w:t>/33 (CEFIC)</w:t>
      </w:r>
      <w:r w:rsidR="002B3B8D">
        <w:t>.</w:t>
      </w:r>
    </w:p>
    <w:p w14:paraId="0C343E4B" w14:textId="77777777" w:rsidR="00E44F21" w:rsidRPr="00E44F21" w:rsidRDefault="00E44F21" w:rsidP="00E44F21">
      <w:pPr>
        <w:pStyle w:val="SingleTxtG"/>
        <w:rPr>
          <w:lang w:val="fr-FR"/>
        </w:rPr>
      </w:pPr>
      <w:r w:rsidRPr="00E44F21">
        <w:rPr>
          <w:lang w:val="fr-FR"/>
        </w:rPr>
        <w:t>43.</w:t>
      </w:r>
      <w:r w:rsidRPr="00E44F21">
        <w:rPr>
          <w:lang w:val="fr-FR"/>
        </w:rPr>
        <w:tab/>
        <w:t>Le Comité de sécurité a adopté la proposition tendant à modifier la définition de « conduite de retour de gaz (à terre)</w:t>
      </w:r>
      <w:r w:rsidR="002B3B8D">
        <w:rPr>
          <w:lang w:val="fr-FR"/>
        </w:rPr>
        <w:t> </w:t>
      </w:r>
      <w:r w:rsidRPr="00E44F21">
        <w:rPr>
          <w:lang w:val="fr-FR"/>
        </w:rPr>
        <w:t>» figurant au 1.2.1 de l’ADN (voir annexe I).</w:t>
      </w:r>
    </w:p>
    <w:p w14:paraId="4B4682EF" w14:textId="77777777" w:rsidR="00E44F21" w:rsidRPr="00E44F21" w:rsidRDefault="00E44F21" w:rsidP="002C2756">
      <w:pPr>
        <w:pStyle w:val="H23G"/>
        <w:rPr>
          <w:lang w:val="fr-FR"/>
        </w:rPr>
      </w:pPr>
      <w:r w:rsidRPr="00E44F21">
        <w:rPr>
          <w:lang w:val="fr-FR"/>
        </w:rPr>
        <w:tab/>
        <w:t>3.</w:t>
      </w:r>
      <w:r w:rsidRPr="00E44F21">
        <w:rPr>
          <w:lang w:val="fr-FR"/>
        </w:rPr>
        <w:tab/>
        <w:t xml:space="preserve">Demande de discussion sur les rubriques du tableau C pour lesquelles </w:t>
      </w:r>
      <w:r w:rsidR="00974977">
        <w:rPr>
          <w:lang w:val="fr-FR"/>
        </w:rPr>
        <w:br/>
      </w:r>
      <w:r w:rsidRPr="00E44F21">
        <w:rPr>
          <w:lang w:val="fr-FR"/>
        </w:rPr>
        <w:t>l’observation 44 est indiquée</w:t>
      </w:r>
    </w:p>
    <w:p w14:paraId="6B19F3CC" w14:textId="77777777" w:rsidR="00E44F21" w:rsidRPr="00E44F21" w:rsidRDefault="00E44F21" w:rsidP="002B3B8D">
      <w:pPr>
        <w:pStyle w:val="SingleTxtG"/>
        <w:ind w:left="3119" w:hanging="1985"/>
        <w:jc w:val="left"/>
        <w:rPr>
          <w:lang w:val="fr-FR"/>
        </w:rPr>
      </w:pPr>
      <w:r w:rsidRPr="002B3B8D">
        <w:rPr>
          <w:i/>
          <w:iCs/>
          <w:lang w:val="fr-FR"/>
        </w:rPr>
        <w:t>Document</w:t>
      </w:r>
      <w:r w:rsidR="002B3B8D">
        <w:rPr>
          <w:i/>
          <w:iCs/>
          <w:lang w:val="fr-FR"/>
        </w:rPr>
        <w:t xml:space="preserve"> informel</w:t>
      </w:r>
      <w:r w:rsidRPr="002B3B8D">
        <w:rPr>
          <w:i/>
          <w:iCs/>
          <w:lang w:val="fr-FR"/>
        </w:rPr>
        <w:t xml:space="preserve"> </w:t>
      </w:r>
      <w:r w:rsidRPr="002B3B8D">
        <w:rPr>
          <w:iCs/>
          <w:lang w:val="fr-FR"/>
        </w:rPr>
        <w:t>:</w:t>
      </w:r>
      <w:r w:rsidRPr="002B3B8D">
        <w:rPr>
          <w:iCs/>
          <w:lang w:val="fr-FR"/>
        </w:rPr>
        <w:tab/>
      </w:r>
      <w:r w:rsidRPr="002B3B8D">
        <w:rPr>
          <w:lang w:val="fr-FR"/>
        </w:rPr>
        <w:t>INF.31 (CEFIC et Fuels Europe)</w:t>
      </w:r>
      <w:r w:rsidR="002B3B8D">
        <w:rPr>
          <w:lang w:val="fr-FR"/>
        </w:rPr>
        <w:t>.</w:t>
      </w:r>
    </w:p>
    <w:p w14:paraId="5DAAC54E" w14:textId="77777777" w:rsidR="00E44F21" w:rsidRPr="00E44F21" w:rsidRDefault="00E44F21" w:rsidP="00E44F21">
      <w:pPr>
        <w:pStyle w:val="SingleTxtG"/>
        <w:rPr>
          <w:lang w:val="fr-FR"/>
        </w:rPr>
      </w:pPr>
      <w:r w:rsidRPr="002B3B8D">
        <w:rPr>
          <w:lang w:val="fr-FR"/>
        </w:rPr>
        <w:t>44.</w:t>
      </w:r>
      <w:r w:rsidRPr="002B3B8D">
        <w:rPr>
          <w:lang w:val="fr-FR"/>
        </w:rPr>
        <w:tab/>
        <w:t>Le</w:t>
      </w:r>
      <w:r w:rsidRPr="00E44F21">
        <w:rPr>
          <w:lang w:val="fr-FR"/>
        </w:rPr>
        <w:t xml:space="preserve"> Comité de sécurité a approuvé en principe la proposition du CEFIC et de Fuels Europe tendant à simplifier le tableau C de l’ADN. Le représentant de </w:t>
      </w:r>
      <w:proofErr w:type="spellStart"/>
      <w:r w:rsidRPr="00E44F21">
        <w:rPr>
          <w:lang w:val="fr-FR"/>
        </w:rPr>
        <w:t>FuelsEurope</w:t>
      </w:r>
      <w:proofErr w:type="spellEnd"/>
      <w:r w:rsidRPr="00E44F21">
        <w:rPr>
          <w:lang w:val="fr-FR"/>
        </w:rPr>
        <w:t xml:space="preserve"> s’est porté volontaire pour établir un document détaillé qui serait examiné plus avant à la session suivante. Le Comité de sécurité a renvoyé le document informel INF.31 au groupe de travail informel des matières pour examen complémentaire à sa réunion suivante.</w:t>
      </w:r>
    </w:p>
    <w:p w14:paraId="7B602643" w14:textId="77777777" w:rsidR="00E44F21" w:rsidRPr="00E44F21" w:rsidRDefault="00E44F21" w:rsidP="002C2756">
      <w:pPr>
        <w:pStyle w:val="H23G"/>
        <w:rPr>
          <w:lang w:val="fr-FR"/>
        </w:rPr>
      </w:pPr>
      <w:r w:rsidRPr="00E44F21">
        <w:rPr>
          <w:lang w:val="fr-FR"/>
        </w:rPr>
        <w:tab/>
        <w:t>4.</w:t>
      </w:r>
      <w:r w:rsidRPr="00E44F21">
        <w:rPr>
          <w:lang w:val="fr-FR"/>
        </w:rPr>
        <w:tab/>
        <w:t>Demande de discussion sur les rubriques du tableau C contenant plus de 10 % de benzène et celles signalées par un astérisque</w:t>
      </w:r>
    </w:p>
    <w:p w14:paraId="32A8CBE1" w14:textId="77777777" w:rsidR="00E44F21" w:rsidRPr="00E44F21" w:rsidRDefault="002B3B8D" w:rsidP="002B3B8D">
      <w:pPr>
        <w:pStyle w:val="SingleTxtG"/>
        <w:ind w:left="3119" w:hanging="1985"/>
        <w:jc w:val="left"/>
        <w:rPr>
          <w:lang w:val="fr-FR"/>
        </w:rPr>
      </w:pPr>
      <w:r w:rsidRPr="002B3B8D">
        <w:rPr>
          <w:i/>
          <w:iCs/>
          <w:lang w:val="fr-FR"/>
        </w:rPr>
        <w:t>Document</w:t>
      </w:r>
      <w:r>
        <w:rPr>
          <w:i/>
          <w:iCs/>
          <w:lang w:val="fr-FR"/>
        </w:rPr>
        <w:t xml:space="preserve"> </w:t>
      </w:r>
      <w:r w:rsidRPr="002B3B8D">
        <w:rPr>
          <w:i/>
          <w:iCs/>
          <w:lang w:val="fr-FR"/>
        </w:rPr>
        <w:t xml:space="preserve">informel </w:t>
      </w:r>
      <w:r w:rsidRPr="002B3B8D">
        <w:rPr>
          <w:iCs/>
          <w:lang w:val="fr-FR"/>
        </w:rPr>
        <w:t>:</w:t>
      </w:r>
      <w:r w:rsidR="00E44F21" w:rsidRPr="002B3B8D">
        <w:rPr>
          <w:i/>
          <w:iCs/>
          <w:lang w:val="fr-FR"/>
        </w:rPr>
        <w:tab/>
      </w:r>
      <w:r w:rsidR="00E44F21" w:rsidRPr="002B3B8D">
        <w:rPr>
          <w:lang w:val="fr-FR"/>
        </w:rPr>
        <w:t>INF.32 (CEFIC et Fuels Europe)</w:t>
      </w:r>
      <w:r>
        <w:rPr>
          <w:lang w:val="fr-FR"/>
        </w:rPr>
        <w:t>.</w:t>
      </w:r>
    </w:p>
    <w:p w14:paraId="10A2542D" w14:textId="77777777" w:rsidR="00E44F21" w:rsidRPr="00E44F21" w:rsidRDefault="00E44F21" w:rsidP="00E44F21">
      <w:pPr>
        <w:pStyle w:val="SingleTxtG"/>
        <w:rPr>
          <w:lang w:val="fr-FR"/>
        </w:rPr>
      </w:pPr>
      <w:r w:rsidRPr="00E44F21">
        <w:rPr>
          <w:lang w:val="fr-FR"/>
        </w:rPr>
        <w:t>45.</w:t>
      </w:r>
      <w:r w:rsidRPr="00E44F21">
        <w:rPr>
          <w:lang w:val="fr-FR"/>
        </w:rPr>
        <w:tab/>
        <w:t>En ce qui concerne la proposition du CEFIC et de Fuels Europe tendant à simplifier le tableau C de l’ADN s’agissant des substances contenant plus de 10</w:t>
      </w:r>
      <w:r w:rsidR="00ED7A24">
        <w:rPr>
          <w:lang w:val="fr-FR"/>
        </w:rPr>
        <w:t> </w:t>
      </w:r>
      <w:r w:rsidRPr="00E44F21">
        <w:rPr>
          <w:lang w:val="fr-FR"/>
        </w:rPr>
        <w:t>% de benzène, le Comité de sécurité a suggéré de procéder de la même manière que pour le document informel INF.31.</w:t>
      </w:r>
    </w:p>
    <w:p w14:paraId="3E84093B" w14:textId="77777777" w:rsidR="00E44F21" w:rsidRPr="00E44F21" w:rsidRDefault="00E44F21" w:rsidP="002C2756">
      <w:pPr>
        <w:pStyle w:val="H23G"/>
        <w:rPr>
          <w:lang w:val="fr-FR"/>
        </w:rPr>
      </w:pPr>
      <w:r w:rsidRPr="00E44F21">
        <w:rPr>
          <w:lang w:val="fr-FR"/>
        </w:rPr>
        <w:tab/>
        <w:t>5.</w:t>
      </w:r>
      <w:r w:rsidRPr="00E44F21">
        <w:rPr>
          <w:lang w:val="fr-FR"/>
        </w:rPr>
        <w:tab/>
        <w:t>Corrections à apporter dans l’ADN 2019</w:t>
      </w:r>
    </w:p>
    <w:p w14:paraId="6A62EFD4" w14:textId="77777777" w:rsidR="00E44F21" w:rsidRPr="00E44F21" w:rsidRDefault="00E44F21" w:rsidP="002B3B8D">
      <w:pPr>
        <w:pStyle w:val="SingleTxtG"/>
        <w:ind w:left="3119" w:hanging="1985"/>
        <w:jc w:val="left"/>
        <w:rPr>
          <w:lang w:val="fr-FR"/>
        </w:rPr>
      </w:pPr>
      <w:r w:rsidRPr="002B3B8D">
        <w:rPr>
          <w:i/>
          <w:iCs/>
          <w:lang w:val="fr-FR"/>
        </w:rPr>
        <w:t>Documents</w:t>
      </w:r>
      <w:r w:rsidRPr="002B3B8D">
        <w:rPr>
          <w:iCs/>
          <w:lang w:val="fr-FR"/>
        </w:rPr>
        <w:t> :</w:t>
      </w:r>
      <w:r w:rsidRPr="002B3B8D">
        <w:rPr>
          <w:lang w:val="fr-FR"/>
        </w:rPr>
        <w:tab/>
        <w:t>ECE/TRANS/WP.15/AC.2/2019/18 (Autriche) ECE/TRANS/WP.15/AC.2/2019/21 (CCNR)</w:t>
      </w:r>
      <w:r w:rsidR="002B3B8D">
        <w:rPr>
          <w:lang w:val="fr-FR"/>
        </w:rPr>
        <w:t>.</w:t>
      </w:r>
    </w:p>
    <w:p w14:paraId="70977839" w14:textId="77777777" w:rsidR="00E44F21" w:rsidRPr="009C5E3D" w:rsidRDefault="00E44F21" w:rsidP="00E44F21">
      <w:pPr>
        <w:pStyle w:val="SingleTxtG"/>
        <w:rPr>
          <w:spacing w:val="-2"/>
          <w:lang w:val="fr-FR"/>
        </w:rPr>
      </w:pPr>
      <w:r w:rsidRPr="00E44F21">
        <w:rPr>
          <w:lang w:val="fr-FR"/>
        </w:rPr>
        <w:t>46.</w:t>
      </w:r>
      <w:r w:rsidRPr="00E44F21">
        <w:rPr>
          <w:lang w:val="fr-FR"/>
        </w:rPr>
        <w:tab/>
      </w:r>
      <w:r w:rsidRPr="009C5E3D">
        <w:rPr>
          <w:spacing w:val="-2"/>
          <w:lang w:val="fr-FR"/>
        </w:rPr>
        <w:t>Comme proposé par l’Autriche dans le document ECE/TRANS/WP.15/AC.2/2019/18, le Comité de sécurité a adopté un amendement au 8.1.2.3 f) (voir annexe I) et la correction au 7.2.3.1.6 (version française seulement) tendant à préciser que ces dispositions s’appliquent aux citernes vides (voir annexe III).</w:t>
      </w:r>
    </w:p>
    <w:p w14:paraId="7DEC053C" w14:textId="77777777" w:rsidR="00E44F21" w:rsidRPr="00E44F21" w:rsidRDefault="00E44F21" w:rsidP="00E44F21">
      <w:pPr>
        <w:pStyle w:val="SingleTxtG"/>
        <w:rPr>
          <w:lang w:val="fr-FR"/>
        </w:rPr>
      </w:pPr>
      <w:r w:rsidRPr="00E44F21">
        <w:rPr>
          <w:lang w:val="fr-FR"/>
        </w:rPr>
        <w:lastRenderedPageBreak/>
        <w:t>47.</w:t>
      </w:r>
      <w:r w:rsidRPr="00E44F21">
        <w:rPr>
          <w:lang w:val="fr-FR"/>
        </w:rPr>
        <w:tab/>
        <w:t>Le Comité de sécurité a accueilli favorablement la proposition de la CCNR figurant dans le document ECE/TRANS/WP.15/AC.2/2019/21 et adopté la correction de la table des matières (voir annexe</w:t>
      </w:r>
      <w:r w:rsidR="009C5E3D">
        <w:rPr>
          <w:lang w:val="fr-FR"/>
        </w:rPr>
        <w:t> </w:t>
      </w:r>
      <w:r w:rsidRPr="00E44F21">
        <w:rPr>
          <w:lang w:val="fr-FR"/>
        </w:rPr>
        <w:t>II) ainsi que les amendements aux paragraphes</w:t>
      </w:r>
      <w:r w:rsidR="009C5E3D">
        <w:rPr>
          <w:lang w:val="fr-FR"/>
        </w:rPr>
        <w:t> </w:t>
      </w:r>
      <w:r w:rsidRPr="00E44F21">
        <w:rPr>
          <w:lang w:val="fr-FR"/>
        </w:rPr>
        <w:t>1.6.7.2.1.3, 1.6.7.2.2.2 (sauf ceux proposés au paragraphe</w:t>
      </w:r>
      <w:r w:rsidR="009C5E3D">
        <w:rPr>
          <w:lang w:val="fr-FR"/>
        </w:rPr>
        <w:t> </w:t>
      </w:r>
      <w:r w:rsidRPr="00E44F21">
        <w:rPr>
          <w:lang w:val="fr-FR"/>
        </w:rPr>
        <w:t>5), 1.6.7.2.2.3.1, 2.2.61.1.4, 2.2.9.1.10.3 et 8.1.2.1 b) (voir annexe I). En ce qui concerne la proposition de correction à la disposition spéciale 241 du 3.3.1, le secrétariat a également été prié de soumettre au Sous-Comité du transport des marchandises dangereuses, pour examen, une proposition de correction au Règlement type, afin notamment de corriger la référence faite à l’épreuve N. 1 et la taille des particules.</w:t>
      </w:r>
    </w:p>
    <w:p w14:paraId="6291C99A" w14:textId="77777777" w:rsidR="00E44F21" w:rsidRPr="00E44F21" w:rsidRDefault="00E44F21" w:rsidP="002C2756">
      <w:pPr>
        <w:pStyle w:val="H23G"/>
        <w:rPr>
          <w:lang w:val="fr-FR"/>
        </w:rPr>
      </w:pPr>
      <w:r w:rsidRPr="00E44F21">
        <w:rPr>
          <w:lang w:val="fr-FR"/>
        </w:rPr>
        <w:tab/>
        <w:t>6.</w:t>
      </w:r>
      <w:r w:rsidRPr="00E44F21">
        <w:rPr>
          <w:lang w:val="fr-FR"/>
        </w:rPr>
        <w:tab/>
        <w:t>1.1.3.6 et 1.10.4 de l’ADN (exemptions liées au transport de marchandises dangereuses</w:t>
      </w:r>
      <w:r w:rsidR="009C5E3D">
        <w:rPr>
          <w:lang w:val="fr-FR"/>
        </w:rPr>
        <w:t> </w:t>
      </w:r>
      <w:r w:rsidRPr="00E44F21">
        <w:rPr>
          <w:lang w:val="fr-FR"/>
        </w:rPr>
        <w:t>de la classe 7)</w:t>
      </w:r>
    </w:p>
    <w:p w14:paraId="0DF00E10" w14:textId="77777777" w:rsidR="00E44F21" w:rsidRPr="00E44F21" w:rsidRDefault="00E44F21" w:rsidP="002B3B8D">
      <w:pPr>
        <w:pStyle w:val="SingleTxtG"/>
        <w:ind w:left="3119" w:hanging="1985"/>
        <w:jc w:val="left"/>
        <w:rPr>
          <w:lang w:val="fr-FR"/>
        </w:rPr>
      </w:pPr>
      <w:r w:rsidRPr="002B3B8D">
        <w:rPr>
          <w:i/>
          <w:iCs/>
          <w:lang w:val="fr-FR"/>
        </w:rPr>
        <w:t>Document</w:t>
      </w:r>
      <w:r w:rsidRPr="002B3B8D">
        <w:rPr>
          <w:iCs/>
          <w:lang w:val="fr-FR"/>
        </w:rPr>
        <w:t> :</w:t>
      </w:r>
      <w:r w:rsidRPr="002B3B8D">
        <w:rPr>
          <w:lang w:val="fr-FR"/>
        </w:rPr>
        <w:tab/>
        <w:t>ECE/TRANS/WP.15/AC.2/2019/19 (France et Allemagne)</w:t>
      </w:r>
      <w:r w:rsidR="002B3B8D">
        <w:rPr>
          <w:lang w:val="fr-FR"/>
        </w:rPr>
        <w:t>.</w:t>
      </w:r>
    </w:p>
    <w:p w14:paraId="4D582B9E" w14:textId="77777777" w:rsidR="00E44F21" w:rsidRPr="00E44F21" w:rsidRDefault="00E44F21" w:rsidP="00E44F21">
      <w:pPr>
        <w:pStyle w:val="SingleTxtG"/>
        <w:rPr>
          <w:lang w:val="fr-FR"/>
        </w:rPr>
      </w:pPr>
      <w:r w:rsidRPr="00E44F21">
        <w:rPr>
          <w:lang w:val="fr-FR"/>
        </w:rPr>
        <w:t>48.</w:t>
      </w:r>
      <w:r w:rsidRPr="00E44F21">
        <w:rPr>
          <w:lang w:val="fr-FR"/>
        </w:rPr>
        <w:tab/>
        <w:t>Le Comité de sécurité a adopté les propositions faites par la France et l’Allemagne aux paragraphes 12 et 13 et est convenu de modifier les 1.1.3.6 et 1.10.4 de l’ADN (voir annexe I).</w:t>
      </w:r>
    </w:p>
    <w:p w14:paraId="4A8E21E4" w14:textId="77777777" w:rsidR="00E44F21" w:rsidRPr="00E44F21" w:rsidRDefault="00E44F21" w:rsidP="002C2756">
      <w:pPr>
        <w:pStyle w:val="H23G"/>
        <w:rPr>
          <w:lang w:val="fr-FR"/>
        </w:rPr>
      </w:pPr>
      <w:r w:rsidRPr="00E44F21">
        <w:rPr>
          <w:lang w:val="fr-FR"/>
        </w:rPr>
        <w:tab/>
        <w:t>7.</w:t>
      </w:r>
      <w:r w:rsidRPr="00E44F21">
        <w:rPr>
          <w:lang w:val="fr-FR"/>
        </w:rPr>
        <w:tab/>
        <w:t>Installation d’extinction d’incendie à bord d’un convoi (pousseur et barge non motorisée) ou à bord d’une barge seule (non motorisée)</w:t>
      </w:r>
    </w:p>
    <w:p w14:paraId="49B70B55" w14:textId="77777777" w:rsidR="00E44F21" w:rsidRPr="00E44F21" w:rsidRDefault="00FF77FA" w:rsidP="00FF77FA">
      <w:pPr>
        <w:pStyle w:val="SingleTxtG"/>
        <w:ind w:left="3119" w:hanging="1985"/>
        <w:jc w:val="left"/>
        <w:rPr>
          <w:lang w:val="fr-FR"/>
        </w:rPr>
      </w:pPr>
      <w:r w:rsidRPr="00FF77FA">
        <w:rPr>
          <w:i/>
          <w:iCs/>
          <w:lang w:val="fr-FR"/>
        </w:rPr>
        <w:t>Document</w:t>
      </w:r>
      <w:r w:rsidRPr="00FF77FA">
        <w:rPr>
          <w:iCs/>
          <w:lang w:val="fr-FR"/>
        </w:rPr>
        <w:t> :</w:t>
      </w:r>
      <w:r w:rsidR="00E44F21" w:rsidRPr="00FF77FA">
        <w:rPr>
          <w:lang w:val="fr-FR"/>
        </w:rPr>
        <w:tab/>
        <w:t>ECE/TRANS/WP.15/AC.2/2019/20 (France)</w:t>
      </w:r>
      <w:r w:rsidRPr="00FF77FA">
        <w:rPr>
          <w:lang w:val="fr-FR"/>
        </w:rPr>
        <w:t>.</w:t>
      </w:r>
    </w:p>
    <w:p w14:paraId="0E3A9E1D" w14:textId="77777777" w:rsidR="00E44F21" w:rsidRPr="00E44F21" w:rsidRDefault="00E44F21" w:rsidP="00E44F21">
      <w:pPr>
        <w:pStyle w:val="SingleTxtG"/>
        <w:rPr>
          <w:lang w:val="fr-FR"/>
        </w:rPr>
      </w:pPr>
      <w:r w:rsidRPr="00E44F21">
        <w:rPr>
          <w:lang w:val="fr-FR"/>
        </w:rPr>
        <w:t>49.</w:t>
      </w:r>
      <w:r w:rsidRPr="00E44F21">
        <w:rPr>
          <w:lang w:val="fr-FR"/>
        </w:rPr>
        <w:tab/>
        <w:t>Le Comité de sécurité a approuvé la proposition de la France tendant à clore le débat sur ce sujet. Il est toutefois parvenu à la conclusion qu’une enquête plus approfondie était nécessaire en ce qui concerne les barges sans équipage non motorisées, les sources d’énergie et les installations électriques pour les pompes de ces barges et l’interprétation de l’expression « pas … dans le même local » par les différentes sociétés de classification. Il a demandé à la réunion informelle des sociétés de classification d’examiner ces questions.</w:t>
      </w:r>
    </w:p>
    <w:p w14:paraId="79D07707" w14:textId="77777777" w:rsidR="00E44F21" w:rsidRPr="00E44F21" w:rsidRDefault="00E44F21" w:rsidP="002C2756">
      <w:pPr>
        <w:pStyle w:val="H23G"/>
        <w:rPr>
          <w:lang w:val="fr-FR"/>
        </w:rPr>
      </w:pPr>
      <w:r w:rsidRPr="00E44F21">
        <w:rPr>
          <w:lang w:val="fr-FR"/>
        </w:rPr>
        <w:tab/>
        <w:t>8.</w:t>
      </w:r>
      <w:r w:rsidRPr="00E44F21">
        <w:rPr>
          <w:lang w:val="fr-FR"/>
        </w:rPr>
        <w:tab/>
        <w:t>1.1.3.6 de l’ADN (Exemptions liées aux quantités transportées à bord des bateaux)</w:t>
      </w:r>
    </w:p>
    <w:p w14:paraId="4D734619" w14:textId="77777777" w:rsidR="00E44F21" w:rsidRPr="00E44F21" w:rsidRDefault="00FF77FA" w:rsidP="00FF77FA">
      <w:pPr>
        <w:pStyle w:val="SingleTxtG"/>
        <w:ind w:left="3119" w:hanging="1985"/>
        <w:jc w:val="left"/>
        <w:rPr>
          <w:lang w:val="fr-FR"/>
        </w:rPr>
      </w:pPr>
      <w:r w:rsidRPr="00FF77FA">
        <w:rPr>
          <w:i/>
          <w:iCs/>
          <w:lang w:val="fr-FR"/>
        </w:rPr>
        <w:t>Document</w:t>
      </w:r>
      <w:r>
        <w:rPr>
          <w:i/>
          <w:iCs/>
          <w:lang w:val="fr-FR"/>
        </w:rPr>
        <w:t> </w:t>
      </w:r>
      <w:r w:rsidRPr="00FF77FA">
        <w:rPr>
          <w:iCs/>
          <w:lang w:val="fr-FR"/>
        </w:rPr>
        <w:t>:</w:t>
      </w:r>
      <w:r w:rsidR="00E44F21" w:rsidRPr="00FF77FA">
        <w:rPr>
          <w:lang w:val="fr-FR"/>
        </w:rPr>
        <w:tab/>
        <w:t>ECE/TRANS/WP.15/AC.2/2019/23 (Allemagne)</w:t>
      </w:r>
      <w:r>
        <w:rPr>
          <w:lang w:val="fr-FR"/>
        </w:rPr>
        <w:t>.</w:t>
      </w:r>
    </w:p>
    <w:p w14:paraId="5A54FEFA" w14:textId="77777777" w:rsidR="00E44F21" w:rsidRPr="00E44F21" w:rsidRDefault="00E44F21" w:rsidP="00E44F21">
      <w:pPr>
        <w:pStyle w:val="SingleTxtG"/>
        <w:rPr>
          <w:lang w:val="fr-FR"/>
        </w:rPr>
      </w:pPr>
      <w:r w:rsidRPr="00E44F21">
        <w:rPr>
          <w:lang w:val="fr-FR"/>
        </w:rPr>
        <w:t>50.</w:t>
      </w:r>
      <w:r w:rsidRPr="00E44F21">
        <w:rPr>
          <w:lang w:val="fr-FR"/>
        </w:rPr>
        <w:tab/>
        <w:t>Le Comité de sécurité a adopté les amendements proposés par l’Allemagne (voir annexe I).</w:t>
      </w:r>
    </w:p>
    <w:p w14:paraId="09C6AB1E" w14:textId="77777777" w:rsidR="00E44F21" w:rsidRPr="00E44F21" w:rsidRDefault="00E44F21" w:rsidP="00FF77FA">
      <w:pPr>
        <w:pStyle w:val="H23G"/>
        <w:rPr>
          <w:lang w:val="fr-FR"/>
        </w:rPr>
      </w:pPr>
      <w:r w:rsidRPr="00E44F21">
        <w:rPr>
          <w:lang w:val="fr-FR"/>
        </w:rPr>
        <w:tab/>
        <w:t>9.</w:t>
      </w:r>
      <w:r w:rsidRPr="00E44F21">
        <w:rPr>
          <w:lang w:val="fr-FR"/>
        </w:rPr>
        <w:tab/>
        <w:t>Corrections d’incohérences dans les modèles de certificats d’agrément</w:t>
      </w:r>
    </w:p>
    <w:p w14:paraId="259F5FC3" w14:textId="77777777" w:rsidR="00FF77FA" w:rsidRDefault="00E44F21" w:rsidP="00FF77FA">
      <w:pPr>
        <w:pStyle w:val="SingleTxtG"/>
        <w:keepNext/>
        <w:keepLines/>
        <w:ind w:left="3119" w:hanging="1985"/>
        <w:jc w:val="left"/>
        <w:rPr>
          <w:lang w:val="fr-FR"/>
        </w:rPr>
      </w:pPr>
      <w:r w:rsidRPr="00FF77FA">
        <w:rPr>
          <w:i/>
          <w:iCs/>
          <w:lang w:val="fr-FR"/>
        </w:rPr>
        <w:t>Document</w:t>
      </w:r>
      <w:r w:rsidRPr="00FF77FA">
        <w:rPr>
          <w:iCs/>
          <w:lang w:val="fr-FR"/>
        </w:rPr>
        <w:t> :</w:t>
      </w:r>
      <w:r w:rsidRPr="00FF77FA">
        <w:rPr>
          <w:lang w:val="fr-FR"/>
        </w:rPr>
        <w:tab/>
        <w:t>ECE/TRANS/WP.15/AC.2/2019/24 (France)</w:t>
      </w:r>
      <w:r w:rsidR="00FF77FA">
        <w:rPr>
          <w:lang w:val="fr-FR"/>
        </w:rPr>
        <w:t xml:space="preserve"> </w:t>
      </w:r>
    </w:p>
    <w:p w14:paraId="6E2988B7" w14:textId="77777777" w:rsidR="00E44F21" w:rsidRPr="00E44F21" w:rsidRDefault="00E44F21" w:rsidP="00FF77FA">
      <w:pPr>
        <w:pStyle w:val="SingleTxtG"/>
        <w:keepNext/>
        <w:keepLines/>
        <w:ind w:left="3119" w:hanging="1985"/>
        <w:jc w:val="left"/>
        <w:rPr>
          <w:lang w:val="fr-FR"/>
        </w:rPr>
      </w:pPr>
      <w:r w:rsidRPr="00FF77FA">
        <w:rPr>
          <w:i/>
          <w:iCs/>
          <w:lang w:val="fr-FR"/>
        </w:rPr>
        <w:t>Documents informels</w:t>
      </w:r>
      <w:r w:rsidR="00FF77FA">
        <w:rPr>
          <w:iCs/>
          <w:lang w:val="fr-FR"/>
        </w:rPr>
        <w:t> :</w:t>
      </w:r>
      <w:r w:rsidR="00FF77FA">
        <w:rPr>
          <w:iCs/>
          <w:lang w:val="fr-FR"/>
        </w:rPr>
        <w:tab/>
      </w:r>
      <w:r w:rsidRPr="00FF77FA">
        <w:rPr>
          <w:lang w:val="fr-FR"/>
        </w:rPr>
        <w:t>INF.3 (France) et INF.19 (sociétés de</w:t>
      </w:r>
      <w:r w:rsidR="00FF77FA">
        <w:rPr>
          <w:lang w:val="fr-FR"/>
        </w:rPr>
        <w:t> </w:t>
      </w:r>
      <w:r w:rsidRPr="00FF77FA">
        <w:rPr>
          <w:lang w:val="fr-FR"/>
        </w:rPr>
        <w:t>classification recommandées ADN)</w:t>
      </w:r>
      <w:r w:rsidR="00FF77FA">
        <w:rPr>
          <w:lang w:val="fr-FR"/>
        </w:rPr>
        <w:t>.</w:t>
      </w:r>
    </w:p>
    <w:p w14:paraId="4A6EBC41" w14:textId="77777777" w:rsidR="00E44F21" w:rsidRPr="00E44F21" w:rsidRDefault="00E44F21" w:rsidP="00FF77FA">
      <w:pPr>
        <w:pStyle w:val="SingleTxtG"/>
        <w:keepNext/>
        <w:keepLines/>
        <w:rPr>
          <w:lang w:val="fr-FR"/>
        </w:rPr>
      </w:pPr>
      <w:r w:rsidRPr="00E44F21">
        <w:rPr>
          <w:lang w:val="fr-FR"/>
        </w:rPr>
        <w:t>51.</w:t>
      </w:r>
      <w:r w:rsidRPr="00E44F21">
        <w:rPr>
          <w:lang w:val="fr-FR"/>
        </w:rPr>
        <w:tab/>
        <w:t>Le Comité de sécurité a approuvé le principe des amendements proposés par la France dans le document ECE/TRANS/WP.15/AC.2/2019/24 et le document informel INF.3. En ce qui concerne les propositions figurant dans le document informel INF.19 : pour ce qui est de la proposition A, plusieurs représentants préféraient le maintien des points 8 et 13 du modèle en l’état ; pour ce qui est de la proposition B, le Comité de sécurité a approuvé la correction suggérée pour la version française du certificat et recommandé de numéroter toutes les lignes du tableau.</w:t>
      </w:r>
    </w:p>
    <w:p w14:paraId="1538F97C" w14:textId="77777777" w:rsidR="00E44F21" w:rsidRPr="00E44F21" w:rsidRDefault="00E44F21" w:rsidP="00E44F21">
      <w:pPr>
        <w:pStyle w:val="SingleTxtG"/>
        <w:rPr>
          <w:lang w:val="fr-FR"/>
        </w:rPr>
      </w:pPr>
      <w:r w:rsidRPr="00E44F21">
        <w:rPr>
          <w:lang w:val="fr-FR"/>
        </w:rPr>
        <w:t>52.</w:t>
      </w:r>
      <w:r w:rsidRPr="00E44F21">
        <w:rPr>
          <w:lang w:val="fr-FR"/>
        </w:rPr>
        <w:tab/>
        <w:t>Le représentant de la France s’est porté volontaire pour passer en revue les propositions d’amendements et soumettre en temps voulu un nouveau document pour examen à la session suivante.</w:t>
      </w:r>
    </w:p>
    <w:p w14:paraId="45C7C4CA" w14:textId="77777777" w:rsidR="00E44F21" w:rsidRPr="00E44F21" w:rsidRDefault="00E44F21" w:rsidP="002C2756">
      <w:pPr>
        <w:pStyle w:val="H23G"/>
        <w:rPr>
          <w:lang w:val="fr-FR"/>
        </w:rPr>
      </w:pPr>
      <w:r w:rsidRPr="00E44F21">
        <w:rPr>
          <w:lang w:val="fr-FR"/>
        </w:rPr>
        <w:tab/>
        <w:t>10.</w:t>
      </w:r>
      <w:r w:rsidRPr="00E44F21">
        <w:rPr>
          <w:lang w:val="fr-FR"/>
        </w:rPr>
        <w:tab/>
        <w:t>Mise à jour des listes de contrôle des bateaux conformément au 1.8.1.2.1</w:t>
      </w:r>
    </w:p>
    <w:p w14:paraId="1BD562CF" w14:textId="77777777" w:rsidR="00FF77FA" w:rsidRDefault="00E44F21" w:rsidP="00FF77FA">
      <w:pPr>
        <w:pStyle w:val="SingleTxtG"/>
        <w:keepNext/>
        <w:keepLines/>
        <w:ind w:left="3119" w:hanging="1985"/>
        <w:jc w:val="left"/>
        <w:rPr>
          <w:lang w:val="fr-FR"/>
        </w:rPr>
      </w:pPr>
      <w:r w:rsidRPr="00FF77FA">
        <w:rPr>
          <w:i/>
          <w:iCs/>
          <w:lang w:val="fr-FR"/>
        </w:rPr>
        <w:t>Document</w:t>
      </w:r>
      <w:r w:rsidRPr="00FF77FA">
        <w:rPr>
          <w:iCs/>
          <w:lang w:val="fr-FR"/>
        </w:rPr>
        <w:t> :</w:t>
      </w:r>
      <w:r w:rsidRPr="00FF77FA">
        <w:rPr>
          <w:lang w:val="fr-FR"/>
        </w:rPr>
        <w:tab/>
        <w:t xml:space="preserve">ECE/TRANS/WP.15/AC.2/2019/26 (France) </w:t>
      </w:r>
    </w:p>
    <w:p w14:paraId="643C687A" w14:textId="77777777" w:rsidR="00E44F21" w:rsidRPr="00E44F21" w:rsidRDefault="00E44F21" w:rsidP="00FF77FA">
      <w:pPr>
        <w:pStyle w:val="SingleTxtG"/>
        <w:keepNext/>
        <w:keepLines/>
        <w:ind w:left="3119" w:hanging="1985"/>
        <w:jc w:val="left"/>
        <w:rPr>
          <w:lang w:val="fr-FR"/>
        </w:rPr>
      </w:pPr>
      <w:r w:rsidRPr="00FF77FA">
        <w:rPr>
          <w:i/>
          <w:iCs/>
          <w:lang w:val="fr-FR"/>
        </w:rPr>
        <w:t>Document informel</w:t>
      </w:r>
      <w:r w:rsidR="00FF77FA" w:rsidRPr="00FF77FA">
        <w:rPr>
          <w:i/>
          <w:iCs/>
          <w:lang w:val="fr-FR"/>
        </w:rPr>
        <w:t> :</w:t>
      </w:r>
      <w:r w:rsidR="00FF77FA">
        <w:rPr>
          <w:iCs/>
          <w:lang w:val="fr-FR"/>
        </w:rPr>
        <w:tab/>
      </w:r>
      <w:r w:rsidRPr="00FF77FA">
        <w:rPr>
          <w:lang w:val="fr-FR"/>
        </w:rPr>
        <w:t>INF.23 (Allemagne)</w:t>
      </w:r>
      <w:r w:rsidR="00FF77FA">
        <w:rPr>
          <w:lang w:val="fr-FR"/>
        </w:rPr>
        <w:t>.</w:t>
      </w:r>
    </w:p>
    <w:p w14:paraId="7C8102E2" w14:textId="77777777" w:rsidR="00E44F21" w:rsidRPr="00E44F21" w:rsidRDefault="00E44F21" w:rsidP="00E44F21">
      <w:pPr>
        <w:pStyle w:val="SingleTxtG"/>
        <w:rPr>
          <w:lang w:val="fr-FR"/>
        </w:rPr>
      </w:pPr>
      <w:r w:rsidRPr="00E44F21">
        <w:rPr>
          <w:lang w:val="fr-FR"/>
        </w:rPr>
        <w:t>53.</w:t>
      </w:r>
      <w:r w:rsidRPr="00E44F21">
        <w:rPr>
          <w:lang w:val="fr-FR"/>
        </w:rPr>
        <w:tab/>
        <w:t>Le Comité de sécurité a pris note avec intérêt des amendements proposés par la France dans le document ECE/TRANS/WP.15/AC.2/2019/26 et a adopté la proposition consistant à ajouter un nouveau paragraphe au 1.8.1.2 de l’ADN (voir l’annexe I).</w:t>
      </w:r>
    </w:p>
    <w:p w14:paraId="7C588DE3" w14:textId="77777777" w:rsidR="00E44F21" w:rsidRPr="00E44F21" w:rsidRDefault="00E44F21" w:rsidP="00E44F21">
      <w:pPr>
        <w:pStyle w:val="SingleTxtG"/>
        <w:rPr>
          <w:lang w:val="fr-FR"/>
        </w:rPr>
      </w:pPr>
      <w:r w:rsidRPr="00E44F21">
        <w:rPr>
          <w:lang w:val="fr-FR"/>
        </w:rPr>
        <w:lastRenderedPageBreak/>
        <w:t>54.</w:t>
      </w:r>
      <w:r w:rsidRPr="00E44F21">
        <w:rPr>
          <w:lang w:val="fr-FR"/>
        </w:rPr>
        <w:tab/>
        <w:t>S’agissant de la proposition de mise à jour des listes de contrôle types pour les bateaux qui figurent aux annexes 1 et 2, le représentant de l’Allemagne a proposé qu’il soit tenu compte des amendements proposés dans le document informel INF.23. Le Comité de sécurité a remercié les représentants de la France, de l’Allemagne et de l’Autriche pour le travail accompli sur les listes de contrôle. Ces derniers ont proposé d’établir un document de synthèse pour examen à la session suivante. Le représentant de la Fédération de Russie a offert son assistance pour la version en langue russe.</w:t>
      </w:r>
    </w:p>
    <w:p w14:paraId="6C482BFB" w14:textId="77777777" w:rsidR="00E44F21" w:rsidRPr="00E44F21" w:rsidRDefault="00E44F21" w:rsidP="002C2756">
      <w:pPr>
        <w:pStyle w:val="H23G"/>
        <w:rPr>
          <w:lang w:val="fr-FR"/>
        </w:rPr>
      </w:pPr>
      <w:r w:rsidRPr="00E44F21">
        <w:rPr>
          <w:lang w:val="fr-FR"/>
        </w:rPr>
        <w:tab/>
        <w:t>11.</w:t>
      </w:r>
      <w:r w:rsidRPr="00E44F21">
        <w:rPr>
          <w:lang w:val="fr-FR"/>
        </w:rPr>
        <w:tab/>
        <w:t>Amendement au 8.1.2.3 (documents devant se trouver à bord des bateaux-citernes</w:t>
      </w:r>
      <w:r w:rsidRPr="00E44F21">
        <w:rPr>
          <w:lang w:val="fr-FR"/>
        </w:rPr>
        <w:br/>
        <w:t>− prescriptions transitoires)</w:t>
      </w:r>
    </w:p>
    <w:p w14:paraId="27CC3964" w14:textId="77777777" w:rsidR="00E44F21" w:rsidRPr="00E44F21" w:rsidRDefault="00E44F21" w:rsidP="00FF77FA">
      <w:pPr>
        <w:pStyle w:val="SingleTxtG"/>
        <w:keepNext/>
        <w:keepLines/>
        <w:ind w:left="3119" w:hanging="1985"/>
        <w:jc w:val="left"/>
        <w:rPr>
          <w:lang w:val="fr-FR"/>
        </w:rPr>
      </w:pPr>
      <w:r w:rsidRPr="00FF77FA">
        <w:rPr>
          <w:i/>
          <w:iCs/>
          <w:lang w:val="fr-FR"/>
        </w:rPr>
        <w:t>Document</w:t>
      </w:r>
      <w:r w:rsidRPr="00FF77FA">
        <w:rPr>
          <w:iCs/>
          <w:lang w:val="fr-FR"/>
        </w:rPr>
        <w:t> :</w:t>
      </w:r>
      <w:r w:rsidRPr="00FF77FA">
        <w:rPr>
          <w:lang w:val="fr-FR"/>
        </w:rPr>
        <w:tab/>
        <w:t>ECE/TRANS/WP.15/AC.2/2019/28 (UENF et OEB)</w:t>
      </w:r>
      <w:r w:rsidR="00FF77FA">
        <w:rPr>
          <w:lang w:val="fr-FR"/>
        </w:rPr>
        <w:t>.</w:t>
      </w:r>
    </w:p>
    <w:p w14:paraId="60C278E2" w14:textId="77777777" w:rsidR="00E44F21" w:rsidRPr="00E44F21" w:rsidRDefault="00E44F21" w:rsidP="00E44F21">
      <w:pPr>
        <w:pStyle w:val="SingleTxtG"/>
        <w:rPr>
          <w:lang w:val="fr-FR"/>
        </w:rPr>
      </w:pPr>
      <w:r w:rsidRPr="00E44F21">
        <w:rPr>
          <w:lang w:val="fr-FR"/>
        </w:rPr>
        <w:t>55.</w:t>
      </w:r>
      <w:r w:rsidRPr="00E44F21">
        <w:rPr>
          <w:lang w:val="fr-FR"/>
        </w:rPr>
        <w:tab/>
        <w:t>Certains représentants ont fait part de leurs préoccupations concernant la modification des prescriptions transitoires proposée au paragraphe</w:t>
      </w:r>
      <w:r w:rsidR="00A55F77">
        <w:rPr>
          <w:lang w:val="fr-FR"/>
        </w:rPr>
        <w:t> </w:t>
      </w:r>
      <w:r w:rsidRPr="00E44F21">
        <w:rPr>
          <w:lang w:val="fr-FR"/>
        </w:rPr>
        <w:t>2, s’agissant de la présence du plan avec le classement en zones après le 31 décembre 2034 seulement. Il a également été noté que les prescriptions actuelles devaient être précisées et qu’une démarche plus globale s’imposait afin d’éviter toute interprétation erronée du Règlement. Le Comité de sécurité a décidé de reprendre l’examen de la question à sa session suivante et a invité les représentants de l’UENF et de l’OEB à établir une nouvelle proposition à temps pour cette échéance.</w:t>
      </w:r>
    </w:p>
    <w:p w14:paraId="1FA461DA" w14:textId="77777777" w:rsidR="00E44F21" w:rsidRPr="00E44F21" w:rsidRDefault="00E44F21" w:rsidP="002C2756">
      <w:pPr>
        <w:pStyle w:val="H23G"/>
        <w:rPr>
          <w:lang w:val="fr-FR"/>
        </w:rPr>
      </w:pPr>
      <w:r w:rsidRPr="00E44F21">
        <w:rPr>
          <w:lang w:val="fr-FR"/>
        </w:rPr>
        <w:tab/>
        <w:t>12.</w:t>
      </w:r>
      <w:r w:rsidRPr="00E44F21">
        <w:rPr>
          <w:lang w:val="fr-FR"/>
        </w:rPr>
        <w:tab/>
        <w:t>Tuyauteries flexibles utilisées pour le GNL</w:t>
      </w:r>
    </w:p>
    <w:p w14:paraId="004AA351" w14:textId="77777777" w:rsidR="00E44F21" w:rsidRPr="00E44F21" w:rsidRDefault="00E44F21" w:rsidP="00FF77FA">
      <w:pPr>
        <w:pStyle w:val="SingleTxtG"/>
        <w:keepNext/>
        <w:keepLines/>
        <w:ind w:left="3119" w:hanging="1985"/>
        <w:jc w:val="left"/>
        <w:rPr>
          <w:lang w:val="fr-FR"/>
        </w:rPr>
      </w:pPr>
      <w:r w:rsidRPr="00FF77FA">
        <w:rPr>
          <w:i/>
          <w:iCs/>
          <w:lang w:val="fr-FR"/>
        </w:rPr>
        <w:t>Document</w:t>
      </w:r>
      <w:r w:rsidRPr="00FF77FA">
        <w:rPr>
          <w:iCs/>
          <w:lang w:val="fr-FR"/>
        </w:rPr>
        <w:t> :</w:t>
      </w:r>
      <w:r w:rsidRPr="00FF77FA">
        <w:rPr>
          <w:lang w:val="fr-FR"/>
        </w:rPr>
        <w:tab/>
        <w:t>ECE/TRANS/WP.15/AC.2/2019/29 (Pays-Bas)</w:t>
      </w:r>
      <w:r w:rsidR="00FF77FA">
        <w:rPr>
          <w:lang w:val="fr-FR"/>
        </w:rPr>
        <w:t>.</w:t>
      </w:r>
    </w:p>
    <w:p w14:paraId="4A6819F7" w14:textId="77777777" w:rsidR="00E44F21" w:rsidRPr="00E44F21" w:rsidRDefault="00E44F21" w:rsidP="00E44F21">
      <w:pPr>
        <w:pStyle w:val="SingleTxtG"/>
        <w:rPr>
          <w:lang w:val="fr-FR"/>
        </w:rPr>
      </w:pPr>
      <w:r w:rsidRPr="00E44F21">
        <w:rPr>
          <w:lang w:val="fr-FR"/>
        </w:rPr>
        <w:t>56.</w:t>
      </w:r>
      <w:r w:rsidRPr="00E44F21">
        <w:rPr>
          <w:lang w:val="fr-FR"/>
        </w:rPr>
        <w:tab/>
        <w:t>Le document a dans l’ensemble été bien accueilli, mais des précisions ont été demandées au sujet des responsabilités relatives aux inspections à effectuer conformément à la norme ISO 20519. Le représentant des Pays-Bas s’est porté volontaire pour examiner le document à cet égard et pour établir une version révisée du document pour examen à la session suivante.</w:t>
      </w:r>
    </w:p>
    <w:p w14:paraId="16B8F3C6" w14:textId="77777777" w:rsidR="00E44F21" w:rsidRPr="00E44F21" w:rsidRDefault="00E44F21" w:rsidP="002C2756">
      <w:pPr>
        <w:pStyle w:val="H23G"/>
        <w:rPr>
          <w:lang w:val="fr-FR"/>
        </w:rPr>
      </w:pPr>
      <w:r w:rsidRPr="00E44F21">
        <w:rPr>
          <w:lang w:val="fr-FR"/>
        </w:rPr>
        <w:tab/>
        <w:t>13.</w:t>
      </w:r>
      <w:r w:rsidRPr="00E44F21">
        <w:rPr>
          <w:lang w:val="fr-FR"/>
        </w:rPr>
        <w:tab/>
        <w:t>Amendements au 8.1.2.3 (documents devant se trouver à bord des bateaux-citernes)</w:t>
      </w:r>
    </w:p>
    <w:p w14:paraId="506CA907" w14:textId="77777777" w:rsidR="00E44F21" w:rsidRPr="00E44F21" w:rsidRDefault="00E44F21" w:rsidP="00FF77FA">
      <w:pPr>
        <w:pStyle w:val="SingleTxtG"/>
        <w:keepNext/>
        <w:keepLines/>
        <w:ind w:left="3119" w:hanging="1985"/>
        <w:jc w:val="left"/>
        <w:rPr>
          <w:lang w:val="fr-FR"/>
        </w:rPr>
      </w:pPr>
      <w:r w:rsidRPr="00FF77FA">
        <w:rPr>
          <w:i/>
          <w:iCs/>
          <w:lang w:val="fr-FR"/>
        </w:rPr>
        <w:t>Document</w:t>
      </w:r>
      <w:r w:rsidR="00FF77FA">
        <w:rPr>
          <w:i/>
          <w:iCs/>
          <w:lang w:val="fr-FR"/>
        </w:rPr>
        <w:t> </w:t>
      </w:r>
      <w:r w:rsidRPr="00FF77FA">
        <w:rPr>
          <w:iCs/>
          <w:lang w:val="fr-FR"/>
        </w:rPr>
        <w:t>:</w:t>
      </w:r>
      <w:r w:rsidRPr="00FF77FA">
        <w:rPr>
          <w:lang w:val="fr-FR"/>
        </w:rPr>
        <w:tab/>
        <w:t>ECE/TRANS/WP.15/AC.2/2019/30 (UENF et OEB)</w:t>
      </w:r>
      <w:r w:rsidR="00FF77FA">
        <w:rPr>
          <w:lang w:val="fr-FR"/>
        </w:rPr>
        <w:t>.</w:t>
      </w:r>
    </w:p>
    <w:p w14:paraId="739D50ED" w14:textId="77777777" w:rsidR="00E44F21" w:rsidRPr="00E44F21" w:rsidRDefault="00E44F21" w:rsidP="00E44F21">
      <w:pPr>
        <w:pStyle w:val="SingleTxtG"/>
        <w:rPr>
          <w:lang w:val="fr-FR"/>
        </w:rPr>
      </w:pPr>
      <w:r w:rsidRPr="00E44F21">
        <w:rPr>
          <w:lang w:val="fr-FR"/>
        </w:rPr>
        <w:t>57.</w:t>
      </w:r>
      <w:r w:rsidRPr="00E44F21">
        <w:rPr>
          <w:lang w:val="fr-FR"/>
        </w:rPr>
        <w:tab/>
        <w:t>S’agissant de la proposition de l’UENF tendant à préciser les dispositions du 8.1.2.3 relatives à la présence à bord de certains documents après l’entrée en vigueur des nouvelles dispositions concernant la protection contre les explosions, le Comité de sécurité a confirmé que des documents ayant trait à ce type de protection n’étaient requis à bord que dans le cas où la liste des matières présentes à bord mentionnait des matières pour lesquelles une protection contre les explosions s’imposait conformément à la colonne (17) du tableau C du chapitre 3.2.</w:t>
      </w:r>
    </w:p>
    <w:p w14:paraId="753676B3" w14:textId="77777777" w:rsidR="00E44F21" w:rsidRPr="00E44F21" w:rsidRDefault="00E44F21" w:rsidP="002C2756">
      <w:pPr>
        <w:pStyle w:val="H23G"/>
        <w:rPr>
          <w:lang w:val="fr-FR"/>
        </w:rPr>
      </w:pPr>
      <w:r w:rsidRPr="00E44F21">
        <w:rPr>
          <w:lang w:val="fr-FR"/>
        </w:rPr>
        <w:tab/>
        <w:t>14.</w:t>
      </w:r>
      <w:r w:rsidRPr="00E44F21">
        <w:rPr>
          <w:lang w:val="fr-FR"/>
        </w:rPr>
        <w:tab/>
        <w:t>Amendement au 8.1.2.2 (documents devant se trouver à bord des bateaux à</w:t>
      </w:r>
      <w:r w:rsidR="002C2756">
        <w:rPr>
          <w:lang w:val="fr-FR"/>
        </w:rPr>
        <w:t> </w:t>
      </w:r>
      <w:r w:rsidRPr="00E44F21">
        <w:rPr>
          <w:lang w:val="fr-FR"/>
        </w:rPr>
        <w:t>marchandises sèches)</w:t>
      </w:r>
    </w:p>
    <w:p w14:paraId="4574B2BA" w14:textId="77777777" w:rsidR="00E44F21" w:rsidRPr="00E44F21" w:rsidRDefault="00FF77FA" w:rsidP="00FF77FA">
      <w:pPr>
        <w:pStyle w:val="SingleTxtG"/>
        <w:keepNext/>
        <w:keepLines/>
        <w:ind w:left="3119" w:hanging="1985"/>
        <w:jc w:val="left"/>
        <w:rPr>
          <w:i/>
          <w:iCs/>
          <w:lang w:val="fr-FR"/>
        </w:rPr>
      </w:pPr>
      <w:r w:rsidRPr="00FF77FA">
        <w:rPr>
          <w:i/>
          <w:iCs/>
          <w:lang w:val="fr-FR"/>
        </w:rPr>
        <w:t>Document </w:t>
      </w:r>
      <w:r w:rsidRPr="00FF77FA">
        <w:rPr>
          <w:iCs/>
          <w:lang w:val="fr-FR"/>
        </w:rPr>
        <w:t>:</w:t>
      </w:r>
      <w:r w:rsidR="00E44F21" w:rsidRPr="00FF77FA">
        <w:rPr>
          <w:lang w:val="fr-FR"/>
        </w:rPr>
        <w:tab/>
        <w:t>ECE/TRANS/WP.15/AC.2/2019/31 (UENF et OEB)</w:t>
      </w:r>
      <w:r w:rsidRPr="00FF77FA">
        <w:rPr>
          <w:lang w:val="fr-FR"/>
        </w:rPr>
        <w:t>.</w:t>
      </w:r>
    </w:p>
    <w:p w14:paraId="28F97398" w14:textId="77777777" w:rsidR="00E44F21" w:rsidRPr="00E44F21" w:rsidRDefault="00E44F21" w:rsidP="00E44F21">
      <w:pPr>
        <w:pStyle w:val="SingleTxtG"/>
        <w:rPr>
          <w:lang w:val="fr-FR"/>
        </w:rPr>
      </w:pPr>
      <w:r w:rsidRPr="00E44F21">
        <w:rPr>
          <w:lang w:val="fr-FR"/>
        </w:rPr>
        <w:t>58.</w:t>
      </w:r>
      <w:r w:rsidRPr="00E44F21">
        <w:rPr>
          <w:lang w:val="fr-FR"/>
        </w:rPr>
        <w:tab/>
        <w:t>Les amendements proposés dans le document ont fait l’objet de plusieurs observations et demandes de précisions concernant le classement en zones. Le Comité de sécurité n’a pas appuyé le document et a renvoyé à sa position telle qu’énoncée au paragraphe 57 ci-dessus (amendements au 8.1.2.3).</w:t>
      </w:r>
    </w:p>
    <w:p w14:paraId="04D468E3" w14:textId="77777777" w:rsidR="00E44F21" w:rsidRPr="00E44F21" w:rsidRDefault="00E44F21" w:rsidP="002C2756">
      <w:pPr>
        <w:pStyle w:val="H23G"/>
        <w:rPr>
          <w:lang w:val="fr-FR"/>
        </w:rPr>
      </w:pPr>
      <w:r w:rsidRPr="00E44F21">
        <w:rPr>
          <w:lang w:val="fr-FR"/>
        </w:rPr>
        <w:tab/>
        <w:t>15.</w:t>
      </w:r>
      <w:r w:rsidRPr="00E44F21">
        <w:rPr>
          <w:lang w:val="fr-FR"/>
        </w:rPr>
        <w:tab/>
        <w:t>Amendement au 7.1.4.1 (Limitation des quantités transportées)</w:t>
      </w:r>
    </w:p>
    <w:p w14:paraId="63C877B2" w14:textId="77777777" w:rsidR="00E44F21" w:rsidRPr="00E44F21" w:rsidRDefault="00FF77FA" w:rsidP="00FF77FA">
      <w:pPr>
        <w:pStyle w:val="SingleTxtG"/>
        <w:keepNext/>
        <w:keepLines/>
        <w:ind w:left="3119" w:hanging="1985"/>
        <w:jc w:val="left"/>
        <w:rPr>
          <w:lang w:val="fr-FR"/>
        </w:rPr>
      </w:pPr>
      <w:r w:rsidRPr="00FF77FA">
        <w:rPr>
          <w:i/>
          <w:iCs/>
          <w:lang w:val="fr-FR"/>
        </w:rPr>
        <w:t>Document </w:t>
      </w:r>
      <w:r w:rsidRPr="00FF77FA">
        <w:rPr>
          <w:iCs/>
          <w:lang w:val="fr-FR"/>
        </w:rPr>
        <w:t>:</w:t>
      </w:r>
      <w:r w:rsidR="00E44F21" w:rsidRPr="00FF77FA">
        <w:rPr>
          <w:lang w:val="fr-FR"/>
        </w:rPr>
        <w:tab/>
        <w:t>ECE/TRANS/WP.15/AC.2/2019/32 (UENF et OEB)</w:t>
      </w:r>
      <w:r w:rsidRPr="00FF77FA">
        <w:rPr>
          <w:lang w:val="fr-FR"/>
        </w:rPr>
        <w:t>.</w:t>
      </w:r>
    </w:p>
    <w:p w14:paraId="1CA4E073" w14:textId="77777777" w:rsidR="00E44F21" w:rsidRPr="00E44F21" w:rsidRDefault="00E44F21" w:rsidP="00E44F21">
      <w:pPr>
        <w:pStyle w:val="SingleTxtG"/>
        <w:rPr>
          <w:lang w:val="fr-FR"/>
        </w:rPr>
      </w:pPr>
      <w:r w:rsidRPr="00E44F21">
        <w:rPr>
          <w:lang w:val="fr-FR"/>
        </w:rPr>
        <w:t>59.</w:t>
      </w:r>
      <w:r w:rsidRPr="00E44F21">
        <w:rPr>
          <w:lang w:val="fr-FR"/>
        </w:rPr>
        <w:tab/>
        <w:t>Concernant la proposition 1, le Comité de sécurité a confirmé que l’expression « pas de limitation » devait être interprété</w:t>
      </w:r>
      <w:r w:rsidR="006713D2">
        <w:rPr>
          <w:lang w:val="fr-FR"/>
        </w:rPr>
        <w:t>e</w:t>
      </w:r>
      <w:r w:rsidRPr="00E44F21">
        <w:rPr>
          <w:lang w:val="fr-FR"/>
        </w:rPr>
        <w:t xml:space="preserve"> comme signifiant « 1</w:t>
      </w:r>
      <w:r w:rsidR="006713D2">
        <w:rPr>
          <w:lang w:val="fr-FR"/>
        </w:rPr>
        <w:t> </w:t>
      </w:r>
      <w:r w:rsidRPr="00E44F21">
        <w:rPr>
          <w:lang w:val="fr-FR"/>
        </w:rPr>
        <w:t>100</w:t>
      </w:r>
      <w:r w:rsidR="006713D2">
        <w:rPr>
          <w:lang w:val="fr-FR"/>
        </w:rPr>
        <w:t> </w:t>
      </w:r>
      <w:r w:rsidRPr="00E44F21">
        <w:rPr>
          <w:lang w:val="fr-FR"/>
        </w:rPr>
        <w:t>000 kg ». Les amendements figurant dans la proposition 2 ont suscité plusieurs demandes de précisions. Le Comité de sécurité a décidé de reprendre l’examen de la question à sa session suivante et invité les représentants de l’UENF et de l’OEB à étoffer la proposition.</w:t>
      </w:r>
    </w:p>
    <w:p w14:paraId="7C436E1F" w14:textId="77777777" w:rsidR="00E44F21" w:rsidRPr="00E44F21" w:rsidRDefault="00E44F21" w:rsidP="002C2756">
      <w:pPr>
        <w:pStyle w:val="H23G"/>
        <w:rPr>
          <w:lang w:val="fr-FR"/>
        </w:rPr>
      </w:pPr>
      <w:r w:rsidRPr="00E44F21">
        <w:rPr>
          <w:lang w:val="fr-FR"/>
        </w:rPr>
        <w:lastRenderedPageBreak/>
        <w:tab/>
        <w:t>16.</w:t>
      </w:r>
      <w:r w:rsidRPr="00E44F21">
        <w:rPr>
          <w:lang w:val="fr-FR"/>
        </w:rPr>
        <w:tab/>
        <w:t>Corrections au 9.3.x.12.4 b) i)</w:t>
      </w:r>
    </w:p>
    <w:p w14:paraId="41E48D01" w14:textId="77777777" w:rsidR="00E44F21" w:rsidRPr="00E44F21" w:rsidRDefault="00E44F21" w:rsidP="00FF77FA">
      <w:pPr>
        <w:pStyle w:val="SingleTxtG"/>
        <w:keepNext/>
        <w:keepLines/>
        <w:ind w:left="3119" w:hanging="1985"/>
        <w:jc w:val="left"/>
        <w:rPr>
          <w:lang w:val="fr-FR"/>
        </w:rPr>
      </w:pPr>
      <w:r w:rsidRPr="00FF77FA">
        <w:rPr>
          <w:i/>
          <w:iCs/>
          <w:lang w:val="fr-FR"/>
        </w:rPr>
        <w:t>Document</w:t>
      </w:r>
      <w:r w:rsidR="00FF77FA" w:rsidRPr="00FF77FA">
        <w:rPr>
          <w:i/>
          <w:iCs/>
          <w:lang w:val="fr-FR"/>
        </w:rPr>
        <w:t xml:space="preserve"> informel</w:t>
      </w:r>
      <w:r w:rsidRPr="00FF77FA">
        <w:rPr>
          <w:iCs/>
          <w:lang w:val="fr-FR"/>
        </w:rPr>
        <w:t> :</w:t>
      </w:r>
      <w:r w:rsidRPr="00FF77FA">
        <w:rPr>
          <w:i/>
          <w:iCs/>
          <w:lang w:val="fr-FR"/>
        </w:rPr>
        <w:tab/>
      </w:r>
      <w:r w:rsidRPr="00FF77FA">
        <w:rPr>
          <w:lang w:val="fr-FR"/>
        </w:rPr>
        <w:t>INF.18 (sociétés de classification recommandées ADN)</w:t>
      </w:r>
      <w:r w:rsidR="00FF77FA" w:rsidRPr="00FF77FA">
        <w:rPr>
          <w:lang w:val="fr-FR"/>
        </w:rPr>
        <w:t>.</w:t>
      </w:r>
    </w:p>
    <w:p w14:paraId="78022F02" w14:textId="77777777" w:rsidR="00E44F21" w:rsidRPr="00E44F21" w:rsidRDefault="00E44F21" w:rsidP="00E44F21">
      <w:pPr>
        <w:pStyle w:val="SingleTxtG"/>
        <w:rPr>
          <w:lang w:val="fr-FR"/>
        </w:rPr>
      </w:pPr>
      <w:r w:rsidRPr="00E44F21">
        <w:rPr>
          <w:lang w:val="fr-FR"/>
        </w:rPr>
        <w:t>60.</w:t>
      </w:r>
      <w:r w:rsidRPr="00E44F21">
        <w:rPr>
          <w:lang w:val="fr-FR"/>
        </w:rPr>
        <w:tab/>
        <w:t>Le Comité de sécurité a examiné et adopté les corrections proposées dans le document informel INF.18 (voir annexe III).</w:t>
      </w:r>
    </w:p>
    <w:p w14:paraId="06D26328" w14:textId="77777777" w:rsidR="00E44F21" w:rsidRPr="00E44F21" w:rsidRDefault="00E44F21" w:rsidP="002C2756">
      <w:pPr>
        <w:pStyle w:val="H23G"/>
        <w:rPr>
          <w:lang w:val="fr-FR"/>
        </w:rPr>
      </w:pPr>
      <w:r w:rsidRPr="00E44F21">
        <w:rPr>
          <w:lang w:val="fr-FR"/>
        </w:rPr>
        <w:tab/>
        <w:t>17.</w:t>
      </w:r>
      <w:r w:rsidRPr="00E44F21">
        <w:rPr>
          <w:lang w:val="fr-FR"/>
        </w:rPr>
        <w:tab/>
        <w:t>Corrections aux dispositions transitoires pour le 9.3.1.17.4 / 9.3.3.17.4 du 1.6.7.2.2.2</w:t>
      </w:r>
    </w:p>
    <w:p w14:paraId="503299B9" w14:textId="77777777" w:rsidR="00E44F21" w:rsidRPr="00E44F21" w:rsidRDefault="00E44F21" w:rsidP="00FF77FA">
      <w:pPr>
        <w:pStyle w:val="SingleTxtG"/>
        <w:keepNext/>
        <w:keepLines/>
        <w:ind w:left="3119" w:hanging="1985"/>
        <w:jc w:val="left"/>
        <w:rPr>
          <w:lang w:val="fr-FR"/>
        </w:rPr>
      </w:pPr>
      <w:r w:rsidRPr="00FF77FA">
        <w:rPr>
          <w:i/>
          <w:iCs/>
          <w:lang w:val="fr-FR"/>
        </w:rPr>
        <w:t>Document</w:t>
      </w:r>
      <w:r w:rsidR="00FF77FA" w:rsidRPr="00FF77FA">
        <w:rPr>
          <w:i/>
          <w:iCs/>
          <w:lang w:val="fr-FR"/>
        </w:rPr>
        <w:t xml:space="preserve"> informel</w:t>
      </w:r>
      <w:r w:rsidRPr="00FF77FA">
        <w:rPr>
          <w:iCs/>
          <w:lang w:val="fr-FR"/>
        </w:rPr>
        <w:t> :</w:t>
      </w:r>
      <w:r w:rsidRPr="00FF77FA">
        <w:rPr>
          <w:i/>
          <w:iCs/>
          <w:lang w:val="fr-FR"/>
        </w:rPr>
        <w:tab/>
      </w:r>
      <w:r w:rsidRPr="00FF77FA">
        <w:rPr>
          <w:lang w:val="fr-FR"/>
        </w:rPr>
        <w:t>INF.20 (sociétés de classification recommandées ADN)</w:t>
      </w:r>
      <w:r w:rsidR="00FF77FA" w:rsidRPr="00FF77FA">
        <w:rPr>
          <w:lang w:val="fr-FR"/>
        </w:rPr>
        <w:t>.</w:t>
      </w:r>
    </w:p>
    <w:p w14:paraId="40401DC8" w14:textId="77777777" w:rsidR="00E44F21" w:rsidRPr="00E44F21" w:rsidRDefault="00E44F21" w:rsidP="00E44F21">
      <w:pPr>
        <w:pStyle w:val="SingleTxtG"/>
        <w:rPr>
          <w:lang w:val="fr-FR"/>
        </w:rPr>
      </w:pPr>
      <w:r w:rsidRPr="00E44F21">
        <w:rPr>
          <w:lang w:val="fr-FR"/>
        </w:rPr>
        <w:t>61.</w:t>
      </w:r>
      <w:r w:rsidRPr="00E44F21">
        <w:rPr>
          <w:lang w:val="fr-FR"/>
        </w:rPr>
        <w:tab/>
        <w:t>Le Comité de sécurité a pris note des corrections proposées dans le document informel INF.20 et les a adoptées (voir annexe II).</w:t>
      </w:r>
    </w:p>
    <w:p w14:paraId="76C357BF" w14:textId="77777777" w:rsidR="00E44F21" w:rsidRPr="00E44F21" w:rsidRDefault="00E44F21" w:rsidP="002C2756">
      <w:pPr>
        <w:pStyle w:val="HChG"/>
        <w:rPr>
          <w:i/>
          <w:lang w:val="fr-FR"/>
        </w:rPr>
      </w:pPr>
      <w:r w:rsidRPr="00E44F21">
        <w:rPr>
          <w:lang w:val="fr-FR"/>
        </w:rPr>
        <w:tab/>
        <w:t>VII.</w:t>
      </w:r>
      <w:r w:rsidRPr="00E44F21">
        <w:rPr>
          <w:lang w:val="fr-FR"/>
        </w:rPr>
        <w:tab/>
        <w:t xml:space="preserve">Rapports des groupes de travail informels </w:t>
      </w:r>
      <w:r w:rsidRPr="00E44F21">
        <w:rPr>
          <w:lang w:val="fr-FR"/>
        </w:rPr>
        <w:br/>
        <w:t>(point 5 de l’ordre du jour)</w:t>
      </w:r>
    </w:p>
    <w:p w14:paraId="3F0A2F46" w14:textId="77777777" w:rsidR="00E44F21" w:rsidRPr="00E44F21" w:rsidRDefault="00E44F21" w:rsidP="002C2756">
      <w:pPr>
        <w:pStyle w:val="H1G"/>
        <w:rPr>
          <w:lang w:val="fr-FR"/>
        </w:rPr>
      </w:pPr>
      <w:r w:rsidRPr="00E44F21">
        <w:rPr>
          <w:lang w:val="fr-FR"/>
        </w:rPr>
        <w:tab/>
        <w:t>A.</w:t>
      </w:r>
      <w:r w:rsidRPr="00E44F21">
        <w:rPr>
          <w:lang w:val="fr-FR"/>
        </w:rPr>
        <w:tab/>
        <w:t>Rapport du groupe de travail informel des citernes à membrane sur sa quatrième réunion</w:t>
      </w:r>
    </w:p>
    <w:p w14:paraId="04C4780F" w14:textId="77777777" w:rsidR="00E44F21" w:rsidRPr="00E44F21" w:rsidRDefault="00E44F21" w:rsidP="00FF77FA">
      <w:pPr>
        <w:pStyle w:val="SingleTxtG"/>
        <w:keepNext/>
        <w:keepLines/>
        <w:ind w:left="3119" w:hanging="1985"/>
        <w:jc w:val="left"/>
        <w:rPr>
          <w:lang w:val="fr-FR"/>
        </w:rPr>
      </w:pPr>
      <w:r w:rsidRPr="00FF77FA">
        <w:rPr>
          <w:i/>
          <w:iCs/>
          <w:lang w:val="fr-FR"/>
        </w:rPr>
        <w:t>Document</w:t>
      </w:r>
      <w:r w:rsidRPr="00FF77FA">
        <w:rPr>
          <w:iCs/>
          <w:lang w:val="fr-FR"/>
        </w:rPr>
        <w:t> :</w:t>
      </w:r>
      <w:r w:rsidRPr="00FF77FA">
        <w:rPr>
          <w:lang w:val="fr-FR"/>
        </w:rPr>
        <w:tab/>
        <w:t>ECE/TRANS/WP.15/AC.2/2019/22 (France et Pays-Bas)</w:t>
      </w:r>
      <w:r w:rsidR="00FF77FA">
        <w:rPr>
          <w:lang w:val="fr-FR"/>
        </w:rPr>
        <w:t>.</w:t>
      </w:r>
    </w:p>
    <w:p w14:paraId="003E92F2" w14:textId="77777777" w:rsidR="00E44F21" w:rsidRPr="00E44F21" w:rsidRDefault="00E44F21" w:rsidP="00E44F21">
      <w:pPr>
        <w:pStyle w:val="SingleTxtG"/>
        <w:rPr>
          <w:lang w:val="fr-FR"/>
        </w:rPr>
      </w:pPr>
      <w:r w:rsidRPr="00E44F21">
        <w:rPr>
          <w:lang w:val="fr-FR"/>
        </w:rPr>
        <w:t>62.</w:t>
      </w:r>
      <w:r w:rsidRPr="00E44F21">
        <w:rPr>
          <w:lang w:val="fr-FR"/>
        </w:rPr>
        <w:tab/>
        <w:t xml:space="preserve">Le Comité de sécurité a accueilli avec satisfaction le rapport du groupe de travail informel des citernes à membrane sur sa quatrième réunion (ECE/TRANS/WP.15/AC.2/2019/22) et, en particulier, les informations fournies aux paragraphes 4 à 7 du document sur le chargement et le déchargement des gaz réfrigérés ou liquéfiés et les amendements qu’il serait nécessaire d’apporter à l’ADN. Il a également pris note de certaines corrections répertoriées par le groupe de travail informel et du fait que la réunion suivante se tiendrait </w:t>
      </w:r>
      <w:proofErr w:type="gramStart"/>
      <w:r w:rsidRPr="00E44F21">
        <w:rPr>
          <w:lang w:val="fr-FR"/>
        </w:rPr>
        <w:t>les 1</w:t>
      </w:r>
      <w:r w:rsidRPr="00E44F21">
        <w:rPr>
          <w:vertAlign w:val="superscript"/>
          <w:lang w:val="fr-FR"/>
        </w:rPr>
        <w:t>er</w:t>
      </w:r>
      <w:proofErr w:type="gramEnd"/>
      <w:r w:rsidRPr="00E44F21">
        <w:rPr>
          <w:lang w:val="fr-FR"/>
        </w:rPr>
        <w:t xml:space="preserve"> et 2 octobre 2019 à Bruxelles.</w:t>
      </w:r>
    </w:p>
    <w:p w14:paraId="7B9809EE" w14:textId="77777777" w:rsidR="00E44F21" w:rsidRPr="00E44F21" w:rsidRDefault="00E44F21" w:rsidP="00E44F21">
      <w:pPr>
        <w:pStyle w:val="SingleTxtG"/>
        <w:rPr>
          <w:lang w:val="fr-FR"/>
        </w:rPr>
      </w:pPr>
      <w:r w:rsidRPr="00E44F21">
        <w:rPr>
          <w:lang w:val="fr-FR"/>
        </w:rPr>
        <w:t>63.</w:t>
      </w:r>
      <w:r w:rsidRPr="00E44F21">
        <w:rPr>
          <w:lang w:val="fr-FR"/>
        </w:rPr>
        <w:tab/>
        <w:t>Le président du groupe de travail informel des matières (voir le document informel INF.7, sect</w:t>
      </w:r>
      <w:r w:rsidR="006713D2">
        <w:rPr>
          <w:lang w:val="fr-FR"/>
        </w:rPr>
        <w:t>. </w:t>
      </w:r>
      <w:r w:rsidRPr="00E44F21">
        <w:rPr>
          <w:lang w:val="fr-FR"/>
        </w:rPr>
        <w:t>J) a fait observer que son groupe s’était penché sur les 16</w:t>
      </w:r>
      <w:r w:rsidR="006713D2">
        <w:rPr>
          <w:lang w:val="fr-FR"/>
        </w:rPr>
        <w:t> </w:t>
      </w:r>
      <w:r w:rsidRPr="00E44F21">
        <w:rPr>
          <w:lang w:val="fr-FR"/>
        </w:rPr>
        <w:t>numéros ONU initialement choisis et qu’il avait vérifié que les prescriptions particulières du Recueil IGC ne créaient pas de prescriptions contradictoires ou supplémentaires pour le transport par bateaux-citernes de navigation intérieure par rapport à l’ADN. Il a ajouté que le groupe de travail informel des matières était parvenu aux conclusions suivantes :</w:t>
      </w:r>
    </w:p>
    <w:p w14:paraId="12C1DC43" w14:textId="77777777" w:rsidR="00E44F21" w:rsidRPr="00E44F21" w:rsidRDefault="00E44F21" w:rsidP="00E44F21">
      <w:pPr>
        <w:pStyle w:val="SingleTxtG"/>
        <w:rPr>
          <w:lang w:val="fr-FR"/>
        </w:rPr>
      </w:pPr>
      <w:r w:rsidRPr="00E44F21">
        <w:rPr>
          <w:lang w:val="fr-FR"/>
        </w:rPr>
        <w:tab/>
        <w:t>i)</w:t>
      </w:r>
      <w:r w:rsidRPr="00E44F21">
        <w:rPr>
          <w:lang w:val="fr-FR"/>
        </w:rPr>
        <w:tab/>
        <w:t>Étant donné que le transport par bateaux du type G, dont certains sont réfrigérés, de toutes les matières pertinentes visées dans l’ADN est déjà réglementé, il n’est pas nécessaire de modifier ou compléter les prescriptions relatives au matériel de protection individuelle ;</w:t>
      </w:r>
    </w:p>
    <w:p w14:paraId="322BAE50" w14:textId="77777777" w:rsidR="002C2756" w:rsidRDefault="00E44F21" w:rsidP="00E44F21">
      <w:pPr>
        <w:pStyle w:val="SingleTxtG"/>
        <w:rPr>
          <w:lang w:val="fr-FR"/>
        </w:rPr>
      </w:pPr>
      <w:r w:rsidRPr="00E44F21">
        <w:rPr>
          <w:lang w:val="fr-FR"/>
        </w:rPr>
        <w:tab/>
        <w:t>ii)</w:t>
      </w:r>
      <w:r w:rsidRPr="00E44F21">
        <w:rPr>
          <w:lang w:val="fr-FR"/>
        </w:rPr>
        <w:tab/>
        <w:t>Les prescriptions particulières s’appliquant au No ONU 2187 « Dioxyde de carbone liquide réfrigéré</w:t>
      </w:r>
      <w:r w:rsidR="000B00A2">
        <w:rPr>
          <w:lang w:val="fr-FR"/>
        </w:rPr>
        <w:t> </w:t>
      </w:r>
      <w:r w:rsidRPr="00E44F21">
        <w:rPr>
          <w:lang w:val="fr-FR"/>
        </w:rPr>
        <w:t>» (les deux rubriques) figurant dans le Recueil IGC préconisent un transport dans une citerne à pression. Le groupe de travail informel des citernes à membrane devrait donc réexaminer la question de savoir si un transport dans des citernes à membrane doit être prescrit ;</w:t>
      </w:r>
    </w:p>
    <w:p w14:paraId="50CB00D6" w14:textId="77777777" w:rsidR="00E44F21" w:rsidRPr="00E44F21" w:rsidRDefault="002C2756" w:rsidP="00E44F21">
      <w:pPr>
        <w:pStyle w:val="SingleTxtG"/>
        <w:rPr>
          <w:lang w:val="fr-FR"/>
        </w:rPr>
      </w:pPr>
      <w:r>
        <w:rPr>
          <w:lang w:val="fr-FR"/>
        </w:rPr>
        <w:tab/>
      </w:r>
      <w:r w:rsidR="00E44F21" w:rsidRPr="00E44F21">
        <w:rPr>
          <w:lang w:val="fr-FR"/>
        </w:rPr>
        <w:t>iii)</w:t>
      </w:r>
      <w:r w:rsidR="00E44F21" w:rsidRPr="00E44F21">
        <w:rPr>
          <w:lang w:val="fr-FR"/>
        </w:rPr>
        <w:tab/>
        <w:t>Les débats au sein du groupe de travail informel des matières n’a pas permis d’établir clairement si les citernes à membrane sont pleinement conformes dans tous les cas de figure à la définition d’une citerne à cargaison indépendante, comme l’exige dans certains cas le Recueil IGC. Cette question devrait être réexaminée par le groupe de travail informel des citernes à membrane, et ses conclusions devraient être prises en compte dans l’ADN dans le cadre de la définition du nouveau type de citerne pour les citernes à membrane ;</w:t>
      </w:r>
    </w:p>
    <w:p w14:paraId="16EC006A" w14:textId="77777777" w:rsidR="00E44F21" w:rsidRPr="00E44F21" w:rsidRDefault="002C2756" w:rsidP="00E44F21">
      <w:pPr>
        <w:pStyle w:val="SingleTxtG"/>
        <w:rPr>
          <w:lang w:val="fr-FR"/>
        </w:rPr>
      </w:pPr>
      <w:r>
        <w:rPr>
          <w:lang w:val="fr-FR"/>
        </w:rPr>
        <w:tab/>
      </w:r>
      <w:r w:rsidR="00E44F21" w:rsidRPr="00E44F21">
        <w:rPr>
          <w:lang w:val="fr-FR"/>
        </w:rPr>
        <w:t>iv)</w:t>
      </w:r>
      <w:r w:rsidR="00E44F21" w:rsidRPr="00E44F21">
        <w:rPr>
          <w:lang w:val="fr-FR"/>
        </w:rPr>
        <w:tab/>
        <w:t>Par mesure de précaution, le groupe de travail informel des matières tient également à souligner que, lors de l’élaboration des prescriptions relatives au transport dans des citernes à membrane, il convient de veiller à ce qu’elles soient compatibles et conformes aux prescriptions découlant de la nouvelle définition de la protection contre l’explosion, notamment en ce qui concerne les systèmes de protection autonomes.</w:t>
      </w:r>
    </w:p>
    <w:p w14:paraId="76D8A0D8" w14:textId="77777777" w:rsidR="00E44F21" w:rsidRPr="00E44F21" w:rsidRDefault="00E44F21" w:rsidP="00E44F21">
      <w:pPr>
        <w:pStyle w:val="SingleTxtG"/>
        <w:rPr>
          <w:lang w:val="fr-FR"/>
        </w:rPr>
      </w:pPr>
      <w:r w:rsidRPr="00E44F21">
        <w:rPr>
          <w:lang w:val="fr-FR"/>
        </w:rPr>
        <w:t>64.</w:t>
      </w:r>
      <w:r w:rsidRPr="00E44F21">
        <w:rPr>
          <w:lang w:val="fr-FR"/>
        </w:rPr>
        <w:tab/>
        <w:t>Le président du groupe de travail informel des matières a conclu par les recommandations suivantes :</w:t>
      </w:r>
    </w:p>
    <w:p w14:paraId="6F9F8377" w14:textId="77777777" w:rsidR="002C2756" w:rsidRDefault="00E44F21" w:rsidP="00E44F21">
      <w:pPr>
        <w:pStyle w:val="Bullet1G"/>
        <w:rPr>
          <w:lang w:val="fr-FR"/>
        </w:rPr>
      </w:pPr>
      <w:r w:rsidRPr="00E44F21">
        <w:rPr>
          <w:lang w:val="fr-FR"/>
        </w:rPr>
        <w:lastRenderedPageBreak/>
        <w:t>Parallèlement au diagramme de décision et aux critères de classification des matières, les matières destinées à être transportées dans des citernes à membrane devraient d’abord être placées dans une liste distincte ;</w:t>
      </w:r>
    </w:p>
    <w:p w14:paraId="558355F4" w14:textId="77777777" w:rsidR="00E44F21" w:rsidRPr="002C2756" w:rsidRDefault="00E44F21" w:rsidP="00E44F21">
      <w:pPr>
        <w:pStyle w:val="Bullet1G"/>
        <w:rPr>
          <w:lang w:val="fr-FR"/>
        </w:rPr>
      </w:pPr>
      <w:r w:rsidRPr="002C2756">
        <w:rPr>
          <w:lang w:val="fr-FR"/>
        </w:rPr>
        <w:t>Conformément à cette liste, de nouvelles lignes devraient ensuite être insérées dans le tableau C.</w:t>
      </w:r>
    </w:p>
    <w:p w14:paraId="2A8556DF" w14:textId="77777777" w:rsidR="00E44F21" w:rsidRPr="00E44F21" w:rsidRDefault="00E44F21" w:rsidP="00E44F21">
      <w:pPr>
        <w:pStyle w:val="SingleTxtG"/>
        <w:rPr>
          <w:lang w:val="fr-FR"/>
        </w:rPr>
      </w:pPr>
      <w:r w:rsidRPr="00E44F21">
        <w:rPr>
          <w:lang w:val="fr-FR"/>
        </w:rPr>
        <w:t>65.</w:t>
      </w:r>
      <w:r w:rsidRPr="00E44F21">
        <w:rPr>
          <w:lang w:val="fr-FR"/>
        </w:rPr>
        <w:tab/>
        <w:t xml:space="preserve">Le Comité de sécurité a approuvé ce point de vue et invité le groupe de travail informel des citernes à membrane à élaborer, étape par étape, les dispositions relatives au transport dans des citernes à membrane. </w:t>
      </w:r>
    </w:p>
    <w:p w14:paraId="58626BB2" w14:textId="77777777" w:rsidR="00E44F21" w:rsidRPr="00E44F21" w:rsidRDefault="00E44F21" w:rsidP="002C2756">
      <w:pPr>
        <w:pStyle w:val="H1G"/>
        <w:rPr>
          <w:lang w:val="fr-FR"/>
        </w:rPr>
      </w:pPr>
      <w:r w:rsidRPr="00E44F21">
        <w:rPr>
          <w:lang w:val="fr-FR"/>
        </w:rPr>
        <w:tab/>
        <w:t>B.</w:t>
      </w:r>
      <w:r w:rsidRPr="00E44F21">
        <w:rPr>
          <w:lang w:val="fr-FR"/>
        </w:rPr>
        <w:tab/>
        <w:t>Rapport du groupe de travail informel du mélange de cargaisons à</w:t>
      </w:r>
      <w:r w:rsidR="002C2756">
        <w:rPr>
          <w:lang w:val="fr-FR"/>
        </w:rPr>
        <w:t> </w:t>
      </w:r>
      <w:r w:rsidRPr="00E44F21">
        <w:rPr>
          <w:lang w:val="fr-FR"/>
        </w:rPr>
        <w:t>bord</w:t>
      </w:r>
      <w:r w:rsidR="002C2756">
        <w:rPr>
          <w:lang w:val="fr-FR"/>
        </w:rPr>
        <w:t> </w:t>
      </w:r>
      <w:r w:rsidRPr="00E44F21">
        <w:rPr>
          <w:lang w:val="fr-FR"/>
        </w:rPr>
        <w:t>des barges sur sa troisième réunion</w:t>
      </w:r>
    </w:p>
    <w:p w14:paraId="52CA7ED4" w14:textId="77777777" w:rsidR="00E44F21" w:rsidRPr="00E44F21" w:rsidRDefault="00E44F21" w:rsidP="00FF77FA">
      <w:pPr>
        <w:pStyle w:val="SingleTxtG"/>
        <w:keepNext/>
        <w:keepLines/>
        <w:ind w:left="3119" w:hanging="1985"/>
        <w:jc w:val="left"/>
        <w:rPr>
          <w:lang w:val="fr-FR"/>
        </w:rPr>
      </w:pPr>
      <w:r w:rsidRPr="00FF77FA">
        <w:rPr>
          <w:i/>
          <w:iCs/>
          <w:lang w:val="fr-FR"/>
        </w:rPr>
        <w:t>Document</w:t>
      </w:r>
      <w:r w:rsidR="00FF77FA">
        <w:rPr>
          <w:i/>
          <w:iCs/>
          <w:lang w:val="fr-FR"/>
        </w:rPr>
        <w:t xml:space="preserve"> informel</w:t>
      </w:r>
      <w:r w:rsidRPr="00FF77FA">
        <w:rPr>
          <w:iCs/>
          <w:lang w:val="fr-FR"/>
        </w:rPr>
        <w:t> :</w:t>
      </w:r>
      <w:r w:rsidRPr="00FF77FA">
        <w:rPr>
          <w:i/>
          <w:iCs/>
          <w:lang w:val="fr-FR"/>
        </w:rPr>
        <w:tab/>
      </w:r>
      <w:r w:rsidRPr="00FF77FA">
        <w:rPr>
          <w:lang w:val="fr-FR"/>
        </w:rPr>
        <w:t>INF.5 (président du groupe de travail informel)</w:t>
      </w:r>
      <w:r w:rsidR="00FF77FA">
        <w:rPr>
          <w:lang w:val="fr-FR"/>
        </w:rPr>
        <w:t>.</w:t>
      </w:r>
    </w:p>
    <w:p w14:paraId="3D706BD3" w14:textId="77777777" w:rsidR="00E44F21" w:rsidRPr="00E44F21" w:rsidRDefault="00E44F21" w:rsidP="00E44F21">
      <w:pPr>
        <w:pStyle w:val="SingleTxtG"/>
        <w:rPr>
          <w:lang w:val="fr-FR"/>
        </w:rPr>
      </w:pPr>
      <w:r w:rsidRPr="00E44F21">
        <w:rPr>
          <w:lang w:val="fr-FR"/>
        </w:rPr>
        <w:t>66.</w:t>
      </w:r>
      <w:r w:rsidRPr="00E44F21">
        <w:rPr>
          <w:lang w:val="fr-FR"/>
        </w:rPr>
        <w:tab/>
        <w:t>Le président du groupe de travail informel a rappelé le mandat de son groupe et rendu compte des maigres résultats de sa réunion tenue à Strasbourg le 15</w:t>
      </w:r>
      <w:r w:rsidR="00ED454E">
        <w:rPr>
          <w:lang w:val="fr-FR"/>
        </w:rPr>
        <w:t> </w:t>
      </w:r>
      <w:r w:rsidRPr="00E44F21">
        <w:rPr>
          <w:lang w:val="fr-FR"/>
        </w:rPr>
        <w:t xml:space="preserve">mai 2019, principalement en raison de l’absence d’exemples concrets de ce que l’on entend par </w:t>
      </w:r>
      <w:r w:rsidR="00347627">
        <w:rPr>
          <w:lang w:val="fr-FR"/>
        </w:rPr>
        <w:t>« </w:t>
      </w:r>
      <w:proofErr w:type="spellStart"/>
      <w:r w:rsidRPr="00E44F21">
        <w:rPr>
          <w:lang w:val="fr-FR"/>
        </w:rPr>
        <w:t>loading</w:t>
      </w:r>
      <w:proofErr w:type="spellEnd"/>
      <w:r w:rsidRPr="00E44F21">
        <w:rPr>
          <w:lang w:val="fr-FR"/>
        </w:rPr>
        <w:t xml:space="preserve"> on top of the </w:t>
      </w:r>
      <w:proofErr w:type="spellStart"/>
      <w:r w:rsidRPr="00E44F21">
        <w:rPr>
          <w:lang w:val="fr-FR"/>
        </w:rPr>
        <w:t>same</w:t>
      </w:r>
      <w:proofErr w:type="spellEnd"/>
      <w:r w:rsidRPr="00E44F21">
        <w:rPr>
          <w:lang w:val="fr-FR"/>
        </w:rPr>
        <w:t xml:space="preserve"> cargo</w:t>
      </w:r>
      <w:r w:rsidR="00347627">
        <w:rPr>
          <w:lang w:val="fr-FR"/>
        </w:rPr>
        <w:t> »</w:t>
      </w:r>
      <w:r w:rsidRPr="00E44F21">
        <w:rPr>
          <w:lang w:val="fr-FR"/>
        </w:rPr>
        <w:t>. Le représentant de l’EBOTA et de Fuels Europe a confirmé que des exemples avaient entre-temps été mis au point, et il a présenté ses excuses pour ce retard.</w:t>
      </w:r>
    </w:p>
    <w:p w14:paraId="1CE54B35" w14:textId="77777777" w:rsidR="00E44F21" w:rsidRPr="00E44F21" w:rsidRDefault="00E44F21" w:rsidP="00E44F21">
      <w:pPr>
        <w:pStyle w:val="SingleTxtG"/>
        <w:rPr>
          <w:lang w:val="fr-FR"/>
        </w:rPr>
      </w:pPr>
      <w:r w:rsidRPr="00E44F21">
        <w:rPr>
          <w:lang w:val="fr-FR"/>
        </w:rPr>
        <w:t>67.</w:t>
      </w:r>
      <w:r w:rsidRPr="00E44F21">
        <w:rPr>
          <w:lang w:val="fr-FR"/>
        </w:rPr>
        <w:tab/>
        <w:t>Le Comité de sécurité a accepté de proroger le mandat du groupe de travail informel et s’est félicité que les Pays-Bas aient proposé, sous réserve de confirmation, d’accueillir la réunion suivante à La Haye, le 28 octobre 2019.</w:t>
      </w:r>
    </w:p>
    <w:p w14:paraId="2382E3A8" w14:textId="77777777" w:rsidR="00E44F21" w:rsidRPr="00E44F21" w:rsidRDefault="00E44F21" w:rsidP="002C2756">
      <w:pPr>
        <w:pStyle w:val="H1G"/>
        <w:rPr>
          <w:lang w:val="fr-FR"/>
        </w:rPr>
      </w:pPr>
      <w:r w:rsidRPr="00E44F21">
        <w:rPr>
          <w:lang w:val="fr-FR"/>
        </w:rPr>
        <w:tab/>
        <w:t>C.</w:t>
      </w:r>
      <w:r w:rsidRPr="00E44F21">
        <w:rPr>
          <w:lang w:val="fr-FR"/>
        </w:rPr>
        <w:tab/>
        <w:t>Rapport du groupe de travail informel des matières sur sa onzième réunion</w:t>
      </w:r>
      <w:bookmarkStart w:id="13" w:name="_Hlk18938307"/>
      <w:bookmarkEnd w:id="13"/>
    </w:p>
    <w:p w14:paraId="6F646EBB" w14:textId="77777777" w:rsidR="00E44F21" w:rsidRPr="00E44F21" w:rsidRDefault="00E44F21" w:rsidP="00FF77FA">
      <w:pPr>
        <w:pStyle w:val="SingleTxtG"/>
        <w:keepNext/>
        <w:keepLines/>
        <w:ind w:left="3119" w:hanging="1985"/>
        <w:jc w:val="left"/>
        <w:rPr>
          <w:lang w:val="fr-FR"/>
        </w:rPr>
      </w:pPr>
      <w:r w:rsidRPr="00FF77FA">
        <w:rPr>
          <w:i/>
          <w:iCs/>
          <w:lang w:val="fr-FR"/>
        </w:rPr>
        <w:t>Document</w:t>
      </w:r>
      <w:r w:rsidR="00FF77FA">
        <w:rPr>
          <w:i/>
          <w:iCs/>
          <w:lang w:val="fr-FR"/>
        </w:rPr>
        <w:t xml:space="preserve"> informel</w:t>
      </w:r>
      <w:r w:rsidRPr="00FF77FA">
        <w:rPr>
          <w:iCs/>
          <w:lang w:val="fr-FR"/>
        </w:rPr>
        <w:t> :</w:t>
      </w:r>
      <w:r w:rsidRPr="00FF77FA">
        <w:rPr>
          <w:i/>
          <w:iCs/>
          <w:lang w:val="fr-FR"/>
        </w:rPr>
        <w:tab/>
      </w:r>
      <w:r w:rsidRPr="00FF77FA">
        <w:rPr>
          <w:lang w:val="fr-FR"/>
        </w:rPr>
        <w:t>INF.7 (CCNR)</w:t>
      </w:r>
      <w:r w:rsidR="00FF77FA">
        <w:rPr>
          <w:lang w:val="fr-FR"/>
        </w:rPr>
        <w:t>.</w:t>
      </w:r>
    </w:p>
    <w:p w14:paraId="7AF8FFCE" w14:textId="77777777" w:rsidR="00E44F21" w:rsidRPr="00E44F21" w:rsidRDefault="00E44F21" w:rsidP="00E44F21">
      <w:pPr>
        <w:pStyle w:val="SingleTxtG"/>
        <w:rPr>
          <w:lang w:val="fr-FR"/>
        </w:rPr>
      </w:pPr>
      <w:r w:rsidRPr="00E44F21">
        <w:rPr>
          <w:lang w:val="fr-FR"/>
        </w:rPr>
        <w:t>68.</w:t>
      </w:r>
      <w:r w:rsidRPr="00E44F21">
        <w:rPr>
          <w:lang w:val="fr-FR"/>
        </w:rPr>
        <w:tab/>
        <w:t>Le président du groupe de travail informel a rendu compte des progrès satisfaisants réalisés dans l’élaboration du tableau récapitulatif, dont l’objectif est d’éviter les incohérences dans les noms et les descriptions des tableaux A et C dans les différentes versions linguistiques de l’ADN. Le Comité de sécurité a repris à son compte les conclusions du groupe sur les matières chauffées présentées au transport, telles qu’elles figurent au paragraphe 7 du document informel INF.7.</w:t>
      </w:r>
    </w:p>
    <w:p w14:paraId="3D7A760D" w14:textId="77777777" w:rsidR="00E44F21" w:rsidRPr="00E44F21" w:rsidRDefault="00E44F21" w:rsidP="00E44F21">
      <w:pPr>
        <w:pStyle w:val="SingleTxtG"/>
        <w:rPr>
          <w:lang w:val="fr-FR"/>
        </w:rPr>
      </w:pPr>
      <w:r w:rsidRPr="00E44F21">
        <w:rPr>
          <w:lang w:val="fr-FR"/>
        </w:rPr>
        <w:t>69.</w:t>
      </w:r>
      <w:r w:rsidRPr="00E44F21">
        <w:rPr>
          <w:lang w:val="fr-FR"/>
        </w:rPr>
        <w:tab/>
        <w:t>Le Comité de sécurité a examiné et adopté les propositions d’amendements aux paragraphes 16 à 21, 23, 26, 33 à 35, 40 et 42. Il a également adopté la proposition figurant au paragraphe 8 telle que modifiée. Il a été décidé de reporter les décisions sur les propositions figurant aux paragraphes 30, 31 et 41 à la session suivante.</w:t>
      </w:r>
    </w:p>
    <w:p w14:paraId="1E0FA013" w14:textId="77777777" w:rsidR="00E44F21" w:rsidRPr="00E44F21" w:rsidRDefault="00E44F21" w:rsidP="00E44F21">
      <w:pPr>
        <w:pStyle w:val="SingleTxtG"/>
        <w:rPr>
          <w:lang w:val="fr-FR"/>
        </w:rPr>
      </w:pPr>
      <w:r w:rsidRPr="00E44F21">
        <w:rPr>
          <w:lang w:val="fr-FR"/>
        </w:rPr>
        <w:t>70.</w:t>
      </w:r>
      <w:r w:rsidRPr="00E44F21">
        <w:rPr>
          <w:lang w:val="fr-FR"/>
        </w:rPr>
        <w:tab/>
        <w:t>Le Comité de sécurité a estimé que la disposition transitoire actuelle du 1.6.7.4.1 prévoyait la période transitoire souhaitée pour les rubriques du tableau C relatives aux eaux de fond de cale, et il a demandé au groupe de travail informel d’examiner plus avant les questions soulevées aux paragraphes 28 et 29 du rapport (document informel INF.7). Il est convenu d’inclure dans le mandat du groupe de travail informel des matières les tâches énumérées aux paragraphes 48 et 49.</w:t>
      </w:r>
    </w:p>
    <w:p w14:paraId="587CBA17" w14:textId="77777777" w:rsidR="00E44F21" w:rsidRPr="00E44F21" w:rsidRDefault="00E44F21" w:rsidP="002C2756">
      <w:pPr>
        <w:pStyle w:val="HChG"/>
        <w:rPr>
          <w:i/>
          <w:lang w:val="fr-FR"/>
        </w:rPr>
      </w:pPr>
      <w:r w:rsidRPr="00E44F21">
        <w:rPr>
          <w:lang w:val="fr-FR"/>
        </w:rPr>
        <w:tab/>
        <w:t>VIII.</w:t>
      </w:r>
      <w:r w:rsidRPr="00E44F21">
        <w:rPr>
          <w:lang w:val="fr-FR"/>
        </w:rPr>
        <w:tab/>
        <w:t xml:space="preserve">Programme de travail et calendrier des réunions </w:t>
      </w:r>
      <w:r w:rsidRPr="00E44F21">
        <w:rPr>
          <w:lang w:val="fr-FR"/>
        </w:rPr>
        <w:br/>
        <w:t>(point 6 de l’ordre du jour)</w:t>
      </w:r>
    </w:p>
    <w:p w14:paraId="43FBDF3E" w14:textId="77777777" w:rsidR="00E44F21" w:rsidRPr="00E44F21" w:rsidRDefault="00E44F21" w:rsidP="00E44F21">
      <w:pPr>
        <w:pStyle w:val="SingleTxtG"/>
        <w:rPr>
          <w:lang w:val="fr-FR"/>
        </w:rPr>
      </w:pPr>
      <w:r w:rsidRPr="00E44F21">
        <w:rPr>
          <w:lang w:val="fr-FR"/>
        </w:rPr>
        <w:t>71.</w:t>
      </w:r>
      <w:r w:rsidRPr="00E44F21">
        <w:rPr>
          <w:lang w:val="fr-FR"/>
        </w:rPr>
        <w:tab/>
        <w:t>Le Comité de sécurité a noté que sa trente-sixième session se tiendrait à Genève du 27 au 31</w:t>
      </w:r>
      <w:r w:rsidR="00347627">
        <w:rPr>
          <w:lang w:val="fr-FR"/>
        </w:rPr>
        <w:t> </w:t>
      </w:r>
      <w:r w:rsidRPr="00E44F21">
        <w:rPr>
          <w:lang w:val="fr-FR"/>
        </w:rPr>
        <w:t>janvier 2020 et que la vingt-quatrième session du Comité d’administration de l’ADN se tiendrait le 31 janvier 2020 de midi à 13 heures. La date limite de soumission des documents en vue de ces réunions est le 1</w:t>
      </w:r>
      <w:r w:rsidRPr="00E44F21">
        <w:rPr>
          <w:vertAlign w:val="superscript"/>
          <w:lang w:val="fr-FR"/>
        </w:rPr>
        <w:t>er</w:t>
      </w:r>
      <w:r w:rsidRPr="00E44F21">
        <w:rPr>
          <w:lang w:val="fr-FR"/>
        </w:rPr>
        <w:t xml:space="preserve"> novembre 2019.</w:t>
      </w:r>
    </w:p>
    <w:p w14:paraId="30B03407" w14:textId="77777777" w:rsidR="00E44F21" w:rsidRPr="00E44F21" w:rsidRDefault="00E44F21" w:rsidP="002C2756">
      <w:pPr>
        <w:pStyle w:val="HChG"/>
        <w:rPr>
          <w:i/>
          <w:lang w:val="fr-FR"/>
        </w:rPr>
      </w:pPr>
      <w:r w:rsidRPr="00E44F21">
        <w:rPr>
          <w:lang w:val="fr-FR"/>
        </w:rPr>
        <w:lastRenderedPageBreak/>
        <w:tab/>
        <w:t>IX.</w:t>
      </w:r>
      <w:r w:rsidRPr="00E44F21">
        <w:rPr>
          <w:lang w:val="fr-FR"/>
        </w:rPr>
        <w:tab/>
        <w:t>Questions diverses (point 7 de l’ordre du jour)</w:t>
      </w:r>
    </w:p>
    <w:p w14:paraId="72C8B699" w14:textId="77777777" w:rsidR="00E44F21" w:rsidRPr="00E44F21" w:rsidRDefault="00E44F21" w:rsidP="00E44F21">
      <w:pPr>
        <w:pStyle w:val="SingleTxtG"/>
        <w:rPr>
          <w:lang w:val="fr-FR"/>
        </w:rPr>
      </w:pPr>
      <w:r w:rsidRPr="00E44F21">
        <w:rPr>
          <w:lang w:val="fr-FR"/>
        </w:rPr>
        <w:t>72.</w:t>
      </w:r>
      <w:r w:rsidRPr="00E44F21">
        <w:rPr>
          <w:lang w:val="fr-FR"/>
        </w:rPr>
        <w:tab/>
        <w:t>Aucune question n’a été soulevée au titre de ce point de l’ordre du jour.</w:t>
      </w:r>
    </w:p>
    <w:p w14:paraId="1912056B" w14:textId="77777777" w:rsidR="00E44F21" w:rsidRPr="00E44F21" w:rsidRDefault="00E44F21" w:rsidP="002C2756">
      <w:pPr>
        <w:pStyle w:val="HChG"/>
        <w:rPr>
          <w:i/>
          <w:lang w:val="fr-FR"/>
        </w:rPr>
      </w:pPr>
      <w:r w:rsidRPr="00E44F21">
        <w:rPr>
          <w:lang w:val="fr-FR"/>
        </w:rPr>
        <w:tab/>
        <w:t>X.</w:t>
      </w:r>
      <w:r w:rsidRPr="00E44F21">
        <w:rPr>
          <w:lang w:val="fr-FR"/>
        </w:rPr>
        <w:tab/>
        <w:t>Adoption du rapport (point 8 de l’ordre du jour)</w:t>
      </w:r>
    </w:p>
    <w:p w14:paraId="63669AD5" w14:textId="77777777" w:rsidR="00E44F21" w:rsidRPr="00E44F21" w:rsidRDefault="00E44F21" w:rsidP="00E44F21">
      <w:pPr>
        <w:pStyle w:val="SingleTxtG"/>
        <w:rPr>
          <w:lang w:val="fr-FR"/>
        </w:rPr>
      </w:pPr>
      <w:r w:rsidRPr="00E44F21">
        <w:rPr>
          <w:lang w:val="fr-FR"/>
        </w:rPr>
        <w:t>73.</w:t>
      </w:r>
      <w:r w:rsidRPr="00E44F21">
        <w:rPr>
          <w:lang w:val="fr-FR"/>
        </w:rPr>
        <w:tab/>
        <w:t>Le Comité de sécurité a adopté le rapport sur sa trente-cinquième session et ses annexes sur la base d’un projet établi par le secrétariat.</w:t>
      </w:r>
    </w:p>
    <w:p w14:paraId="724EC9B9" w14:textId="77777777" w:rsidR="00F9573C" w:rsidRDefault="002C2756" w:rsidP="000A09A7">
      <w:pPr>
        <w:pStyle w:val="HChG"/>
        <w:rPr>
          <w:lang w:val="fr-FR"/>
        </w:rPr>
      </w:pPr>
      <w:r>
        <w:rPr>
          <w:lang w:val="fr-FR"/>
        </w:rPr>
        <w:br w:type="page"/>
      </w:r>
      <w:r>
        <w:rPr>
          <w:lang w:val="fr-FR"/>
        </w:rPr>
        <w:lastRenderedPageBreak/>
        <w:t>Annexe I</w:t>
      </w:r>
    </w:p>
    <w:p w14:paraId="539DB112" w14:textId="77777777" w:rsidR="00FD6D3D" w:rsidRDefault="00FD6D3D" w:rsidP="000A09A7">
      <w:pPr>
        <w:pStyle w:val="SingleTxtG"/>
        <w:jc w:val="right"/>
        <w:rPr>
          <w:lang w:val="fr-FR"/>
        </w:rPr>
      </w:pPr>
      <w:r w:rsidRPr="00754101">
        <w:t>[Original</w:t>
      </w:r>
      <w:r w:rsidR="00347627">
        <w:t> </w:t>
      </w:r>
      <w:r w:rsidRPr="00754101">
        <w:t xml:space="preserve">: </w:t>
      </w:r>
      <w:r>
        <w:t>anglais et français</w:t>
      </w:r>
      <w:r w:rsidRPr="00754101">
        <w:t>]</w:t>
      </w:r>
    </w:p>
    <w:p w14:paraId="639EEAE9" w14:textId="77777777" w:rsidR="00FD6D3D" w:rsidRDefault="00FD6D3D" w:rsidP="00FD6D3D">
      <w:pPr>
        <w:pStyle w:val="HChG"/>
      </w:pPr>
      <w:r>
        <w:rPr>
          <w:lang w:val="fr-FR"/>
        </w:rPr>
        <w:tab/>
      </w:r>
      <w:r w:rsidRPr="00EF6EE7">
        <w:rPr>
          <w:lang w:val="fr-FR"/>
        </w:rPr>
        <w:tab/>
      </w:r>
      <w:r>
        <w:rPr>
          <w:lang w:val="fr-FR"/>
        </w:rPr>
        <w:t xml:space="preserve">Propositions d’amendements au Règlement annexé à l’ADN pour </w:t>
      </w:r>
      <w:proofErr w:type="spellStart"/>
      <w:r>
        <w:rPr>
          <w:lang w:val="fr-FR"/>
        </w:rPr>
        <w:t>entrée</w:t>
      </w:r>
      <w:proofErr w:type="spellEnd"/>
      <w:r>
        <w:rPr>
          <w:lang w:val="fr-FR"/>
        </w:rPr>
        <w:t xml:space="preserve"> en vigueur le 1</w:t>
      </w:r>
      <w:r w:rsidRPr="00E328E4">
        <w:rPr>
          <w:vertAlign w:val="superscript"/>
          <w:lang w:val="fr-FR"/>
        </w:rPr>
        <w:t>er</w:t>
      </w:r>
      <w:r>
        <w:rPr>
          <w:lang w:val="fr-FR"/>
        </w:rPr>
        <w:t> janvier 2021</w:t>
      </w:r>
    </w:p>
    <w:p w14:paraId="62A6D1A5" w14:textId="77777777" w:rsidR="00FD6D3D" w:rsidRPr="00AA5875" w:rsidRDefault="00FD6D3D" w:rsidP="00FD6D3D">
      <w:pPr>
        <w:pStyle w:val="H23G"/>
        <w:rPr>
          <w:rStyle w:val="Emphasis"/>
        </w:rPr>
      </w:pPr>
      <w:r w:rsidRPr="00AA5875">
        <w:rPr>
          <w:lang w:val="fr-FR"/>
        </w:rPr>
        <w:tab/>
      </w:r>
      <w:r w:rsidRPr="00AA5875">
        <w:rPr>
          <w:lang w:val="fr-FR"/>
        </w:rPr>
        <w:tab/>
        <w:t>Chapitre 1.1</w:t>
      </w:r>
    </w:p>
    <w:p w14:paraId="34C5A173" w14:textId="77777777" w:rsidR="00FD6D3D" w:rsidRPr="00AA5875" w:rsidRDefault="00FD6D3D" w:rsidP="00FD6D3D">
      <w:pPr>
        <w:pStyle w:val="SingleTxtG"/>
      </w:pPr>
      <w:r w:rsidRPr="00AA5875">
        <w:rPr>
          <w:lang w:val="fr-FR"/>
        </w:rPr>
        <w:t>1.1.3.6.1</w:t>
      </w:r>
      <w:r w:rsidRPr="00AA5875">
        <w:rPr>
          <w:lang w:val="fr-FR"/>
        </w:rPr>
        <w:tab/>
      </w:r>
      <w:r>
        <w:rPr>
          <w:lang w:val="fr-FR"/>
        </w:rPr>
        <w:t>Modifier pour l</w:t>
      </w:r>
      <w:r w:rsidRPr="00AA5875">
        <w:rPr>
          <w:lang w:val="fr-FR"/>
        </w:rPr>
        <w:t xml:space="preserve">ire </w:t>
      </w:r>
      <w:r>
        <w:rPr>
          <w:lang w:val="fr-FR"/>
        </w:rPr>
        <w:t xml:space="preserve">comme suit </w:t>
      </w:r>
      <w:r w:rsidRPr="00AA5875">
        <w:rPr>
          <w:lang w:val="fr-FR"/>
        </w:rPr>
        <w:t>(</w:t>
      </w:r>
      <w:r w:rsidRPr="00DF1FBB">
        <w:rPr>
          <w:i/>
          <w:lang w:val="fr-FR"/>
        </w:rPr>
        <w:t>remplace l</w:t>
      </w:r>
      <w:r>
        <w:rPr>
          <w:i/>
          <w:lang w:val="fr-FR"/>
        </w:rPr>
        <w:t>’</w:t>
      </w:r>
      <w:r w:rsidRPr="00DF1FBB">
        <w:rPr>
          <w:i/>
          <w:lang w:val="fr-FR"/>
        </w:rPr>
        <w:t>amendement du ECE/TRANS/WP.15/AC.2/70</w:t>
      </w:r>
      <w:r w:rsidRPr="00AA5875">
        <w:rPr>
          <w:lang w:val="fr-FR"/>
        </w:rPr>
        <w:t>)</w:t>
      </w:r>
      <w:r>
        <w:rPr>
          <w:lang w:val="fr-FR"/>
        </w:rPr>
        <w:t> </w:t>
      </w:r>
      <w:r w:rsidRPr="00AA5875">
        <w:rPr>
          <w:lang w:val="fr-FR"/>
        </w:rPr>
        <w:t>:</w:t>
      </w:r>
    </w:p>
    <w:p w14:paraId="1CCF91F2" w14:textId="77777777" w:rsidR="00FD6D3D" w:rsidRDefault="00FD6D3D" w:rsidP="00FD6D3D">
      <w:pPr>
        <w:pStyle w:val="SingleTxtG"/>
        <w:rPr>
          <w:lang w:val="fr-FR"/>
        </w:rPr>
      </w:pPr>
      <w:r>
        <w:rPr>
          <w:lang w:val="fr-FR"/>
        </w:rPr>
        <w:t>« </w:t>
      </w:r>
      <w:r w:rsidRPr="00AA5875">
        <w:rPr>
          <w:lang w:val="fr-FR"/>
        </w:rPr>
        <w:t>1.1.3.6.1</w:t>
      </w:r>
      <w:r w:rsidRPr="00AA5875">
        <w:rPr>
          <w:lang w:val="fr-FR"/>
        </w:rPr>
        <w:tab/>
        <w:t>En cas de transport de marchandises dangereuses en colis, les dispositions de l</w:t>
      </w:r>
      <w:r>
        <w:rPr>
          <w:lang w:val="fr-FR"/>
        </w:rPr>
        <w:t>’</w:t>
      </w:r>
      <w:r w:rsidRPr="00AA5875">
        <w:rPr>
          <w:lang w:val="fr-FR"/>
        </w:rPr>
        <w:t>ADN autres que celles du paragraphe 1.1.3.6.2 ne sont pas applicables lorsque la masse brute de toutes les marchandises dangereuses transportées ne dépasse pas 3</w:t>
      </w:r>
      <w:r>
        <w:rPr>
          <w:lang w:val="fr-FR"/>
        </w:rPr>
        <w:t> </w:t>
      </w:r>
      <w:r w:rsidRPr="00AA5875">
        <w:rPr>
          <w:lang w:val="fr-FR"/>
        </w:rPr>
        <w:t>000</w:t>
      </w:r>
      <w:r>
        <w:rPr>
          <w:lang w:val="fr-FR"/>
        </w:rPr>
        <w:t> </w:t>
      </w:r>
      <w:r w:rsidRPr="00AA5875">
        <w:rPr>
          <w:lang w:val="fr-FR"/>
        </w:rPr>
        <w:t>kg et, pour les différentes classes, ne dépasse pas la quantité indiquée dans le tableau ci-dessous :</w:t>
      </w:r>
    </w:p>
    <w:tbl>
      <w:tblPr>
        <w:tblW w:w="73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4526"/>
        <w:gridCol w:w="10"/>
        <w:gridCol w:w="732"/>
        <w:gridCol w:w="756"/>
        <w:gridCol w:w="658"/>
      </w:tblGrid>
      <w:tr w:rsidR="00FD6D3D" w:rsidRPr="00A66477" w14:paraId="60E1015E" w14:textId="77777777" w:rsidTr="009805F3">
        <w:trPr>
          <w:trHeight w:hRule="exact" w:val="477"/>
          <w:tblHeader/>
        </w:trPr>
        <w:tc>
          <w:tcPr>
            <w:tcW w:w="709" w:type="dxa"/>
            <w:tcBorders>
              <w:top w:val="single" w:sz="4" w:space="0" w:color="auto"/>
              <w:bottom w:val="single" w:sz="12" w:space="0" w:color="auto"/>
            </w:tcBorders>
            <w:shd w:val="clear" w:color="auto" w:fill="auto"/>
            <w:vAlign w:val="bottom"/>
          </w:tcPr>
          <w:p w14:paraId="621EAA3C" w14:textId="77777777" w:rsidR="00FD6D3D" w:rsidRPr="00A66477" w:rsidRDefault="00FD6D3D" w:rsidP="009805F3">
            <w:pPr>
              <w:keepNext/>
              <w:keepLines/>
              <w:suppressAutoHyphens w:val="0"/>
              <w:spacing w:before="80" w:after="80" w:line="200" w:lineRule="exact"/>
              <w:ind w:right="113"/>
              <w:rPr>
                <w:rFonts w:eastAsia="Calibri"/>
                <w:i/>
                <w:sz w:val="16"/>
                <w:szCs w:val="18"/>
              </w:rPr>
            </w:pPr>
            <w:r w:rsidRPr="00A66477">
              <w:rPr>
                <w:rFonts w:eastAsia="Calibri"/>
                <w:bCs/>
                <w:i/>
                <w:sz w:val="16"/>
                <w:szCs w:val="18"/>
              </w:rPr>
              <w:t>Class</w:t>
            </w:r>
            <w:r>
              <w:rPr>
                <w:rFonts w:eastAsia="Calibri"/>
                <w:bCs/>
                <w:i/>
                <w:sz w:val="16"/>
                <w:szCs w:val="18"/>
              </w:rPr>
              <w:t>e</w:t>
            </w:r>
          </w:p>
        </w:tc>
        <w:tc>
          <w:tcPr>
            <w:tcW w:w="4526" w:type="dxa"/>
            <w:tcBorders>
              <w:top w:val="single" w:sz="4" w:space="0" w:color="auto"/>
              <w:bottom w:val="single" w:sz="12" w:space="0" w:color="auto"/>
            </w:tcBorders>
            <w:shd w:val="clear" w:color="auto" w:fill="auto"/>
            <w:vAlign w:val="bottom"/>
          </w:tcPr>
          <w:p w14:paraId="4D7597E9" w14:textId="77777777" w:rsidR="00FD6D3D" w:rsidRPr="00A66477" w:rsidRDefault="00FD6D3D" w:rsidP="009805F3">
            <w:pPr>
              <w:keepNext/>
              <w:keepLines/>
              <w:suppressAutoHyphens w:val="0"/>
              <w:spacing w:before="80" w:after="80" w:line="200" w:lineRule="exact"/>
              <w:ind w:right="113"/>
              <w:rPr>
                <w:rFonts w:eastAsia="Calibri"/>
                <w:i/>
                <w:sz w:val="16"/>
                <w:szCs w:val="18"/>
              </w:rPr>
            </w:pPr>
            <w:r w:rsidRPr="00A273F2">
              <w:rPr>
                <w:i/>
                <w:sz w:val="16"/>
                <w:lang w:val="fr-FR"/>
              </w:rPr>
              <w:t>Matières ou objets en colis</w:t>
            </w:r>
          </w:p>
        </w:tc>
        <w:tc>
          <w:tcPr>
            <w:tcW w:w="2156" w:type="dxa"/>
            <w:gridSpan w:val="4"/>
            <w:tcBorders>
              <w:top w:val="single" w:sz="4" w:space="0" w:color="auto"/>
              <w:bottom w:val="single" w:sz="12" w:space="0" w:color="auto"/>
            </w:tcBorders>
            <w:shd w:val="clear" w:color="auto" w:fill="auto"/>
            <w:vAlign w:val="bottom"/>
          </w:tcPr>
          <w:p w14:paraId="3351B6DD" w14:textId="77777777" w:rsidR="00FD6D3D" w:rsidRPr="00A66477" w:rsidRDefault="00FD6D3D" w:rsidP="009805F3">
            <w:pPr>
              <w:keepNext/>
              <w:keepLines/>
              <w:suppressAutoHyphens w:val="0"/>
              <w:spacing w:before="80" w:after="80" w:line="200" w:lineRule="exact"/>
              <w:ind w:right="113"/>
              <w:rPr>
                <w:rFonts w:eastAsia="Calibri"/>
                <w:i/>
                <w:sz w:val="16"/>
                <w:szCs w:val="18"/>
              </w:rPr>
            </w:pPr>
            <w:r w:rsidRPr="00A273F2">
              <w:rPr>
                <w:i/>
                <w:sz w:val="16"/>
                <w:lang w:val="fr-FR"/>
              </w:rPr>
              <w:t>Quantités exemptées (en kg)</w:t>
            </w:r>
          </w:p>
        </w:tc>
      </w:tr>
      <w:tr w:rsidR="00FD6D3D" w:rsidRPr="00A66477" w14:paraId="54F446A9" w14:textId="77777777" w:rsidTr="009805F3">
        <w:trPr>
          <w:trHeight w:hRule="exact" w:val="404"/>
        </w:trPr>
        <w:tc>
          <w:tcPr>
            <w:tcW w:w="709" w:type="dxa"/>
            <w:tcBorders>
              <w:top w:val="single" w:sz="12" w:space="0" w:color="auto"/>
              <w:bottom w:val="single" w:sz="4" w:space="0" w:color="auto"/>
            </w:tcBorders>
            <w:shd w:val="clear" w:color="auto" w:fill="auto"/>
          </w:tcPr>
          <w:p w14:paraId="32FE5F1F" w14:textId="77777777" w:rsidR="00FD6D3D" w:rsidRPr="00A66477" w:rsidRDefault="00FD6D3D" w:rsidP="009805F3">
            <w:pPr>
              <w:suppressAutoHyphens w:val="0"/>
              <w:spacing w:before="40" w:after="120" w:line="220" w:lineRule="exact"/>
              <w:ind w:right="113"/>
              <w:rPr>
                <w:rFonts w:eastAsia="Calibri"/>
                <w:b/>
                <w:i/>
                <w:szCs w:val="18"/>
              </w:rPr>
            </w:pPr>
            <w:r>
              <w:rPr>
                <w:rFonts w:eastAsia="Calibri"/>
                <w:b/>
                <w:i/>
                <w:szCs w:val="18"/>
              </w:rPr>
              <w:t>Toutes</w:t>
            </w:r>
          </w:p>
        </w:tc>
        <w:tc>
          <w:tcPr>
            <w:tcW w:w="4536" w:type="dxa"/>
            <w:gridSpan w:val="2"/>
            <w:tcBorders>
              <w:top w:val="single" w:sz="12" w:space="0" w:color="auto"/>
              <w:bottom w:val="single" w:sz="4" w:space="0" w:color="auto"/>
            </w:tcBorders>
            <w:shd w:val="clear" w:color="auto" w:fill="auto"/>
          </w:tcPr>
          <w:p w14:paraId="6393F849" w14:textId="77777777" w:rsidR="00FD6D3D" w:rsidRPr="00A273F2" w:rsidRDefault="00FD6D3D" w:rsidP="009805F3">
            <w:pPr>
              <w:suppressAutoHyphens w:val="0"/>
              <w:spacing w:before="40" w:after="120" w:line="220" w:lineRule="exact"/>
              <w:ind w:right="113"/>
              <w:rPr>
                <w:rFonts w:eastAsia="Calibri"/>
                <w:b/>
                <w:i/>
                <w:szCs w:val="18"/>
              </w:rPr>
            </w:pPr>
            <w:r w:rsidRPr="00A273F2">
              <w:rPr>
                <w:rFonts w:eastAsia="Calibri"/>
                <w:b/>
                <w:i/>
                <w:szCs w:val="18"/>
                <w:lang w:val="fr-FR"/>
              </w:rPr>
              <w:t>Transport en citernes de toute classe</w:t>
            </w:r>
          </w:p>
        </w:tc>
        <w:tc>
          <w:tcPr>
            <w:tcW w:w="732" w:type="dxa"/>
            <w:tcBorders>
              <w:top w:val="single" w:sz="12" w:space="0" w:color="auto"/>
              <w:bottom w:val="single" w:sz="4" w:space="0" w:color="auto"/>
            </w:tcBorders>
            <w:shd w:val="clear" w:color="auto" w:fill="auto"/>
          </w:tcPr>
          <w:p w14:paraId="3EA8E20F"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12" w:space="0" w:color="auto"/>
              <w:bottom w:val="single" w:sz="4" w:space="0" w:color="auto"/>
            </w:tcBorders>
            <w:shd w:val="clear" w:color="auto" w:fill="auto"/>
          </w:tcPr>
          <w:p w14:paraId="6FF5359C" w14:textId="77777777" w:rsidR="00FD6D3D" w:rsidRPr="00A273F2" w:rsidRDefault="00FD6D3D" w:rsidP="009805F3">
            <w:pPr>
              <w:suppressAutoHyphens w:val="0"/>
              <w:spacing w:before="40" w:after="120" w:line="220" w:lineRule="exact"/>
              <w:ind w:right="113"/>
              <w:rPr>
                <w:rFonts w:eastAsia="Calibri"/>
                <w:szCs w:val="18"/>
              </w:rPr>
            </w:pPr>
          </w:p>
        </w:tc>
        <w:tc>
          <w:tcPr>
            <w:tcW w:w="658" w:type="dxa"/>
            <w:tcBorders>
              <w:top w:val="single" w:sz="12" w:space="0" w:color="auto"/>
              <w:bottom w:val="single" w:sz="4" w:space="0" w:color="auto"/>
            </w:tcBorders>
            <w:shd w:val="clear" w:color="auto" w:fill="auto"/>
          </w:tcPr>
          <w:p w14:paraId="2D168B8C"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0</w:t>
            </w:r>
          </w:p>
        </w:tc>
      </w:tr>
      <w:tr w:rsidR="00FD6D3D" w:rsidRPr="00A66477" w14:paraId="739520DA" w14:textId="77777777" w:rsidTr="009805F3">
        <w:trPr>
          <w:trHeight w:val="57"/>
        </w:trPr>
        <w:tc>
          <w:tcPr>
            <w:tcW w:w="709" w:type="dxa"/>
            <w:tcBorders>
              <w:top w:val="single" w:sz="4" w:space="0" w:color="auto"/>
              <w:bottom w:val="single" w:sz="4" w:space="0" w:color="auto"/>
            </w:tcBorders>
            <w:shd w:val="clear" w:color="auto" w:fill="auto"/>
          </w:tcPr>
          <w:p w14:paraId="3A47A234"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1</w:t>
            </w:r>
          </w:p>
        </w:tc>
        <w:tc>
          <w:tcPr>
            <w:tcW w:w="4536" w:type="dxa"/>
            <w:gridSpan w:val="2"/>
            <w:tcBorders>
              <w:top w:val="single" w:sz="4" w:space="0" w:color="auto"/>
              <w:bottom w:val="single" w:sz="4" w:space="0" w:color="auto"/>
            </w:tcBorders>
            <w:shd w:val="clear" w:color="auto" w:fill="auto"/>
          </w:tcPr>
          <w:p w14:paraId="69267270"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Matières et objets de la classe 1</w:t>
            </w:r>
          </w:p>
        </w:tc>
        <w:tc>
          <w:tcPr>
            <w:tcW w:w="732" w:type="dxa"/>
            <w:tcBorders>
              <w:top w:val="single" w:sz="4" w:space="0" w:color="auto"/>
              <w:bottom w:val="single" w:sz="4" w:space="0" w:color="auto"/>
            </w:tcBorders>
            <w:shd w:val="clear" w:color="auto" w:fill="auto"/>
          </w:tcPr>
          <w:p w14:paraId="030132D2"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600746A1" w14:textId="77777777" w:rsidR="00FD6D3D" w:rsidRPr="00A273F2"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122D6C01"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0</w:t>
            </w:r>
          </w:p>
        </w:tc>
      </w:tr>
      <w:tr w:rsidR="00FD6D3D" w:rsidRPr="00A66477" w14:paraId="775F0850" w14:textId="77777777" w:rsidTr="009805F3">
        <w:trPr>
          <w:trHeight w:val="57"/>
        </w:trPr>
        <w:tc>
          <w:tcPr>
            <w:tcW w:w="709" w:type="dxa"/>
            <w:vMerge w:val="restart"/>
            <w:tcBorders>
              <w:top w:val="single" w:sz="4" w:space="0" w:color="auto"/>
              <w:bottom w:val="single" w:sz="4" w:space="0" w:color="auto"/>
            </w:tcBorders>
            <w:shd w:val="clear" w:color="auto" w:fill="auto"/>
          </w:tcPr>
          <w:p w14:paraId="3B1A37C4" w14:textId="77777777" w:rsidR="00FD6D3D" w:rsidRPr="00A66477" w:rsidRDefault="00FD6D3D" w:rsidP="009805F3">
            <w:pPr>
              <w:keepNext/>
              <w:suppressAutoHyphens w:val="0"/>
              <w:spacing w:before="40" w:after="120" w:line="220" w:lineRule="exact"/>
              <w:ind w:right="113"/>
              <w:rPr>
                <w:rFonts w:eastAsia="Calibri"/>
                <w:b/>
                <w:szCs w:val="18"/>
              </w:rPr>
            </w:pPr>
            <w:r w:rsidRPr="00A66477">
              <w:rPr>
                <w:rFonts w:eastAsia="Calibri"/>
                <w:b/>
                <w:szCs w:val="18"/>
              </w:rPr>
              <w:t>2</w:t>
            </w:r>
          </w:p>
        </w:tc>
        <w:tc>
          <w:tcPr>
            <w:tcW w:w="4536" w:type="dxa"/>
            <w:gridSpan w:val="2"/>
            <w:tcBorders>
              <w:top w:val="single" w:sz="4" w:space="0" w:color="auto"/>
              <w:bottom w:val="single" w:sz="4" w:space="0" w:color="auto"/>
            </w:tcBorders>
            <w:shd w:val="clear" w:color="auto" w:fill="auto"/>
          </w:tcPr>
          <w:p w14:paraId="77DA3BAF" w14:textId="77777777" w:rsidR="00FD6D3D" w:rsidRPr="00243848" w:rsidRDefault="00FD6D3D" w:rsidP="009805F3">
            <w:pPr>
              <w:keepNext/>
              <w:spacing w:before="40" w:after="120"/>
              <w:ind w:right="113"/>
              <w:rPr>
                <w:rFonts w:eastAsia="Arial Unicode MS"/>
                <w:bdr w:val="nil"/>
                <w:lang w:eastAsia="nl-NL"/>
              </w:rPr>
            </w:pPr>
            <w:r w:rsidRPr="00A273F2">
              <w:rPr>
                <w:lang w:val="fr-FR"/>
              </w:rPr>
              <w:t>Matières et objets de la classe 2, groupes T, TF, TC, TO, TFC ou TOC selon le paragraphe 2.2.2.1.3 et Aérosols des groupes C, CO, FC, T, TF, TC, TO, TFC et TOC selon le paragraphe 2.2.2.1.6</w:t>
            </w:r>
          </w:p>
        </w:tc>
        <w:tc>
          <w:tcPr>
            <w:tcW w:w="732" w:type="dxa"/>
            <w:tcBorders>
              <w:top w:val="single" w:sz="4" w:space="0" w:color="auto"/>
              <w:bottom w:val="single" w:sz="4" w:space="0" w:color="auto"/>
            </w:tcBorders>
            <w:shd w:val="clear" w:color="auto" w:fill="auto"/>
          </w:tcPr>
          <w:p w14:paraId="0A308E7B" w14:textId="77777777" w:rsidR="00FD6D3D" w:rsidRPr="00243848" w:rsidRDefault="00FD6D3D" w:rsidP="009805F3">
            <w:pPr>
              <w:keepNext/>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03D6B95D" w14:textId="77777777" w:rsidR="00FD6D3D" w:rsidRPr="00243848" w:rsidRDefault="00FD6D3D" w:rsidP="009805F3">
            <w:pPr>
              <w:keepNext/>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vAlign w:val="center"/>
          </w:tcPr>
          <w:p w14:paraId="5F91CC7F" w14:textId="77777777" w:rsidR="00FD6D3D" w:rsidRPr="00A66477" w:rsidRDefault="00FD6D3D" w:rsidP="009805F3">
            <w:pPr>
              <w:keepNext/>
              <w:suppressAutoHyphens w:val="0"/>
              <w:spacing w:before="40" w:after="120" w:line="220" w:lineRule="exact"/>
              <w:ind w:right="113"/>
              <w:rPr>
                <w:rFonts w:eastAsia="Calibri"/>
                <w:szCs w:val="18"/>
              </w:rPr>
            </w:pPr>
            <w:r w:rsidRPr="00A66477">
              <w:rPr>
                <w:rFonts w:eastAsia="Calibri"/>
                <w:szCs w:val="18"/>
              </w:rPr>
              <w:t>0</w:t>
            </w:r>
          </w:p>
        </w:tc>
      </w:tr>
      <w:tr w:rsidR="00FD6D3D" w:rsidRPr="00A66477" w14:paraId="09F90346" w14:textId="77777777" w:rsidTr="009805F3">
        <w:trPr>
          <w:trHeight w:val="57"/>
        </w:trPr>
        <w:tc>
          <w:tcPr>
            <w:tcW w:w="709" w:type="dxa"/>
            <w:vMerge/>
            <w:tcBorders>
              <w:top w:val="single" w:sz="4" w:space="0" w:color="auto"/>
              <w:bottom w:val="single" w:sz="4" w:space="0" w:color="auto"/>
            </w:tcBorders>
            <w:shd w:val="clear" w:color="auto" w:fill="auto"/>
          </w:tcPr>
          <w:p w14:paraId="13CEDFA6" w14:textId="77777777" w:rsidR="00FD6D3D" w:rsidRPr="00A66477" w:rsidRDefault="00FD6D3D" w:rsidP="009805F3">
            <w:pPr>
              <w:keepNext/>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02669D14" w14:textId="77777777" w:rsidR="00FD6D3D" w:rsidRPr="00A273F2" w:rsidRDefault="00FD6D3D" w:rsidP="009805F3">
            <w:pPr>
              <w:keepNext/>
              <w:keepLines/>
              <w:spacing w:before="40" w:after="120"/>
              <w:ind w:right="113"/>
              <w:rPr>
                <w:rFonts w:eastAsia="Arial Unicode MS"/>
                <w:szCs w:val="18"/>
                <w:bdr w:val="nil"/>
                <w:lang w:eastAsia="nl-NL"/>
              </w:rPr>
            </w:pPr>
            <w:r w:rsidRPr="00A273F2">
              <w:rPr>
                <w:lang w:val="fr-FR"/>
              </w:rPr>
              <w:t>Matières et objets de la classe 2 du groupe F selon le paragraphe 2.2.2.1.3 ou</w:t>
            </w:r>
            <w:r>
              <w:rPr>
                <w:lang w:val="fr-FR"/>
              </w:rPr>
              <w:t xml:space="preserve"> </w:t>
            </w:r>
            <w:r>
              <w:rPr>
                <w:lang w:val="fr-FR"/>
              </w:rPr>
              <w:br/>
            </w:r>
            <w:r w:rsidRPr="00A273F2">
              <w:rPr>
                <w:lang w:val="fr-FR"/>
              </w:rPr>
              <w:t>Aérosols du groupe F selon le paragraphe 2.2.2.1.6</w:t>
            </w:r>
          </w:p>
        </w:tc>
        <w:tc>
          <w:tcPr>
            <w:tcW w:w="732" w:type="dxa"/>
            <w:tcBorders>
              <w:top w:val="single" w:sz="4" w:space="0" w:color="auto"/>
              <w:bottom w:val="single" w:sz="4" w:space="0" w:color="auto"/>
            </w:tcBorders>
            <w:shd w:val="clear" w:color="auto" w:fill="auto"/>
          </w:tcPr>
          <w:p w14:paraId="35A4BD77" w14:textId="77777777" w:rsidR="00FD6D3D" w:rsidRPr="00A273F2" w:rsidRDefault="00FD6D3D" w:rsidP="009805F3">
            <w:pPr>
              <w:keepNext/>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0C0556BA" w14:textId="77777777" w:rsidR="00FD6D3D" w:rsidRPr="00A66477" w:rsidRDefault="00FD6D3D" w:rsidP="009805F3">
            <w:pPr>
              <w:keepNext/>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43DCD58B" w14:textId="77777777" w:rsidR="00FD6D3D" w:rsidRPr="00A66477" w:rsidRDefault="00FD6D3D" w:rsidP="009805F3">
            <w:pPr>
              <w:keepNext/>
              <w:suppressAutoHyphens w:val="0"/>
              <w:spacing w:before="40" w:after="120" w:line="220" w:lineRule="exact"/>
              <w:ind w:right="113"/>
              <w:rPr>
                <w:rFonts w:eastAsia="Calibri"/>
                <w:szCs w:val="18"/>
              </w:rPr>
            </w:pPr>
          </w:p>
        </w:tc>
      </w:tr>
      <w:tr w:rsidR="00FD6D3D" w:rsidRPr="00A66477" w14:paraId="193C8EDB" w14:textId="77777777" w:rsidTr="009805F3">
        <w:trPr>
          <w:trHeight w:val="57"/>
        </w:trPr>
        <w:tc>
          <w:tcPr>
            <w:tcW w:w="709" w:type="dxa"/>
            <w:vMerge/>
            <w:tcBorders>
              <w:top w:val="single" w:sz="4" w:space="0" w:color="auto"/>
              <w:bottom w:val="single" w:sz="4" w:space="0" w:color="auto"/>
            </w:tcBorders>
            <w:shd w:val="clear" w:color="auto" w:fill="auto"/>
          </w:tcPr>
          <w:p w14:paraId="30FF5CBD" w14:textId="77777777" w:rsidR="00FD6D3D" w:rsidRPr="00A66477" w:rsidRDefault="00FD6D3D" w:rsidP="009805F3">
            <w:pPr>
              <w:keepNext/>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4F957D00" w14:textId="77777777" w:rsidR="00FD6D3D" w:rsidRPr="00A273F2" w:rsidRDefault="00FD6D3D" w:rsidP="009805F3">
            <w:pPr>
              <w:keepNext/>
              <w:suppressAutoHyphens w:val="0"/>
              <w:spacing w:before="40" w:after="120" w:line="220" w:lineRule="exact"/>
              <w:ind w:right="113"/>
              <w:rPr>
                <w:rFonts w:eastAsia="Calibri"/>
                <w:bCs/>
                <w:szCs w:val="18"/>
                <w:u w:color="000000"/>
              </w:rPr>
            </w:pPr>
            <w:r w:rsidRPr="00A273F2">
              <w:rPr>
                <w:lang w:val="fr-FR"/>
              </w:rPr>
              <w:t>Toute autre matière de la classe 2</w:t>
            </w:r>
          </w:p>
        </w:tc>
        <w:tc>
          <w:tcPr>
            <w:tcW w:w="732" w:type="dxa"/>
            <w:tcBorders>
              <w:top w:val="single" w:sz="4" w:space="0" w:color="auto"/>
              <w:bottom w:val="single" w:sz="4" w:space="0" w:color="auto"/>
            </w:tcBorders>
            <w:shd w:val="clear" w:color="auto" w:fill="auto"/>
          </w:tcPr>
          <w:p w14:paraId="34E947A3" w14:textId="77777777" w:rsidR="00FD6D3D" w:rsidRPr="00A66477" w:rsidRDefault="00FD6D3D" w:rsidP="009805F3">
            <w:pPr>
              <w:keepNext/>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746DFB7F" w14:textId="77777777" w:rsidR="00FD6D3D" w:rsidRPr="00A66477" w:rsidRDefault="00FD6D3D" w:rsidP="009805F3">
            <w:pPr>
              <w:keepNext/>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3A563BAF" w14:textId="77777777" w:rsidR="00FD6D3D" w:rsidRPr="00A66477" w:rsidRDefault="00FD6D3D" w:rsidP="009805F3">
            <w:pPr>
              <w:keepNext/>
              <w:suppressAutoHyphens w:val="0"/>
              <w:spacing w:before="40" w:after="120" w:line="220" w:lineRule="exact"/>
              <w:ind w:right="113"/>
              <w:rPr>
                <w:rFonts w:eastAsia="Calibri"/>
                <w:szCs w:val="18"/>
              </w:rPr>
            </w:pPr>
          </w:p>
        </w:tc>
      </w:tr>
      <w:tr w:rsidR="00FD6D3D" w:rsidRPr="00A66477" w14:paraId="55387E3C" w14:textId="77777777" w:rsidTr="009805F3">
        <w:trPr>
          <w:trHeight w:val="57"/>
        </w:trPr>
        <w:tc>
          <w:tcPr>
            <w:tcW w:w="709" w:type="dxa"/>
            <w:vMerge w:val="restart"/>
            <w:tcBorders>
              <w:top w:val="single" w:sz="4" w:space="0" w:color="auto"/>
              <w:bottom w:val="single" w:sz="4" w:space="0" w:color="auto"/>
            </w:tcBorders>
            <w:shd w:val="clear" w:color="auto" w:fill="auto"/>
          </w:tcPr>
          <w:p w14:paraId="434118B6"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3</w:t>
            </w:r>
          </w:p>
        </w:tc>
        <w:tc>
          <w:tcPr>
            <w:tcW w:w="4536" w:type="dxa"/>
            <w:gridSpan w:val="2"/>
            <w:tcBorders>
              <w:top w:val="single" w:sz="4" w:space="0" w:color="auto"/>
              <w:bottom w:val="single" w:sz="4" w:space="0" w:color="auto"/>
            </w:tcBorders>
            <w:shd w:val="clear" w:color="auto" w:fill="auto"/>
          </w:tcPr>
          <w:p w14:paraId="335DDDF4"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Matières et objets de la classe 3, groupe d</w:t>
            </w:r>
            <w:r>
              <w:rPr>
                <w:lang w:val="fr-FR"/>
              </w:rPr>
              <w:t>’</w:t>
            </w:r>
            <w:r w:rsidRPr="00A273F2">
              <w:rPr>
                <w:lang w:val="fr-FR"/>
              </w:rPr>
              <w:t>emballage I</w:t>
            </w:r>
          </w:p>
        </w:tc>
        <w:tc>
          <w:tcPr>
            <w:tcW w:w="732" w:type="dxa"/>
            <w:tcBorders>
              <w:top w:val="single" w:sz="4" w:space="0" w:color="auto"/>
              <w:bottom w:val="single" w:sz="4" w:space="0" w:color="auto"/>
            </w:tcBorders>
            <w:shd w:val="clear" w:color="auto" w:fill="auto"/>
          </w:tcPr>
          <w:p w14:paraId="33189955"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51BF147D"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2A81EB9C"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21EE8E05" w14:textId="77777777" w:rsidTr="009805F3">
        <w:trPr>
          <w:trHeight w:val="57"/>
        </w:trPr>
        <w:tc>
          <w:tcPr>
            <w:tcW w:w="709" w:type="dxa"/>
            <w:vMerge/>
            <w:tcBorders>
              <w:top w:val="single" w:sz="4" w:space="0" w:color="auto"/>
              <w:bottom w:val="single" w:sz="4" w:space="0" w:color="auto"/>
            </w:tcBorders>
            <w:shd w:val="clear" w:color="auto" w:fill="auto"/>
          </w:tcPr>
          <w:p w14:paraId="734FB755"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54393B87"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Toute autre matière de la classe 3</w:t>
            </w:r>
          </w:p>
        </w:tc>
        <w:tc>
          <w:tcPr>
            <w:tcW w:w="732" w:type="dxa"/>
            <w:tcBorders>
              <w:top w:val="single" w:sz="4" w:space="0" w:color="auto"/>
              <w:bottom w:val="single" w:sz="4" w:space="0" w:color="auto"/>
            </w:tcBorders>
            <w:shd w:val="clear" w:color="auto" w:fill="auto"/>
          </w:tcPr>
          <w:p w14:paraId="32AD896E"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467DFD34"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6A678F3A"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36E50535" w14:textId="77777777" w:rsidTr="009805F3">
        <w:trPr>
          <w:trHeight w:val="57"/>
        </w:trPr>
        <w:tc>
          <w:tcPr>
            <w:tcW w:w="709" w:type="dxa"/>
            <w:vMerge w:val="restart"/>
            <w:tcBorders>
              <w:top w:val="single" w:sz="4" w:space="0" w:color="auto"/>
              <w:bottom w:val="single" w:sz="4" w:space="0" w:color="auto"/>
            </w:tcBorders>
            <w:shd w:val="clear" w:color="auto" w:fill="auto"/>
          </w:tcPr>
          <w:p w14:paraId="57CB2983"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4.1</w:t>
            </w:r>
          </w:p>
        </w:tc>
        <w:tc>
          <w:tcPr>
            <w:tcW w:w="4536" w:type="dxa"/>
            <w:gridSpan w:val="2"/>
            <w:tcBorders>
              <w:top w:val="single" w:sz="4" w:space="0" w:color="auto"/>
              <w:bottom w:val="single" w:sz="4" w:space="0" w:color="auto"/>
            </w:tcBorders>
            <w:shd w:val="clear" w:color="auto" w:fill="auto"/>
          </w:tcPr>
          <w:p w14:paraId="28045C4F" w14:textId="77777777" w:rsidR="00FD6D3D" w:rsidRPr="00A273F2" w:rsidRDefault="00FD6D3D" w:rsidP="009805F3">
            <w:pPr>
              <w:suppressAutoHyphens w:val="0"/>
              <w:spacing w:before="40" w:after="120" w:line="220" w:lineRule="exact"/>
              <w:ind w:right="113"/>
              <w:rPr>
                <w:rFonts w:eastAsia="Calibri"/>
                <w:szCs w:val="18"/>
                <w:u w:color="000000"/>
              </w:rPr>
            </w:pPr>
            <w:r w:rsidRPr="00A273F2">
              <w:rPr>
                <w:lang w:val="fr-FR"/>
              </w:rPr>
              <w:t>Matières et objets de la classe 4.1 pour lesquelles une étiquette de danger du modèle n</w:t>
            </w:r>
            <w:r w:rsidRPr="00A273F2">
              <w:rPr>
                <w:vertAlign w:val="superscript"/>
                <w:lang w:val="fr-FR"/>
              </w:rPr>
              <w:t>o</w:t>
            </w:r>
            <w:r w:rsidRPr="00A273F2">
              <w:rPr>
                <w:lang w:val="fr-FR"/>
              </w:rPr>
              <w:t xml:space="preserve"> 1 est requise </w:t>
            </w:r>
            <w:r>
              <w:rPr>
                <w:lang w:val="fr-FR"/>
              </w:rPr>
              <w:br/>
            </w:r>
            <w:r w:rsidRPr="00A273F2">
              <w:rPr>
                <w:lang w:val="fr-FR"/>
              </w:rPr>
              <w:t>à la colonne (5) du tableau A du chapitre 3.2</w:t>
            </w:r>
          </w:p>
        </w:tc>
        <w:tc>
          <w:tcPr>
            <w:tcW w:w="732" w:type="dxa"/>
            <w:tcBorders>
              <w:top w:val="single" w:sz="4" w:space="0" w:color="auto"/>
              <w:bottom w:val="single" w:sz="4" w:space="0" w:color="auto"/>
            </w:tcBorders>
            <w:shd w:val="clear" w:color="auto" w:fill="auto"/>
          </w:tcPr>
          <w:p w14:paraId="4A5614BF"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6366B941" w14:textId="77777777" w:rsidR="00FD6D3D" w:rsidRPr="00A273F2"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76DDD298"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0</w:t>
            </w:r>
          </w:p>
        </w:tc>
      </w:tr>
      <w:tr w:rsidR="00FD6D3D" w:rsidRPr="00A66477" w14:paraId="53858C81" w14:textId="77777777" w:rsidTr="009805F3">
        <w:trPr>
          <w:trHeight w:val="57"/>
        </w:trPr>
        <w:tc>
          <w:tcPr>
            <w:tcW w:w="709" w:type="dxa"/>
            <w:vMerge/>
            <w:tcBorders>
              <w:top w:val="single" w:sz="4" w:space="0" w:color="auto"/>
              <w:bottom w:val="single" w:sz="4" w:space="0" w:color="auto"/>
            </w:tcBorders>
            <w:shd w:val="clear" w:color="auto" w:fill="auto"/>
          </w:tcPr>
          <w:p w14:paraId="0B05A2FD"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724A8A7D" w14:textId="77777777" w:rsidR="00FD6D3D" w:rsidRPr="00A273F2" w:rsidRDefault="00FD6D3D" w:rsidP="009805F3">
            <w:pPr>
              <w:suppressAutoHyphens w:val="0"/>
              <w:spacing w:before="40" w:after="120" w:line="220" w:lineRule="exact"/>
              <w:ind w:right="113"/>
              <w:rPr>
                <w:rFonts w:eastAsia="Calibri"/>
                <w:szCs w:val="18"/>
                <w:u w:color="000000"/>
              </w:rPr>
            </w:pPr>
            <w:r w:rsidRPr="00A273F2">
              <w:rPr>
                <w:lang w:val="fr-FR"/>
              </w:rPr>
              <w:t>Toute autre matière et tout autre objet de la classe 4.1, groupe d</w:t>
            </w:r>
            <w:r>
              <w:rPr>
                <w:lang w:val="fr-FR"/>
              </w:rPr>
              <w:t>’</w:t>
            </w:r>
            <w:r w:rsidRPr="00A273F2">
              <w:rPr>
                <w:lang w:val="fr-FR"/>
              </w:rPr>
              <w:t>emballage I</w:t>
            </w:r>
          </w:p>
        </w:tc>
        <w:tc>
          <w:tcPr>
            <w:tcW w:w="732" w:type="dxa"/>
            <w:tcBorders>
              <w:top w:val="single" w:sz="4" w:space="0" w:color="auto"/>
              <w:bottom w:val="single" w:sz="4" w:space="0" w:color="auto"/>
            </w:tcBorders>
            <w:shd w:val="clear" w:color="auto" w:fill="auto"/>
          </w:tcPr>
          <w:p w14:paraId="30AFE1A9"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6670DACC"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1286AC1D"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38CBC9CF" w14:textId="77777777" w:rsidTr="009805F3">
        <w:trPr>
          <w:trHeight w:val="57"/>
        </w:trPr>
        <w:tc>
          <w:tcPr>
            <w:tcW w:w="709" w:type="dxa"/>
            <w:vMerge/>
            <w:tcBorders>
              <w:top w:val="single" w:sz="4" w:space="0" w:color="auto"/>
              <w:bottom w:val="single" w:sz="4" w:space="0" w:color="auto"/>
            </w:tcBorders>
            <w:shd w:val="clear" w:color="auto" w:fill="auto"/>
          </w:tcPr>
          <w:p w14:paraId="456C2501"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60D45FAB"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Toute autre matière et tout autre objet de la classe 4.1</w:t>
            </w:r>
          </w:p>
        </w:tc>
        <w:tc>
          <w:tcPr>
            <w:tcW w:w="732" w:type="dxa"/>
            <w:tcBorders>
              <w:top w:val="single" w:sz="4" w:space="0" w:color="auto"/>
              <w:bottom w:val="single" w:sz="4" w:space="0" w:color="auto"/>
            </w:tcBorders>
            <w:shd w:val="clear" w:color="auto" w:fill="auto"/>
          </w:tcPr>
          <w:p w14:paraId="4E6707D3"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61A40849"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6CDEC22A"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7FD766AC" w14:textId="77777777" w:rsidTr="009805F3">
        <w:trPr>
          <w:trHeight w:val="57"/>
        </w:trPr>
        <w:tc>
          <w:tcPr>
            <w:tcW w:w="709" w:type="dxa"/>
            <w:vMerge w:val="restart"/>
            <w:tcBorders>
              <w:top w:val="single" w:sz="4" w:space="0" w:color="auto"/>
              <w:bottom w:val="single" w:sz="4" w:space="0" w:color="auto"/>
            </w:tcBorders>
            <w:shd w:val="clear" w:color="auto" w:fill="auto"/>
          </w:tcPr>
          <w:p w14:paraId="7D09CA1C"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4.2</w:t>
            </w:r>
          </w:p>
        </w:tc>
        <w:tc>
          <w:tcPr>
            <w:tcW w:w="4536" w:type="dxa"/>
            <w:gridSpan w:val="2"/>
            <w:tcBorders>
              <w:top w:val="single" w:sz="4" w:space="0" w:color="auto"/>
              <w:bottom w:val="single" w:sz="4" w:space="0" w:color="auto"/>
            </w:tcBorders>
            <w:shd w:val="clear" w:color="auto" w:fill="auto"/>
          </w:tcPr>
          <w:p w14:paraId="7B9B920C" w14:textId="77777777" w:rsidR="00FD6D3D" w:rsidRPr="00243848" w:rsidRDefault="00FD6D3D" w:rsidP="009805F3">
            <w:pPr>
              <w:suppressAutoHyphens w:val="0"/>
              <w:spacing w:before="40" w:after="120" w:line="220" w:lineRule="exact"/>
              <w:ind w:right="113"/>
              <w:rPr>
                <w:rFonts w:eastAsia="Calibri"/>
                <w:spacing w:val="-2"/>
                <w:szCs w:val="18"/>
              </w:rPr>
            </w:pPr>
            <w:r w:rsidRPr="00243848">
              <w:rPr>
                <w:spacing w:val="-2"/>
                <w:lang w:val="fr-FR"/>
              </w:rPr>
              <w:t>Matières et objets de la classe 4.2, groupe d</w:t>
            </w:r>
            <w:r>
              <w:rPr>
                <w:spacing w:val="-2"/>
                <w:lang w:val="fr-FR"/>
              </w:rPr>
              <w:t>’</w:t>
            </w:r>
            <w:r w:rsidRPr="00243848">
              <w:rPr>
                <w:spacing w:val="-2"/>
                <w:lang w:val="fr-FR"/>
              </w:rPr>
              <w:t>emballage I</w:t>
            </w:r>
          </w:p>
        </w:tc>
        <w:tc>
          <w:tcPr>
            <w:tcW w:w="732" w:type="dxa"/>
            <w:tcBorders>
              <w:top w:val="single" w:sz="4" w:space="0" w:color="auto"/>
              <w:bottom w:val="single" w:sz="4" w:space="0" w:color="auto"/>
            </w:tcBorders>
            <w:shd w:val="clear" w:color="auto" w:fill="auto"/>
          </w:tcPr>
          <w:p w14:paraId="1A3EDC8F"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78A019B6"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31074B10"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52DA93DD" w14:textId="77777777" w:rsidTr="009805F3">
        <w:trPr>
          <w:trHeight w:val="57"/>
        </w:trPr>
        <w:tc>
          <w:tcPr>
            <w:tcW w:w="709" w:type="dxa"/>
            <w:vMerge/>
            <w:tcBorders>
              <w:top w:val="single" w:sz="4" w:space="0" w:color="auto"/>
              <w:bottom w:val="single" w:sz="4" w:space="0" w:color="auto"/>
            </w:tcBorders>
            <w:shd w:val="clear" w:color="auto" w:fill="auto"/>
          </w:tcPr>
          <w:p w14:paraId="058AC7BA"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381CEC22"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Toute autre matière et tout autre objet de la classe 4.2</w:t>
            </w:r>
          </w:p>
        </w:tc>
        <w:tc>
          <w:tcPr>
            <w:tcW w:w="732" w:type="dxa"/>
            <w:tcBorders>
              <w:top w:val="single" w:sz="4" w:space="0" w:color="auto"/>
              <w:bottom w:val="single" w:sz="4" w:space="0" w:color="auto"/>
            </w:tcBorders>
            <w:shd w:val="clear" w:color="auto" w:fill="auto"/>
          </w:tcPr>
          <w:p w14:paraId="489BABB8"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171783BE"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7C25D7F4"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447B61D2" w14:textId="77777777" w:rsidTr="009805F3">
        <w:trPr>
          <w:trHeight w:val="57"/>
        </w:trPr>
        <w:tc>
          <w:tcPr>
            <w:tcW w:w="709" w:type="dxa"/>
            <w:vMerge w:val="restart"/>
            <w:tcBorders>
              <w:top w:val="single" w:sz="4" w:space="0" w:color="auto"/>
              <w:bottom w:val="single" w:sz="4" w:space="0" w:color="auto"/>
            </w:tcBorders>
            <w:shd w:val="clear" w:color="auto" w:fill="auto"/>
          </w:tcPr>
          <w:p w14:paraId="2667789A"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4.3</w:t>
            </w:r>
          </w:p>
        </w:tc>
        <w:tc>
          <w:tcPr>
            <w:tcW w:w="4536" w:type="dxa"/>
            <w:gridSpan w:val="2"/>
            <w:tcBorders>
              <w:top w:val="single" w:sz="4" w:space="0" w:color="auto"/>
              <w:bottom w:val="single" w:sz="4" w:space="0" w:color="auto"/>
            </w:tcBorders>
            <w:shd w:val="clear" w:color="auto" w:fill="auto"/>
          </w:tcPr>
          <w:p w14:paraId="6A8A7453" w14:textId="77777777" w:rsidR="00FD6D3D" w:rsidRPr="00243848" w:rsidRDefault="00FD6D3D" w:rsidP="009805F3">
            <w:pPr>
              <w:suppressAutoHyphens w:val="0"/>
              <w:spacing w:before="40" w:after="120" w:line="220" w:lineRule="exact"/>
              <w:ind w:right="113"/>
              <w:rPr>
                <w:rFonts w:eastAsia="Calibri"/>
                <w:spacing w:val="-2"/>
                <w:szCs w:val="18"/>
              </w:rPr>
            </w:pPr>
            <w:r w:rsidRPr="00243848">
              <w:rPr>
                <w:spacing w:val="-2"/>
                <w:lang w:val="fr-FR"/>
              </w:rPr>
              <w:t>Matières et objets de la classe 4.3, groupe d</w:t>
            </w:r>
            <w:r>
              <w:rPr>
                <w:spacing w:val="-2"/>
                <w:lang w:val="fr-FR"/>
              </w:rPr>
              <w:t>’</w:t>
            </w:r>
            <w:r w:rsidRPr="00243848">
              <w:rPr>
                <w:spacing w:val="-2"/>
                <w:lang w:val="fr-FR"/>
              </w:rPr>
              <w:t>emballage I</w:t>
            </w:r>
          </w:p>
        </w:tc>
        <w:tc>
          <w:tcPr>
            <w:tcW w:w="732" w:type="dxa"/>
            <w:tcBorders>
              <w:top w:val="single" w:sz="4" w:space="0" w:color="auto"/>
              <w:bottom w:val="single" w:sz="4" w:space="0" w:color="auto"/>
            </w:tcBorders>
            <w:shd w:val="clear" w:color="auto" w:fill="auto"/>
          </w:tcPr>
          <w:p w14:paraId="5C9D7FD3"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213D9C2B"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539CE148"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7D0DF2EB" w14:textId="77777777" w:rsidTr="009805F3">
        <w:trPr>
          <w:trHeight w:val="57"/>
        </w:trPr>
        <w:tc>
          <w:tcPr>
            <w:tcW w:w="709" w:type="dxa"/>
            <w:vMerge/>
            <w:tcBorders>
              <w:top w:val="single" w:sz="4" w:space="0" w:color="auto"/>
              <w:bottom w:val="single" w:sz="4" w:space="0" w:color="auto"/>
            </w:tcBorders>
            <w:shd w:val="clear" w:color="auto" w:fill="auto"/>
          </w:tcPr>
          <w:p w14:paraId="4C6486E3"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479784E3"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Toute autre matière et tout autre objet de la classe 4.3</w:t>
            </w:r>
          </w:p>
        </w:tc>
        <w:tc>
          <w:tcPr>
            <w:tcW w:w="732" w:type="dxa"/>
            <w:tcBorders>
              <w:top w:val="single" w:sz="4" w:space="0" w:color="auto"/>
              <w:bottom w:val="single" w:sz="4" w:space="0" w:color="auto"/>
            </w:tcBorders>
            <w:shd w:val="clear" w:color="auto" w:fill="auto"/>
          </w:tcPr>
          <w:p w14:paraId="1AD1CAD0"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7D5E58F0"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2786E50D"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7683355F" w14:textId="77777777" w:rsidTr="009805F3">
        <w:trPr>
          <w:trHeight w:val="57"/>
        </w:trPr>
        <w:tc>
          <w:tcPr>
            <w:tcW w:w="709" w:type="dxa"/>
            <w:vMerge w:val="restart"/>
            <w:tcBorders>
              <w:top w:val="single" w:sz="4" w:space="0" w:color="auto"/>
              <w:bottom w:val="single" w:sz="4" w:space="0" w:color="auto"/>
            </w:tcBorders>
            <w:shd w:val="clear" w:color="auto" w:fill="auto"/>
          </w:tcPr>
          <w:p w14:paraId="1B2D215A"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5.1</w:t>
            </w:r>
          </w:p>
        </w:tc>
        <w:tc>
          <w:tcPr>
            <w:tcW w:w="4536" w:type="dxa"/>
            <w:gridSpan w:val="2"/>
            <w:tcBorders>
              <w:top w:val="single" w:sz="4" w:space="0" w:color="auto"/>
              <w:bottom w:val="single" w:sz="4" w:space="0" w:color="auto"/>
            </w:tcBorders>
            <w:shd w:val="clear" w:color="auto" w:fill="auto"/>
          </w:tcPr>
          <w:p w14:paraId="2D653677" w14:textId="77777777" w:rsidR="00FD6D3D" w:rsidRPr="00243848" w:rsidRDefault="00FD6D3D" w:rsidP="009805F3">
            <w:pPr>
              <w:suppressAutoHyphens w:val="0"/>
              <w:spacing w:before="40" w:after="120" w:line="220" w:lineRule="exact"/>
              <w:ind w:right="113"/>
              <w:rPr>
                <w:rFonts w:eastAsia="Calibri"/>
                <w:spacing w:val="-2"/>
                <w:szCs w:val="18"/>
              </w:rPr>
            </w:pPr>
            <w:r w:rsidRPr="00243848">
              <w:rPr>
                <w:spacing w:val="-2"/>
                <w:lang w:val="fr-FR"/>
              </w:rPr>
              <w:t>Matières et objets de la classe 5.1, groupe d</w:t>
            </w:r>
            <w:r>
              <w:rPr>
                <w:spacing w:val="-2"/>
                <w:lang w:val="fr-FR"/>
              </w:rPr>
              <w:t>’</w:t>
            </w:r>
            <w:r w:rsidRPr="00243848">
              <w:rPr>
                <w:spacing w:val="-2"/>
                <w:lang w:val="fr-FR"/>
              </w:rPr>
              <w:t>emballage I</w:t>
            </w:r>
          </w:p>
        </w:tc>
        <w:tc>
          <w:tcPr>
            <w:tcW w:w="732" w:type="dxa"/>
            <w:tcBorders>
              <w:top w:val="single" w:sz="4" w:space="0" w:color="auto"/>
              <w:bottom w:val="single" w:sz="4" w:space="0" w:color="auto"/>
            </w:tcBorders>
            <w:shd w:val="clear" w:color="auto" w:fill="auto"/>
          </w:tcPr>
          <w:p w14:paraId="1EE7329F"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268DCADD"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28AC569B"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31D1352A" w14:textId="77777777" w:rsidTr="009805F3">
        <w:trPr>
          <w:trHeight w:val="57"/>
        </w:trPr>
        <w:tc>
          <w:tcPr>
            <w:tcW w:w="709" w:type="dxa"/>
            <w:vMerge/>
            <w:tcBorders>
              <w:top w:val="single" w:sz="4" w:space="0" w:color="auto"/>
              <w:bottom w:val="single" w:sz="4" w:space="0" w:color="auto"/>
            </w:tcBorders>
            <w:shd w:val="clear" w:color="auto" w:fill="auto"/>
          </w:tcPr>
          <w:p w14:paraId="22A37F24"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755144D8"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Toute autre matière et tout autre objet de la classe 5.1</w:t>
            </w:r>
          </w:p>
        </w:tc>
        <w:tc>
          <w:tcPr>
            <w:tcW w:w="732" w:type="dxa"/>
            <w:tcBorders>
              <w:top w:val="single" w:sz="4" w:space="0" w:color="auto"/>
              <w:bottom w:val="single" w:sz="4" w:space="0" w:color="auto"/>
            </w:tcBorders>
            <w:shd w:val="clear" w:color="auto" w:fill="auto"/>
          </w:tcPr>
          <w:p w14:paraId="49CAF839"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0AA16FF6"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6E50EE41"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6ACBAD6A" w14:textId="77777777" w:rsidTr="009805F3">
        <w:trPr>
          <w:trHeight w:val="57"/>
        </w:trPr>
        <w:tc>
          <w:tcPr>
            <w:tcW w:w="709" w:type="dxa"/>
            <w:vMerge w:val="restart"/>
            <w:tcBorders>
              <w:top w:val="single" w:sz="4" w:space="0" w:color="auto"/>
              <w:bottom w:val="single" w:sz="4" w:space="0" w:color="auto"/>
            </w:tcBorders>
            <w:shd w:val="clear" w:color="auto" w:fill="auto"/>
          </w:tcPr>
          <w:p w14:paraId="41F16858"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5.2</w:t>
            </w:r>
          </w:p>
        </w:tc>
        <w:tc>
          <w:tcPr>
            <w:tcW w:w="4536" w:type="dxa"/>
            <w:gridSpan w:val="2"/>
            <w:tcBorders>
              <w:top w:val="single" w:sz="4" w:space="0" w:color="auto"/>
              <w:bottom w:val="single" w:sz="4" w:space="0" w:color="auto"/>
            </w:tcBorders>
            <w:shd w:val="clear" w:color="auto" w:fill="auto"/>
          </w:tcPr>
          <w:p w14:paraId="653CDADF"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Matières et objets de la classe 5.2 pour lesquels une étiquette de danger du modèle n</w:t>
            </w:r>
            <w:r w:rsidRPr="00A273F2">
              <w:rPr>
                <w:vertAlign w:val="superscript"/>
                <w:lang w:val="fr-FR"/>
              </w:rPr>
              <w:t>o</w:t>
            </w:r>
            <w:r w:rsidRPr="00A273F2">
              <w:rPr>
                <w:lang w:val="fr-FR"/>
              </w:rPr>
              <w:t> 1 est requise à la colonne (5) du tableau A du chapitre 3.2</w:t>
            </w:r>
          </w:p>
        </w:tc>
        <w:tc>
          <w:tcPr>
            <w:tcW w:w="732" w:type="dxa"/>
            <w:tcBorders>
              <w:top w:val="single" w:sz="4" w:space="0" w:color="auto"/>
              <w:bottom w:val="single" w:sz="4" w:space="0" w:color="auto"/>
            </w:tcBorders>
            <w:shd w:val="clear" w:color="auto" w:fill="auto"/>
          </w:tcPr>
          <w:p w14:paraId="6AA59438"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6D34282B" w14:textId="77777777" w:rsidR="00FD6D3D" w:rsidRPr="00A273F2"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vAlign w:val="center"/>
          </w:tcPr>
          <w:p w14:paraId="04F5F52F"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0</w:t>
            </w:r>
          </w:p>
        </w:tc>
      </w:tr>
      <w:tr w:rsidR="00FD6D3D" w:rsidRPr="00A66477" w14:paraId="2C018795" w14:textId="77777777" w:rsidTr="009805F3">
        <w:trPr>
          <w:trHeight w:val="57"/>
        </w:trPr>
        <w:tc>
          <w:tcPr>
            <w:tcW w:w="709" w:type="dxa"/>
            <w:vMerge/>
            <w:tcBorders>
              <w:top w:val="single" w:sz="4" w:space="0" w:color="auto"/>
              <w:bottom w:val="single" w:sz="4" w:space="0" w:color="auto"/>
            </w:tcBorders>
            <w:shd w:val="clear" w:color="auto" w:fill="auto"/>
          </w:tcPr>
          <w:p w14:paraId="22C8B532"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08DBF20B"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Toute autre matière et tout autre objet de la classe 5.2</w:t>
            </w:r>
          </w:p>
        </w:tc>
        <w:tc>
          <w:tcPr>
            <w:tcW w:w="732" w:type="dxa"/>
            <w:tcBorders>
              <w:top w:val="single" w:sz="4" w:space="0" w:color="auto"/>
              <w:bottom w:val="single" w:sz="4" w:space="0" w:color="auto"/>
            </w:tcBorders>
            <w:shd w:val="clear" w:color="auto" w:fill="auto"/>
          </w:tcPr>
          <w:p w14:paraId="78E15048"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76D1D483"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6AD29741"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687B6409" w14:textId="77777777" w:rsidTr="009805F3">
        <w:trPr>
          <w:trHeight w:val="57"/>
        </w:trPr>
        <w:tc>
          <w:tcPr>
            <w:tcW w:w="709" w:type="dxa"/>
            <w:vMerge w:val="restart"/>
            <w:tcBorders>
              <w:top w:val="single" w:sz="4" w:space="0" w:color="auto"/>
              <w:bottom w:val="single" w:sz="4" w:space="0" w:color="auto"/>
            </w:tcBorders>
            <w:shd w:val="clear" w:color="auto" w:fill="auto"/>
          </w:tcPr>
          <w:p w14:paraId="51BB396B"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6.1</w:t>
            </w:r>
          </w:p>
        </w:tc>
        <w:tc>
          <w:tcPr>
            <w:tcW w:w="4536" w:type="dxa"/>
            <w:gridSpan w:val="2"/>
            <w:tcBorders>
              <w:top w:val="single" w:sz="4" w:space="0" w:color="auto"/>
              <w:bottom w:val="single" w:sz="4" w:space="0" w:color="auto"/>
            </w:tcBorders>
            <w:shd w:val="clear" w:color="auto" w:fill="auto"/>
          </w:tcPr>
          <w:p w14:paraId="169692FE" w14:textId="77777777" w:rsidR="00FD6D3D" w:rsidRPr="00243848" w:rsidRDefault="00FD6D3D" w:rsidP="009805F3">
            <w:pPr>
              <w:suppressAutoHyphens w:val="0"/>
              <w:spacing w:before="40" w:after="120" w:line="220" w:lineRule="exact"/>
              <w:ind w:right="113"/>
              <w:rPr>
                <w:rFonts w:eastAsia="Calibri"/>
                <w:spacing w:val="-2"/>
                <w:szCs w:val="18"/>
              </w:rPr>
            </w:pPr>
            <w:r w:rsidRPr="00243848">
              <w:rPr>
                <w:spacing w:val="-2"/>
                <w:lang w:val="fr-FR"/>
              </w:rPr>
              <w:t>Matières et objets de la classe 6.1, groupe d</w:t>
            </w:r>
            <w:r>
              <w:rPr>
                <w:spacing w:val="-2"/>
                <w:lang w:val="fr-FR"/>
              </w:rPr>
              <w:t>’</w:t>
            </w:r>
            <w:r w:rsidRPr="00243848">
              <w:rPr>
                <w:spacing w:val="-2"/>
                <w:lang w:val="fr-FR"/>
              </w:rPr>
              <w:t>emballage I</w:t>
            </w:r>
          </w:p>
        </w:tc>
        <w:tc>
          <w:tcPr>
            <w:tcW w:w="732" w:type="dxa"/>
            <w:tcBorders>
              <w:top w:val="single" w:sz="4" w:space="0" w:color="auto"/>
              <w:bottom w:val="single" w:sz="4" w:space="0" w:color="auto"/>
            </w:tcBorders>
            <w:shd w:val="clear" w:color="auto" w:fill="auto"/>
          </w:tcPr>
          <w:p w14:paraId="2991DAF0"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5B88F9A9" w14:textId="77777777" w:rsidR="00FD6D3D" w:rsidRPr="00A273F2"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30DEA562"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0</w:t>
            </w:r>
          </w:p>
        </w:tc>
      </w:tr>
      <w:tr w:rsidR="00FD6D3D" w:rsidRPr="00A66477" w14:paraId="1AD65F2D" w14:textId="77777777" w:rsidTr="009805F3">
        <w:trPr>
          <w:trHeight w:val="57"/>
        </w:trPr>
        <w:tc>
          <w:tcPr>
            <w:tcW w:w="709" w:type="dxa"/>
            <w:vMerge/>
            <w:tcBorders>
              <w:top w:val="single" w:sz="4" w:space="0" w:color="auto"/>
              <w:bottom w:val="single" w:sz="4" w:space="0" w:color="auto"/>
            </w:tcBorders>
            <w:shd w:val="clear" w:color="auto" w:fill="auto"/>
          </w:tcPr>
          <w:p w14:paraId="60B99964"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4B3E6F4A"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Toute autre matière et tout autre objet de la classe 6.1</w:t>
            </w:r>
          </w:p>
        </w:tc>
        <w:tc>
          <w:tcPr>
            <w:tcW w:w="732" w:type="dxa"/>
            <w:tcBorders>
              <w:top w:val="single" w:sz="4" w:space="0" w:color="auto"/>
              <w:bottom w:val="single" w:sz="4" w:space="0" w:color="auto"/>
            </w:tcBorders>
            <w:shd w:val="clear" w:color="auto" w:fill="auto"/>
          </w:tcPr>
          <w:p w14:paraId="35403B2E"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7C2B309E"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1FF52698"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3E9BEFF7" w14:textId="77777777" w:rsidTr="009805F3">
        <w:trPr>
          <w:trHeight w:val="57"/>
        </w:trPr>
        <w:tc>
          <w:tcPr>
            <w:tcW w:w="709" w:type="dxa"/>
            <w:tcBorders>
              <w:top w:val="single" w:sz="4" w:space="0" w:color="auto"/>
              <w:bottom w:val="single" w:sz="4" w:space="0" w:color="auto"/>
            </w:tcBorders>
            <w:shd w:val="clear" w:color="auto" w:fill="auto"/>
          </w:tcPr>
          <w:p w14:paraId="2D0DFF8A"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6.2</w:t>
            </w:r>
          </w:p>
        </w:tc>
        <w:tc>
          <w:tcPr>
            <w:tcW w:w="4536" w:type="dxa"/>
            <w:gridSpan w:val="2"/>
            <w:tcBorders>
              <w:top w:val="single" w:sz="4" w:space="0" w:color="auto"/>
              <w:bottom w:val="single" w:sz="4" w:space="0" w:color="auto"/>
            </w:tcBorders>
            <w:shd w:val="clear" w:color="auto" w:fill="auto"/>
          </w:tcPr>
          <w:p w14:paraId="0D1121D6"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Matières et objets de la classe 6.2, catégorie A</w:t>
            </w:r>
          </w:p>
        </w:tc>
        <w:tc>
          <w:tcPr>
            <w:tcW w:w="732" w:type="dxa"/>
            <w:tcBorders>
              <w:top w:val="single" w:sz="4" w:space="0" w:color="auto"/>
              <w:bottom w:val="single" w:sz="4" w:space="0" w:color="auto"/>
            </w:tcBorders>
            <w:shd w:val="clear" w:color="auto" w:fill="auto"/>
          </w:tcPr>
          <w:p w14:paraId="654BB3E8" w14:textId="77777777" w:rsidR="00FD6D3D" w:rsidRPr="00A273F2"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2441A8B8" w14:textId="77777777" w:rsidR="00FD6D3D" w:rsidRPr="00A273F2"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05F261BB"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0</w:t>
            </w:r>
          </w:p>
        </w:tc>
      </w:tr>
      <w:tr w:rsidR="00FD6D3D" w:rsidRPr="00A66477" w14:paraId="4A6A954F" w14:textId="77777777" w:rsidTr="009805F3">
        <w:trPr>
          <w:trHeight w:val="57"/>
        </w:trPr>
        <w:tc>
          <w:tcPr>
            <w:tcW w:w="709" w:type="dxa"/>
            <w:tcBorders>
              <w:top w:val="single" w:sz="4" w:space="0" w:color="auto"/>
              <w:bottom w:val="single" w:sz="4" w:space="0" w:color="auto"/>
            </w:tcBorders>
            <w:shd w:val="clear" w:color="auto" w:fill="auto"/>
          </w:tcPr>
          <w:p w14:paraId="7F51B6EF"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7CE3F7B7" w14:textId="77777777" w:rsidR="00FD6D3D" w:rsidRPr="00A273F2" w:rsidRDefault="00FD6D3D" w:rsidP="009805F3">
            <w:pPr>
              <w:suppressAutoHyphens w:val="0"/>
              <w:spacing w:before="40" w:after="120" w:line="220" w:lineRule="exact"/>
              <w:ind w:right="113"/>
              <w:rPr>
                <w:rFonts w:eastAsia="Calibri"/>
                <w:szCs w:val="18"/>
              </w:rPr>
            </w:pPr>
            <w:r w:rsidRPr="00A273F2">
              <w:rPr>
                <w:lang w:val="fr-FR"/>
              </w:rPr>
              <w:t>Toute autre matière et tout autre objet de la classe 6.2</w:t>
            </w:r>
          </w:p>
        </w:tc>
        <w:tc>
          <w:tcPr>
            <w:tcW w:w="732" w:type="dxa"/>
            <w:tcBorders>
              <w:top w:val="single" w:sz="4" w:space="0" w:color="auto"/>
              <w:bottom w:val="single" w:sz="4" w:space="0" w:color="auto"/>
            </w:tcBorders>
            <w:shd w:val="clear" w:color="auto" w:fill="auto"/>
          </w:tcPr>
          <w:p w14:paraId="50A3224A"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1D673FA3"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1D010006"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61F550E5" w14:textId="77777777" w:rsidTr="009805F3">
        <w:trPr>
          <w:trHeight w:val="57"/>
        </w:trPr>
        <w:tc>
          <w:tcPr>
            <w:tcW w:w="709" w:type="dxa"/>
            <w:vMerge w:val="restart"/>
            <w:tcBorders>
              <w:top w:val="single" w:sz="4" w:space="0" w:color="auto"/>
              <w:bottom w:val="single" w:sz="4" w:space="0" w:color="auto"/>
            </w:tcBorders>
            <w:shd w:val="clear" w:color="auto" w:fill="auto"/>
          </w:tcPr>
          <w:p w14:paraId="75EEDB33" w14:textId="77777777" w:rsidR="00FD6D3D" w:rsidRPr="00A66477" w:rsidRDefault="00FD6D3D" w:rsidP="009805F3">
            <w:pPr>
              <w:keepNext/>
              <w:keepLines/>
              <w:suppressAutoHyphens w:val="0"/>
              <w:spacing w:before="40" w:after="120" w:line="220" w:lineRule="exact"/>
              <w:ind w:right="113"/>
              <w:rPr>
                <w:rFonts w:eastAsia="Calibri"/>
                <w:b/>
                <w:szCs w:val="18"/>
              </w:rPr>
            </w:pPr>
            <w:r w:rsidRPr="00A66477">
              <w:rPr>
                <w:rFonts w:eastAsia="Calibri"/>
                <w:b/>
                <w:szCs w:val="18"/>
              </w:rPr>
              <w:t>7</w:t>
            </w:r>
          </w:p>
        </w:tc>
        <w:tc>
          <w:tcPr>
            <w:tcW w:w="4536" w:type="dxa"/>
            <w:gridSpan w:val="2"/>
            <w:tcBorders>
              <w:top w:val="single" w:sz="4" w:space="0" w:color="auto"/>
              <w:bottom w:val="single" w:sz="4" w:space="0" w:color="auto"/>
            </w:tcBorders>
            <w:shd w:val="clear" w:color="auto" w:fill="auto"/>
          </w:tcPr>
          <w:p w14:paraId="675C3C1F" w14:textId="77777777" w:rsidR="00FD6D3D" w:rsidRPr="00A273F2" w:rsidRDefault="00FD6D3D" w:rsidP="009805F3">
            <w:pPr>
              <w:keepNext/>
              <w:keepLines/>
              <w:suppressAutoHyphens w:val="0"/>
              <w:spacing w:before="40" w:after="120" w:line="220" w:lineRule="exact"/>
              <w:ind w:right="113"/>
              <w:rPr>
                <w:rFonts w:eastAsia="Calibri"/>
                <w:szCs w:val="18"/>
              </w:rPr>
            </w:pPr>
            <w:r w:rsidRPr="00A273F2">
              <w:rPr>
                <w:lang w:val="fr-FR"/>
              </w:rPr>
              <w:t xml:space="preserve">Matières et objets de la classe 7 pour </w:t>
            </w:r>
            <w:r>
              <w:rPr>
                <w:lang w:val="fr-FR"/>
              </w:rPr>
              <w:br/>
            </w:r>
            <w:r w:rsidRPr="00A273F2">
              <w:rPr>
                <w:lang w:val="fr-FR"/>
              </w:rPr>
              <w:t>les numéros ONU 2908, 2909, 2910 et 2911</w:t>
            </w:r>
          </w:p>
        </w:tc>
        <w:tc>
          <w:tcPr>
            <w:tcW w:w="732" w:type="dxa"/>
            <w:tcBorders>
              <w:top w:val="single" w:sz="4" w:space="0" w:color="auto"/>
              <w:bottom w:val="single" w:sz="4" w:space="0" w:color="auto"/>
            </w:tcBorders>
            <w:shd w:val="clear" w:color="auto" w:fill="auto"/>
          </w:tcPr>
          <w:p w14:paraId="587B5032" w14:textId="77777777" w:rsidR="00FD6D3D" w:rsidRPr="00A66477" w:rsidRDefault="00FD6D3D" w:rsidP="009805F3">
            <w:pPr>
              <w:keepNext/>
              <w:keepLines/>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0DC06D54" w14:textId="77777777" w:rsidR="00FD6D3D" w:rsidRPr="00A66477" w:rsidRDefault="00FD6D3D" w:rsidP="009805F3">
            <w:pPr>
              <w:keepNext/>
              <w:keepLines/>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2A2ED6DB" w14:textId="77777777" w:rsidR="00FD6D3D" w:rsidRPr="00A66477" w:rsidRDefault="00FD6D3D" w:rsidP="009805F3">
            <w:pPr>
              <w:keepNext/>
              <w:keepLines/>
              <w:suppressAutoHyphens w:val="0"/>
              <w:spacing w:before="40" w:after="120" w:line="220" w:lineRule="exact"/>
              <w:ind w:right="113"/>
              <w:rPr>
                <w:rFonts w:eastAsia="Calibri"/>
                <w:szCs w:val="18"/>
              </w:rPr>
            </w:pPr>
          </w:p>
        </w:tc>
      </w:tr>
      <w:tr w:rsidR="00FD6D3D" w:rsidRPr="00A66477" w14:paraId="74E9C0B2" w14:textId="77777777" w:rsidTr="009805F3">
        <w:trPr>
          <w:trHeight w:val="57"/>
        </w:trPr>
        <w:tc>
          <w:tcPr>
            <w:tcW w:w="709" w:type="dxa"/>
            <w:vMerge/>
            <w:tcBorders>
              <w:top w:val="single" w:sz="4" w:space="0" w:color="auto"/>
              <w:bottom w:val="single" w:sz="4" w:space="0" w:color="auto"/>
            </w:tcBorders>
            <w:shd w:val="clear" w:color="auto" w:fill="auto"/>
          </w:tcPr>
          <w:p w14:paraId="1B2D4A05" w14:textId="77777777" w:rsidR="00FD6D3D" w:rsidRPr="00A66477" w:rsidRDefault="00FD6D3D" w:rsidP="009805F3">
            <w:pPr>
              <w:keepNext/>
              <w:keepLines/>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337D59B7" w14:textId="77777777" w:rsidR="00FD6D3D" w:rsidRPr="00243848" w:rsidRDefault="00FD6D3D" w:rsidP="009805F3">
            <w:pPr>
              <w:keepNext/>
              <w:keepLines/>
              <w:suppressAutoHyphens w:val="0"/>
              <w:spacing w:before="40" w:after="120" w:line="220" w:lineRule="exact"/>
              <w:ind w:right="113"/>
              <w:rPr>
                <w:rFonts w:eastAsia="Calibri"/>
                <w:szCs w:val="18"/>
              </w:rPr>
            </w:pPr>
            <w:r w:rsidRPr="00A273F2">
              <w:rPr>
                <w:lang w:val="fr-FR"/>
              </w:rPr>
              <w:t>Toute autre matière et tout autre objet de la classe 7</w:t>
            </w:r>
          </w:p>
        </w:tc>
        <w:tc>
          <w:tcPr>
            <w:tcW w:w="732" w:type="dxa"/>
            <w:tcBorders>
              <w:top w:val="single" w:sz="4" w:space="0" w:color="auto"/>
              <w:bottom w:val="single" w:sz="4" w:space="0" w:color="auto"/>
            </w:tcBorders>
            <w:shd w:val="clear" w:color="auto" w:fill="auto"/>
          </w:tcPr>
          <w:p w14:paraId="6AE78849" w14:textId="77777777" w:rsidR="00FD6D3D" w:rsidRPr="00243848" w:rsidRDefault="00FD6D3D" w:rsidP="009805F3">
            <w:pPr>
              <w:keepNext/>
              <w:keepLines/>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4F644B4F" w14:textId="77777777" w:rsidR="00FD6D3D" w:rsidRPr="00243848" w:rsidRDefault="00FD6D3D" w:rsidP="009805F3">
            <w:pPr>
              <w:keepNext/>
              <w:keepLines/>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55A9FA07" w14:textId="77777777" w:rsidR="00FD6D3D" w:rsidRPr="00A66477" w:rsidRDefault="00FD6D3D" w:rsidP="009805F3">
            <w:pPr>
              <w:keepNext/>
              <w:keepLines/>
              <w:suppressAutoHyphens w:val="0"/>
              <w:spacing w:before="40" w:after="120" w:line="220" w:lineRule="exact"/>
              <w:ind w:right="113"/>
              <w:rPr>
                <w:rFonts w:eastAsia="Calibri"/>
                <w:szCs w:val="18"/>
              </w:rPr>
            </w:pPr>
            <w:r w:rsidRPr="00A66477">
              <w:rPr>
                <w:rFonts w:eastAsia="Calibri"/>
                <w:szCs w:val="18"/>
              </w:rPr>
              <w:t>0</w:t>
            </w:r>
          </w:p>
        </w:tc>
      </w:tr>
      <w:tr w:rsidR="00FD6D3D" w:rsidRPr="00A66477" w14:paraId="43FFD254" w14:textId="77777777" w:rsidTr="009805F3">
        <w:trPr>
          <w:trHeight w:val="57"/>
        </w:trPr>
        <w:tc>
          <w:tcPr>
            <w:tcW w:w="709" w:type="dxa"/>
            <w:vMerge w:val="restart"/>
            <w:tcBorders>
              <w:top w:val="single" w:sz="4" w:space="0" w:color="auto"/>
              <w:bottom w:val="single" w:sz="4" w:space="0" w:color="auto"/>
            </w:tcBorders>
            <w:shd w:val="clear" w:color="auto" w:fill="auto"/>
          </w:tcPr>
          <w:p w14:paraId="46926AEB"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8</w:t>
            </w:r>
          </w:p>
        </w:tc>
        <w:tc>
          <w:tcPr>
            <w:tcW w:w="4536" w:type="dxa"/>
            <w:gridSpan w:val="2"/>
            <w:tcBorders>
              <w:top w:val="single" w:sz="4" w:space="0" w:color="auto"/>
              <w:bottom w:val="single" w:sz="4" w:space="0" w:color="auto"/>
            </w:tcBorders>
            <w:shd w:val="clear" w:color="auto" w:fill="auto"/>
          </w:tcPr>
          <w:p w14:paraId="7A1C95C1" w14:textId="77777777" w:rsidR="00FD6D3D" w:rsidRPr="00243848" w:rsidRDefault="00FD6D3D" w:rsidP="009805F3">
            <w:pPr>
              <w:suppressAutoHyphens w:val="0"/>
              <w:spacing w:before="40" w:after="120" w:line="220" w:lineRule="exact"/>
              <w:ind w:right="113"/>
              <w:rPr>
                <w:rFonts w:eastAsia="Calibri"/>
                <w:szCs w:val="18"/>
              </w:rPr>
            </w:pPr>
            <w:r w:rsidRPr="00A273F2">
              <w:rPr>
                <w:lang w:val="fr-FR"/>
              </w:rPr>
              <w:t>Matières et objets de la classe 8, groupe d</w:t>
            </w:r>
            <w:r>
              <w:rPr>
                <w:lang w:val="fr-FR"/>
              </w:rPr>
              <w:t>’</w:t>
            </w:r>
            <w:r w:rsidRPr="00A273F2">
              <w:rPr>
                <w:lang w:val="fr-FR"/>
              </w:rPr>
              <w:t>emballage I</w:t>
            </w:r>
          </w:p>
        </w:tc>
        <w:tc>
          <w:tcPr>
            <w:tcW w:w="732" w:type="dxa"/>
            <w:tcBorders>
              <w:top w:val="single" w:sz="4" w:space="0" w:color="auto"/>
              <w:bottom w:val="single" w:sz="4" w:space="0" w:color="auto"/>
            </w:tcBorders>
            <w:shd w:val="clear" w:color="auto" w:fill="auto"/>
          </w:tcPr>
          <w:p w14:paraId="35AA0BE5" w14:textId="77777777" w:rsidR="00FD6D3D" w:rsidRPr="00243848" w:rsidRDefault="00FD6D3D" w:rsidP="009805F3">
            <w:pPr>
              <w:suppressAutoHyphens w:val="0"/>
              <w:spacing w:before="40" w:after="120" w:line="220" w:lineRule="exact"/>
              <w:ind w:right="113"/>
              <w:rPr>
                <w:rFonts w:eastAsia="Calibri"/>
                <w:szCs w:val="18"/>
              </w:rPr>
            </w:pPr>
          </w:p>
        </w:tc>
        <w:tc>
          <w:tcPr>
            <w:tcW w:w="756" w:type="dxa"/>
            <w:tcBorders>
              <w:top w:val="single" w:sz="4" w:space="0" w:color="auto"/>
              <w:bottom w:val="single" w:sz="4" w:space="0" w:color="auto"/>
            </w:tcBorders>
            <w:shd w:val="clear" w:color="auto" w:fill="auto"/>
          </w:tcPr>
          <w:p w14:paraId="5797108E"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300</w:t>
            </w:r>
          </w:p>
        </w:tc>
        <w:tc>
          <w:tcPr>
            <w:tcW w:w="658" w:type="dxa"/>
            <w:tcBorders>
              <w:top w:val="single" w:sz="4" w:space="0" w:color="auto"/>
              <w:bottom w:val="single" w:sz="4" w:space="0" w:color="auto"/>
            </w:tcBorders>
            <w:shd w:val="clear" w:color="auto" w:fill="auto"/>
          </w:tcPr>
          <w:p w14:paraId="5962F28C"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48F9C032" w14:textId="77777777" w:rsidTr="009805F3">
        <w:trPr>
          <w:trHeight w:val="57"/>
        </w:trPr>
        <w:tc>
          <w:tcPr>
            <w:tcW w:w="709" w:type="dxa"/>
            <w:vMerge/>
            <w:tcBorders>
              <w:top w:val="single" w:sz="4" w:space="0" w:color="auto"/>
              <w:bottom w:val="single" w:sz="4" w:space="0" w:color="auto"/>
            </w:tcBorders>
            <w:shd w:val="clear" w:color="auto" w:fill="auto"/>
          </w:tcPr>
          <w:p w14:paraId="4834C8D1" w14:textId="77777777" w:rsidR="00FD6D3D" w:rsidRPr="00A66477" w:rsidRDefault="00FD6D3D" w:rsidP="009805F3">
            <w:pPr>
              <w:suppressAutoHyphens w:val="0"/>
              <w:spacing w:before="40" w:after="120" w:line="220" w:lineRule="exact"/>
              <w:ind w:right="113"/>
              <w:rPr>
                <w:rFonts w:eastAsia="Calibri"/>
                <w:b/>
                <w:szCs w:val="18"/>
              </w:rPr>
            </w:pPr>
          </w:p>
        </w:tc>
        <w:tc>
          <w:tcPr>
            <w:tcW w:w="4536" w:type="dxa"/>
            <w:gridSpan w:val="2"/>
            <w:tcBorders>
              <w:top w:val="single" w:sz="4" w:space="0" w:color="auto"/>
              <w:bottom w:val="single" w:sz="4" w:space="0" w:color="auto"/>
            </w:tcBorders>
            <w:shd w:val="clear" w:color="auto" w:fill="auto"/>
          </w:tcPr>
          <w:p w14:paraId="2C08CDC6" w14:textId="77777777" w:rsidR="00FD6D3D" w:rsidRPr="00243848" w:rsidRDefault="00FD6D3D" w:rsidP="009805F3">
            <w:pPr>
              <w:suppressAutoHyphens w:val="0"/>
              <w:spacing w:before="40" w:after="120" w:line="220" w:lineRule="exact"/>
              <w:ind w:right="113"/>
              <w:rPr>
                <w:rFonts w:eastAsia="Calibri"/>
                <w:szCs w:val="18"/>
              </w:rPr>
            </w:pPr>
            <w:r w:rsidRPr="00A273F2">
              <w:rPr>
                <w:lang w:val="fr-FR"/>
              </w:rPr>
              <w:t>Toute autre matière et tout autre objet de la classe 8</w:t>
            </w:r>
          </w:p>
        </w:tc>
        <w:tc>
          <w:tcPr>
            <w:tcW w:w="732" w:type="dxa"/>
            <w:tcBorders>
              <w:top w:val="single" w:sz="4" w:space="0" w:color="auto"/>
              <w:bottom w:val="single" w:sz="4" w:space="0" w:color="auto"/>
            </w:tcBorders>
            <w:shd w:val="clear" w:color="auto" w:fill="auto"/>
          </w:tcPr>
          <w:p w14:paraId="68CAE238"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bottom w:val="single" w:sz="4" w:space="0" w:color="auto"/>
            </w:tcBorders>
            <w:shd w:val="clear" w:color="auto" w:fill="auto"/>
          </w:tcPr>
          <w:p w14:paraId="4A556E83"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bottom w:val="single" w:sz="4" w:space="0" w:color="auto"/>
            </w:tcBorders>
            <w:shd w:val="clear" w:color="auto" w:fill="auto"/>
          </w:tcPr>
          <w:p w14:paraId="4A7D6E35" w14:textId="77777777" w:rsidR="00FD6D3D" w:rsidRPr="00A66477" w:rsidRDefault="00FD6D3D" w:rsidP="009805F3">
            <w:pPr>
              <w:suppressAutoHyphens w:val="0"/>
              <w:spacing w:before="40" w:after="120" w:line="220" w:lineRule="exact"/>
              <w:ind w:right="113"/>
              <w:rPr>
                <w:rFonts w:eastAsia="Calibri"/>
                <w:szCs w:val="18"/>
              </w:rPr>
            </w:pPr>
          </w:p>
        </w:tc>
      </w:tr>
      <w:tr w:rsidR="00FD6D3D" w:rsidRPr="00A66477" w14:paraId="65996D33" w14:textId="77777777" w:rsidTr="009805F3">
        <w:trPr>
          <w:trHeight w:val="57"/>
        </w:trPr>
        <w:tc>
          <w:tcPr>
            <w:tcW w:w="709" w:type="dxa"/>
            <w:tcBorders>
              <w:top w:val="single" w:sz="4" w:space="0" w:color="auto"/>
            </w:tcBorders>
            <w:shd w:val="clear" w:color="auto" w:fill="auto"/>
          </w:tcPr>
          <w:p w14:paraId="304F08F2" w14:textId="77777777" w:rsidR="00FD6D3D" w:rsidRPr="00A66477" w:rsidRDefault="00FD6D3D" w:rsidP="009805F3">
            <w:pPr>
              <w:suppressAutoHyphens w:val="0"/>
              <w:spacing w:before="40" w:after="120" w:line="220" w:lineRule="exact"/>
              <w:ind w:right="113"/>
              <w:rPr>
                <w:rFonts w:eastAsia="Calibri"/>
                <w:b/>
                <w:szCs w:val="18"/>
              </w:rPr>
            </w:pPr>
            <w:r w:rsidRPr="00A66477">
              <w:rPr>
                <w:rFonts w:eastAsia="Calibri"/>
                <w:b/>
                <w:szCs w:val="18"/>
              </w:rPr>
              <w:t>9</w:t>
            </w:r>
          </w:p>
        </w:tc>
        <w:tc>
          <w:tcPr>
            <w:tcW w:w="4536" w:type="dxa"/>
            <w:gridSpan w:val="2"/>
            <w:tcBorders>
              <w:top w:val="single" w:sz="4" w:space="0" w:color="auto"/>
            </w:tcBorders>
            <w:shd w:val="clear" w:color="auto" w:fill="auto"/>
          </w:tcPr>
          <w:p w14:paraId="6316EA07" w14:textId="77777777" w:rsidR="00FD6D3D" w:rsidRPr="00243848" w:rsidRDefault="00FD6D3D" w:rsidP="009805F3">
            <w:pPr>
              <w:suppressAutoHyphens w:val="0"/>
              <w:spacing w:before="40" w:after="120" w:line="220" w:lineRule="exact"/>
              <w:ind w:right="113"/>
              <w:rPr>
                <w:rFonts w:eastAsia="Calibri"/>
                <w:szCs w:val="18"/>
              </w:rPr>
            </w:pPr>
            <w:r w:rsidRPr="00A273F2">
              <w:rPr>
                <w:lang w:val="fr-FR"/>
              </w:rPr>
              <w:t>Toutes les matières et tous les objets de la classe 9</w:t>
            </w:r>
          </w:p>
        </w:tc>
        <w:tc>
          <w:tcPr>
            <w:tcW w:w="732" w:type="dxa"/>
            <w:tcBorders>
              <w:top w:val="single" w:sz="4" w:space="0" w:color="auto"/>
            </w:tcBorders>
            <w:shd w:val="clear" w:color="auto" w:fill="auto"/>
          </w:tcPr>
          <w:p w14:paraId="011CFEA4" w14:textId="77777777" w:rsidR="00FD6D3D" w:rsidRPr="00A66477" w:rsidRDefault="00FD6D3D" w:rsidP="009805F3">
            <w:pPr>
              <w:suppressAutoHyphens w:val="0"/>
              <w:spacing w:before="40" w:after="120" w:line="220" w:lineRule="exact"/>
              <w:ind w:right="113"/>
              <w:rPr>
                <w:rFonts w:eastAsia="Calibri"/>
                <w:szCs w:val="18"/>
              </w:rPr>
            </w:pPr>
            <w:r w:rsidRPr="00A66477">
              <w:rPr>
                <w:rFonts w:eastAsia="Calibri"/>
                <w:szCs w:val="18"/>
              </w:rPr>
              <w:t>3</w:t>
            </w:r>
            <w:r>
              <w:rPr>
                <w:rFonts w:eastAsia="Calibri"/>
                <w:szCs w:val="18"/>
              </w:rPr>
              <w:t xml:space="preserve"> </w:t>
            </w:r>
            <w:r w:rsidRPr="00A66477">
              <w:rPr>
                <w:rFonts w:eastAsia="Calibri"/>
                <w:szCs w:val="18"/>
              </w:rPr>
              <w:t>000</w:t>
            </w:r>
          </w:p>
        </w:tc>
        <w:tc>
          <w:tcPr>
            <w:tcW w:w="756" w:type="dxa"/>
            <w:tcBorders>
              <w:top w:val="single" w:sz="4" w:space="0" w:color="auto"/>
            </w:tcBorders>
            <w:shd w:val="clear" w:color="auto" w:fill="auto"/>
          </w:tcPr>
          <w:p w14:paraId="506182DD" w14:textId="77777777" w:rsidR="00FD6D3D" w:rsidRPr="00A66477" w:rsidRDefault="00FD6D3D" w:rsidP="009805F3">
            <w:pPr>
              <w:suppressAutoHyphens w:val="0"/>
              <w:spacing w:before="40" w:after="120" w:line="220" w:lineRule="exact"/>
              <w:ind w:right="113"/>
              <w:rPr>
                <w:rFonts w:eastAsia="Calibri"/>
                <w:szCs w:val="18"/>
              </w:rPr>
            </w:pPr>
          </w:p>
        </w:tc>
        <w:tc>
          <w:tcPr>
            <w:tcW w:w="658" w:type="dxa"/>
            <w:tcBorders>
              <w:top w:val="single" w:sz="4" w:space="0" w:color="auto"/>
            </w:tcBorders>
            <w:shd w:val="clear" w:color="auto" w:fill="auto"/>
          </w:tcPr>
          <w:p w14:paraId="47E63559" w14:textId="77777777" w:rsidR="00FD6D3D" w:rsidRPr="00A66477" w:rsidRDefault="00FD6D3D" w:rsidP="009805F3">
            <w:pPr>
              <w:suppressAutoHyphens w:val="0"/>
              <w:spacing w:before="40" w:after="120" w:line="220" w:lineRule="exact"/>
              <w:ind w:right="113"/>
              <w:rPr>
                <w:rFonts w:eastAsia="Calibri"/>
                <w:szCs w:val="18"/>
              </w:rPr>
            </w:pPr>
          </w:p>
        </w:tc>
      </w:tr>
    </w:tbl>
    <w:p w14:paraId="49FF1D83" w14:textId="77777777" w:rsidR="00FD6D3D" w:rsidRDefault="00FD6D3D" w:rsidP="00FD6D3D">
      <w:pPr>
        <w:pStyle w:val="SingleTxtG"/>
        <w:jc w:val="right"/>
        <w:rPr>
          <w:i/>
          <w:spacing w:val="-3"/>
          <w:lang w:val="fr-FR"/>
        </w:rPr>
      </w:pPr>
      <w:r>
        <w:rPr>
          <w:i/>
          <w:spacing w:val="-3"/>
          <w:lang w:val="fr-FR"/>
        </w:rPr>
        <w:t> </w:t>
      </w:r>
      <w:r w:rsidRPr="00243848">
        <w:rPr>
          <w:spacing w:val="-3"/>
          <w:lang w:val="fr-FR"/>
        </w:rPr>
        <w:t>»</w:t>
      </w:r>
      <w:r>
        <w:rPr>
          <w:spacing w:val="-3"/>
          <w:lang w:val="fr-FR"/>
        </w:rPr>
        <w:t>.</w:t>
      </w:r>
    </w:p>
    <w:p w14:paraId="5B1BF837" w14:textId="77777777" w:rsidR="00FD6D3D" w:rsidRPr="00243848" w:rsidRDefault="00FD6D3D" w:rsidP="00FD6D3D">
      <w:pPr>
        <w:pStyle w:val="SingleTxtG"/>
        <w:rPr>
          <w:i/>
          <w:spacing w:val="-3"/>
        </w:rPr>
      </w:pPr>
      <w:r w:rsidRPr="00243848">
        <w:rPr>
          <w:i/>
          <w:spacing w:val="-3"/>
          <w:lang w:val="fr-FR"/>
        </w:rPr>
        <w:t>(Documents de référence</w:t>
      </w:r>
      <w:r>
        <w:rPr>
          <w:i/>
          <w:spacing w:val="-3"/>
          <w:lang w:val="fr-FR"/>
        </w:rPr>
        <w:t> </w:t>
      </w:r>
      <w:r w:rsidRPr="00243848">
        <w:rPr>
          <w:i/>
          <w:spacing w:val="-3"/>
          <w:lang w:val="fr-FR"/>
        </w:rPr>
        <w:t>: ECE/TRANS/WP.15/AC.2/2019/23 et ECE/TRANS/WP.15/AC.2/70)</w:t>
      </w:r>
    </w:p>
    <w:p w14:paraId="5B0E36B6" w14:textId="77777777" w:rsidR="00FD6D3D" w:rsidRPr="000E53B5" w:rsidRDefault="00FD6D3D" w:rsidP="00FD6D3D">
      <w:pPr>
        <w:pStyle w:val="SingleTxtG"/>
        <w:keepNext/>
      </w:pPr>
      <w:r w:rsidRPr="000E53B5">
        <w:rPr>
          <w:lang w:val="fr-FR"/>
        </w:rPr>
        <w:t>1.1.3.6.2</w:t>
      </w:r>
      <w:r w:rsidRPr="000E53B5">
        <w:rPr>
          <w:lang w:val="fr-FR"/>
        </w:rPr>
        <w:tab/>
      </w:r>
      <w:r>
        <w:rPr>
          <w:lang w:val="fr-FR"/>
        </w:rPr>
        <w:t>Procéder aux modifications suivantes </w:t>
      </w:r>
      <w:r w:rsidRPr="000E53B5">
        <w:rPr>
          <w:lang w:val="fr-FR"/>
        </w:rPr>
        <w:t>:</w:t>
      </w:r>
    </w:p>
    <w:p w14:paraId="4B55D110" w14:textId="77777777" w:rsidR="00FD6D3D" w:rsidRPr="000E53B5" w:rsidRDefault="00FD6D3D" w:rsidP="00FD6D3D">
      <w:pPr>
        <w:pStyle w:val="SingleTxtG"/>
        <w:keepNext/>
        <w:ind w:left="2268"/>
      </w:pPr>
      <w:r w:rsidRPr="00243848">
        <w:rPr>
          <w:i/>
          <w:lang w:val="fr-FR"/>
        </w:rPr>
        <w:t>Créer un alinéa b)</w:t>
      </w:r>
      <w:r>
        <w:rPr>
          <w:lang w:val="fr-FR"/>
        </w:rPr>
        <w:t>, comme suit</w:t>
      </w:r>
      <w:r w:rsidRPr="000E53B5">
        <w:rPr>
          <w:lang w:val="fr-FR"/>
        </w:rPr>
        <w:t> :</w:t>
      </w:r>
    </w:p>
    <w:p w14:paraId="364230B3" w14:textId="77777777" w:rsidR="00FD6D3D" w:rsidRPr="000E53B5" w:rsidRDefault="00FD6D3D" w:rsidP="00FD6D3D">
      <w:pPr>
        <w:pStyle w:val="SingleTxtG"/>
        <w:keepNext/>
        <w:ind w:left="2268"/>
      </w:pPr>
      <w:r>
        <w:rPr>
          <w:lang w:val="fr-FR"/>
        </w:rPr>
        <w:t>« </w:t>
      </w:r>
      <w:proofErr w:type="gramStart"/>
      <w:r w:rsidRPr="000E53B5">
        <w:rPr>
          <w:lang w:val="fr-FR"/>
        </w:rPr>
        <w:t>b</w:t>
      </w:r>
      <w:proofErr w:type="gramEnd"/>
      <w:r w:rsidRPr="000E53B5">
        <w:rPr>
          <w:lang w:val="fr-FR"/>
        </w:rPr>
        <w:t>)</w:t>
      </w:r>
      <w:r w:rsidRPr="000E53B5">
        <w:rPr>
          <w:lang w:val="fr-FR"/>
        </w:rPr>
        <w:tab/>
        <w:t>Les prescriptions des sections 1.10.1, 1.10.2 et 1.10.3 s</w:t>
      </w:r>
      <w:r>
        <w:rPr>
          <w:lang w:val="fr-FR"/>
        </w:rPr>
        <w:t>’</w:t>
      </w:r>
      <w:r w:rsidRPr="000E53B5">
        <w:rPr>
          <w:lang w:val="fr-FR"/>
        </w:rPr>
        <w:t>appliquent aux colis portant les n</w:t>
      </w:r>
      <w:r w:rsidRPr="000E53B5">
        <w:rPr>
          <w:vertAlign w:val="superscript"/>
          <w:lang w:val="fr-FR"/>
        </w:rPr>
        <w:t>os</w:t>
      </w:r>
      <w:r w:rsidRPr="000E53B5">
        <w:rPr>
          <w:lang w:val="fr-FR"/>
        </w:rPr>
        <w:t xml:space="preserve"> ONU 2910 et 2911 de la classe 7 si le niveau d</w:t>
      </w:r>
      <w:r>
        <w:rPr>
          <w:lang w:val="fr-FR"/>
        </w:rPr>
        <w:t>’</w:t>
      </w:r>
      <w:r w:rsidRPr="000E53B5">
        <w:rPr>
          <w:lang w:val="fr-FR"/>
        </w:rPr>
        <w:t>activité (par colis) dépasse la valeur A</w:t>
      </w:r>
      <w:r w:rsidRPr="000E53B5">
        <w:rPr>
          <w:vertAlign w:val="subscript"/>
          <w:lang w:val="fr-FR"/>
        </w:rPr>
        <w:t>2</w:t>
      </w:r>
      <w:r w:rsidRPr="000E53B5">
        <w:rPr>
          <w:lang w:val="fr-FR"/>
        </w:rPr>
        <w:t>.</w:t>
      </w:r>
      <w:r>
        <w:rPr>
          <w:lang w:val="fr-FR"/>
        </w:rPr>
        <w:t> ».</w:t>
      </w:r>
    </w:p>
    <w:p w14:paraId="24530D5C" w14:textId="77777777" w:rsidR="00FD6D3D" w:rsidRPr="000E53B5" w:rsidRDefault="00FD6D3D" w:rsidP="00FD6D3D">
      <w:pPr>
        <w:pStyle w:val="SingleTxtG"/>
        <w:ind w:left="2268"/>
      </w:pPr>
      <w:r w:rsidRPr="000E53B5">
        <w:rPr>
          <w:lang w:val="fr-FR"/>
        </w:rPr>
        <w:t xml:space="preserve">Renuméroter les </w:t>
      </w:r>
      <w:r>
        <w:rPr>
          <w:lang w:val="fr-FR"/>
        </w:rPr>
        <w:t>alinéas</w:t>
      </w:r>
      <w:r w:rsidRPr="000E53B5">
        <w:rPr>
          <w:lang w:val="fr-FR"/>
        </w:rPr>
        <w:t xml:space="preserve"> suivant</w:t>
      </w:r>
      <w:r>
        <w:rPr>
          <w:lang w:val="fr-FR"/>
        </w:rPr>
        <w:t>s</w:t>
      </w:r>
      <w:r w:rsidRPr="000E53B5">
        <w:rPr>
          <w:lang w:val="fr-FR"/>
        </w:rPr>
        <w:t xml:space="preserve"> en conséquence.</w:t>
      </w:r>
    </w:p>
    <w:p w14:paraId="21343D18" w14:textId="77777777" w:rsidR="00FD6D3D" w:rsidRPr="000E53B5" w:rsidRDefault="00FD6D3D" w:rsidP="00FD6D3D">
      <w:pPr>
        <w:pStyle w:val="SingleTxtG"/>
        <w:ind w:left="2268"/>
      </w:pPr>
      <w:r w:rsidRPr="00945879">
        <w:rPr>
          <w:i/>
          <w:lang w:val="fr-FR"/>
        </w:rPr>
        <w:t>À l</w:t>
      </w:r>
      <w:r>
        <w:rPr>
          <w:i/>
          <w:lang w:val="fr-FR"/>
        </w:rPr>
        <w:t>’</w:t>
      </w:r>
      <w:r w:rsidRPr="00945879">
        <w:rPr>
          <w:i/>
          <w:lang w:val="fr-FR"/>
        </w:rPr>
        <w:t>alinéa g) (anciennement f))</w:t>
      </w:r>
      <w:r>
        <w:rPr>
          <w:lang w:val="fr-FR"/>
        </w:rPr>
        <w:t>, r</w:t>
      </w:r>
      <w:r w:rsidRPr="000E53B5">
        <w:rPr>
          <w:lang w:val="fr-FR"/>
        </w:rPr>
        <w:t>emplacer «</w:t>
      </w:r>
      <w:r>
        <w:rPr>
          <w:lang w:val="fr-FR"/>
        </w:rPr>
        <w:t> </w:t>
      </w:r>
      <w:r w:rsidRPr="000E53B5">
        <w:rPr>
          <w:lang w:val="fr-FR"/>
        </w:rPr>
        <w:t>sous d) et e)</w:t>
      </w:r>
      <w:r>
        <w:rPr>
          <w:lang w:val="fr-FR"/>
        </w:rPr>
        <w:t> </w:t>
      </w:r>
      <w:r w:rsidRPr="000E53B5">
        <w:rPr>
          <w:lang w:val="fr-FR"/>
        </w:rPr>
        <w:t>» par «</w:t>
      </w:r>
      <w:r>
        <w:rPr>
          <w:lang w:val="fr-FR"/>
        </w:rPr>
        <w:t> </w:t>
      </w:r>
      <w:r w:rsidRPr="000E53B5">
        <w:rPr>
          <w:lang w:val="fr-FR"/>
        </w:rPr>
        <w:t>sous e) et f)</w:t>
      </w:r>
      <w:r>
        <w:rPr>
          <w:lang w:val="fr-FR"/>
        </w:rPr>
        <w:t> </w:t>
      </w:r>
      <w:r w:rsidRPr="000E53B5">
        <w:rPr>
          <w:lang w:val="fr-FR"/>
        </w:rPr>
        <w:t>».</w:t>
      </w:r>
    </w:p>
    <w:p w14:paraId="6C187DCF" w14:textId="77777777" w:rsidR="00FD6D3D" w:rsidRPr="000E53B5" w:rsidRDefault="00FD6D3D" w:rsidP="00FD6D3D">
      <w:pPr>
        <w:pStyle w:val="SingleTxtG"/>
        <w:rPr>
          <w:rFonts w:eastAsia="MS Mincho"/>
        </w:rPr>
      </w:pPr>
      <w:r w:rsidRPr="000E53B5">
        <w:rPr>
          <w:i/>
          <w:iCs/>
          <w:lang w:val="fr-FR"/>
        </w:rPr>
        <w:t>(Document de référence</w:t>
      </w:r>
      <w:r>
        <w:rPr>
          <w:i/>
          <w:iCs/>
          <w:lang w:val="fr-FR"/>
        </w:rPr>
        <w:t> </w:t>
      </w:r>
      <w:r w:rsidRPr="000E53B5">
        <w:rPr>
          <w:i/>
          <w:iCs/>
          <w:lang w:val="fr-FR"/>
        </w:rPr>
        <w:t>: ECE/TRANS/WP.15/AC.2/</w:t>
      </w:r>
      <w:r w:rsidRPr="00243848">
        <w:rPr>
          <w:i/>
          <w:spacing w:val="-3"/>
          <w:lang w:val="fr-FR"/>
        </w:rPr>
        <w:t>2019</w:t>
      </w:r>
      <w:r w:rsidRPr="000E53B5">
        <w:rPr>
          <w:i/>
          <w:iCs/>
          <w:lang w:val="fr-FR"/>
        </w:rPr>
        <w:t>/19)</w:t>
      </w:r>
    </w:p>
    <w:p w14:paraId="029F61F8" w14:textId="77777777" w:rsidR="00FD6D3D" w:rsidRPr="000E53B5" w:rsidRDefault="00FD6D3D" w:rsidP="00FD6D3D">
      <w:pPr>
        <w:pStyle w:val="H23G"/>
        <w:rPr>
          <w:rStyle w:val="Emphasis"/>
        </w:rPr>
      </w:pPr>
      <w:r w:rsidRPr="000E53B5">
        <w:rPr>
          <w:lang w:val="fr-FR"/>
        </w:rPr>
        <w:tab/>
      </w:r>
      <w:r w:rsidRPr="000E53B5">
        <w:rPr>
          <w:lang w:val="fr-FR"/>
        </w:rPr>
        <w:tab/>
        <w:t>Chapitre 1.2</w:t>
      </w:r>
    </w:p>
    <w:p w14:paraId="377E0CA2" w14:textId="77777777" w:rsidR="00FD6D3D" w:rsidRPr="000E53B5" w:rsidRDefault="00FD6D3D" w:rsidP="00FD6D3D">
      <w:pPr>
        <w:pStyle w:val="SingleTxtG"/>
      </w:pPr>
      <w:r w:rsidRPr="000E53B5">
        <w:rPr>
          <w:lang w:val="fr-FR"/>
        </w:rPr>
        <w:t>1.2.1</w:t>
      </w:r>
      <w:r w:rsidRPr="000E53B5">
        <w:rPr>
          <w:lang w:val="fr-FR"/>
        </w:rPr>
        <w:tab/>
        <w:t>Dans la définition du terme «</w:t>
      </w:r>
      <w:r>
        <w:rPr>
          <w:lang w:val="fr-FR"/>
        </w:rPr>
        <w:t> </w:t>
      </w:r>
      <w:r w:rsidRPr="000E53B5">
        <w:rPr>
          <w:i/>
          <w:iCs/>
          <w:lang w:val="fr-FR"/>
        </w:rPr>
        <w:t>Conduite de retour de gaz (à terre)</w:t>
      </w:r>
      <w:r>
        <w:rPr>
          <w:lang w:val="fr-FR"/>
        </w:rPr>
        <w:t> </w:t>
      </w:r>
      <w:r w:rsidRPr="000E53B5">
        <w:rPr>
          <w:lang w:val="fr-FR"/>
        </w:rPr>
        <w:t>», supprimer la dernière phrase.</w:t>
      </w:r>
    </w:p>
    <w:p w14:paraId="79B77CC4" w14:textId="77777777" w:rsidR="00FD6D3D" w:rsidRPr="000E53B5" w:rsidRDefault="00FD6D3D" w:rsidP="00FD6D3D">
      <w:pPr>
        <w:pStyle w:val="SingleTxtG"/>
        <w:rPr>
          <w:i/>
        </w:rPr>
      </w:pPr>
      <w:r w:rsidRPr="000E53B5">
        <w:rPr>
          <w:i/>
          <w:iCs/>
          <w:lang w:val="fr-FR"/>
        </w:rPr>
        <w:t>(Document de référence</w:t>
      </w:r>
      <w:r>
        <w:rPr>
          <w:i/>
          <w:iCs/>
          <w:lang w:val="fr-FR"/>
        </w:rPr>
        <w:t> </w:t>
      </w:r>
      <w:r w:rsidRPr="000E53B5">
        <w:rPr>
          <w:i/>
          <w:iCs/>
          <w:lang w:val="fr-FR"/>
        </w:rPr>
        <w:t>: ECE/TRANS/WP.15/AC.2/2019/33)</w:t>
      </w:r>
    </w:p>
    <w:p w14:paraId="0F3A5AD9" w14:textId="77777777" w:rsidR="00FD6D3D" w:rsidRPr="000E53B5" w:rsidRDefault="00FD6D3D" w:rsidP="00FD6D3D">
      <w:pPr>
        <w:pStyle w:val="H23G"/>
        <w:rPr>
          <w:rStyle w:val="Emphasis"/>
        </w:rPr>
      </w:pPr>
      <w:r w:rsidRPr="000E53B5">
        <w:rPr>
          <w:lang w:val="fr-FR"/>
        </w:rPr>
        <w:tab/>
      </w:r>
      <w:r w:rsidRPr="000E53B5">
        <w:rPr>
          <w:lang w:val="fr-FR"/>
        </w:rPr>
        <w:tab/>
        <w:t>Chapitre 1.6</w:t>
      </w:r>
    </w:p>
    <w:p w14:paraId="4CBC032F" w14:textId="77777777" w:rsidR="00FD6D3D" w:rsidRPr="000E53B5" w:rsidRDefault="00FD6D3D" w:rsidP="00FD6D3D">
      <w:pPr>
        <w:pStyle w:val="SingleTxtG"/>
      </w:pPr>
      <w:r w:rsidRPr="000E53B5">
        <w:rPr>
          <w:lang w:val="fr-FR"/>
        </w:rPr>
        <w:t>1.6.7.2.1.3</w:t>
      </w:r>
      <w:r w:rsidRPr="000E53B5">
        <w:rPr>
          <w:lang w:val="fr-FR"/>
        </w:rPr>
        <w:tab/>
        <w:t>Supprimer</w:t>
      </w:r>
      <w:r>
        <w:rPr>
          <w:lang w:val="fr-FR"/>
        </w:rPr>
        <w:t>, et remplacer par</w:t>
      </w:r>
      <w:r w:rsidRPr="000E53B5">
        <w:rPr>
          <w:lang w:val="fr-FR"/>
        </w:rPr>
        <w:t xml:space="preserve"> «</w:t>
      </w:r>
      <w:r>
        <w:rPr>
          <w:lang w:val="fr-FR"/>
        </w:rPr>
        <w:t> </w:t>
      </w:r>
      <w:r w:rsidRPr="000E53B5">
        <w:rPr>
          <w:lang w:val="fr-FR"/>
        </w:rPr>
        <w:t>1.6.7.2.1.3</w:t>
      </w:r>
      <w:r>
        <w:rPr>
          <w:lang w:val="fr-FR"/>
        </w:rPr>
        <w:tab/>
      </w:r>
      <w:r w:rsidRPr="000E53B5">
        <w:rPr>
          <w:lang w:val="fr-FR"/>
        </w:rPr>
        <w:t>(Supprimé)</w:t>
      </w:r>
      <w:r>
        <w:rPr>
          <w:lang w:val="fr-FR"/>
        </w:rPr>
        <w:t> </w:t>
      </w:r>
      <w:r w:rsidRPr="000E53B5">
        <w:rPr>
          <w:lang w:val="fr-FR"/>
        </w:rPr>
        <w:t>».</w:t>
      </w:r>
    </w:p>
    <w:p w14:paraId="63D2FF6F" w14:textId="77777777" w:rsidR="00FD6D3D" w:rsidRPr="000E53B5" w:rsidRDefault="00FD6D3D" w:rsidP="00FD6D3D">
      <w:pPr>
        <w:pStyle w:val="SingleTxtG"/>
        <w:rPr>
          <w:i/>
        </w:rPr>
      </w:pPr>
      <w:r w:rsidRPr="000E53B5">
        <w:rPr>
          <w:i/>
          <w:iCs/>
          <w:lang w:val="fr-FR"/>
        </w:rPr>
        <w:t>(Document de référence</w:t>
      </w:r>
      <w:r>
        <w:rPr>
          <w:i/>
          <w:iCs/>
          <w:lang w:val="fr-FR"/>
        </w:rPr>
        <w:t> </w:t>
      </w:r>
      <w:r w:rsidRPr="000E53B5">
        <w:rPr>
          <w:i/>
          <w:iCs/>
          <w:lang w:val="fr-FR"/>
        </w:rPr>
        <w:t>: ECE/TRANS/WP.15/AC.2/2019/21)</w:t>
      </w:r>
    </w:p>
    <w:p w14:paraId="309E2B9A" w14:textId="77777777" w:rsidR="00FD6D3D" w:rsidRPr="000E53B5" w:rsidRDefault="00FD6D3D" w:rsidP="00FD6D3D">
      <w:pPr>
        <w:pStyle w:val="SingleTxtG"/>
      </w:pPr>
      <w:r w:rsidRPr="000E53B5">
        <w:rPr>
          <w:lang w:val="fr-FR"/>
        </w:rPr>
        <w:t>1.6.7.2.2.2</w:t>
      </w:r>
      <w:r w:rsidRPr="000E53B5">
        <w:rPr>
          <w:lang w:val="fr-FR"/>
        </w:rPr>
        <w:tab/>
        <w:t>Supprimer la disposition provisoire concernant le 7.2.3.20.1</w:t>
      </w:r>
      <w:r>
        <w:rPr>
          <w:lang w:val="fr-FR"/>
        </w:rPr>
        <w:t> </w:t>
      </w:r>
      <w:r w:rsidRPr="000E53B5">
        <w:rPr>
          <w:lang w:val="fr-FR"/>
        </w:rPr>
        <w:t>: Installation des indicateurs de niveau pour citernes et compartiments à ballastage.</w:t>
      </w:r>
    </w:p>
    <w:p w14:paraId="3EFB8A76" w14:textId="77777777" w:rsidR="00FD6D3D" w:rsidRPr="000E53B5" w:rsidRDefault="00FD6D3D" w:rsidP="00FD6D3D">
      <w:pPr>
        <w:pStyle w:val="SingleTxtG"/>
      </w:pPr>
      <w:r w:rsidRPr="000E53B5">
        <w:rPr>
          <w:i/>
          <w:iCs/>
          <w:lang w:val="fr-FR"/>
        </w:rPr>
        <w:t>(Document de référence</w:t>
      </w:r>
      <w:r>
        <w:rPr>
          <w:i/>
          <w:iCs/>
          <w:lang w:val="fr-FR"/>
        </w:rPr>
        <w:t> </w:t>
      </w:r>
      <w:r w:rsidRPr="000E53B5">
        <w:rPr>
          <w:i/>
          <w:iCs/>
          <w:lang w:val="fr-FR"/>
        </w:rPr>
        <w:t>: ECE/TRANS/WP.15/AC.2/2019/21)</w:t>
      </w:r>
    </w:p>
    <w:p w14:paraId="52FBB0B3" w14:textId="77777777" w:rsidR="00FD6D3D" w:rsidRPr="000E53B5" w:rsidRDefault="00FD6D3D" w:rsidP="00FD6D3D">
      <w:pPr>
        <w:pStyle w:val="SingleTxtG"/>
      </w:pPr>
      <w:r w:rsidRPr="000E53B5">
        <w:rPr>
          <w:lang w:val="fr-FR"/>
        </w:rPr>
        <w:t>1.6.7.2.2.2</w:t>
      </w:r>
      <w:r w:rsidRPr="000E53B5">
        <w:rPr>
          <w:lang w:val="fr-FR"/>
        </w:rPr>
        <w:tab/>
        <w:t xml:space="preserve">Supprimer la disposition provisoire </w:t>
      </w:r>
      <w:r w:rsidRPr="00FF25BA">
        <w:rPr>
          <w:lang w:val="fr-FR"/>
        </w:rPr>
        <w:t xml:space="preserve">concernant </w:t>
      </w:r>
      <w:r>
        <w:rPr>
          <w:lang w:val="fr-FR"/>
        </w:rPr>
        <w:t xml:space="preserve">le </w:t>
      </w:r>
      <w:r w:rsidRPr="000E53B5">
        <w:rPr>
          <w:lang w:val="fr-FR"/>
        </w:rPr>
        <w:t>8.1.6.2</w:t>
      </w:r>
      <w:r>
        <w:rPr>
          <w:lang w:val="fr-FR"/>
        </w:rPr>
        <w:t> </w:t>
      </w:r>
      <w:r w:rsidRPr="000E53B5">
        <w:rPr>
          <w:lang w:val="fr-FR"/>
        </w:rPr>
        <w:t>: Tuyauteries flexibles.</w:t>
      </w:r>
    </w:p>
    <w:p w14:paraId="1CB6A915" w14:textId="77777777" w:rsidR="00FD6D3D" w:rsidRPr="000E53B5" w:rsidRDefault="00FD6D3D" w:rsidP="00FD6D3D">
      <w:pPr>
        <w:pStyle w:val="SingleTxtG"/>
      </w:pPr>
      <w:r w:rsidRPr="000E53B5">
        <w:rPr>
          <w:i/>
          <w:iCs/>
          <w:lang w:val="fr-FR"/>
        </w:rPr>
        <w:t>(Document de référence</w:t>
      </w:r>
      <w:r>
        <w:rPr>
          <w:i/>
          <w:iCs/>
          <w:lang w:val="fr-FR"/>
        </w:rPr>
        <w:t> </w:t>
      </w:r>
      <w:r w:rsidRPr="000E53B5">
        <w:rPr>
          <w:i/>
          <w:iCs/>
          <w:lang w:val="fr-FR"/>
        </w:rPr>
        <w:t>: ECE/TRANS/WP.15/AC.2/2019/21)</w:t>
      </w:r>
    </w:p>
    <w:p w14:paraId="26814D3E" w14:textId="77777777" w:rsidR="00FD6D3D" w:rsidRPr="000E53B5" w:rsidRDefault="00FD6D3D" w:rsidP="00FD6D3D">
      <w:pPr>
        <w:pStyle w:val="SingleTxtG"/>
      </w:pPr>
      <w:r w:rsidRPr="000E53B5">
        <w:rPr>
          <w:lang w:val="fr-FR"/>
        </w:rPr>
        <w:t>1.6.7.2.2.2</w:t>
      </w:r>
      <w:r w:rsidRPr="000E53B5">
        <w:rPr>
          <w:lang w:val="fr-FR"/>
        </w:rPr>
        <w:tab/>
        <w:t>Supprimer la disposition provisoire concernant le 9.3.1.21.5 b), le 9.3.2.21.5</w:t>
      </w:r>
      <w:r>
        <w:rPr>
          <w:lang w:val="fr-FR"/>
        </w:rPr>
        <w:t> </w:t>
      </w:r>
      <w:r w:rsidRPr="000E53B5">
        <w:rPr>
          <w:lang w:val="fr-FR"/>
        </w:rPr>
        <w:t>b) et le 9.3.3.21.5 d)</w:t>
      </w:r>
      <w:r>
        <w:rPr>
          <w:lang w:val="fr-FR"/>
        </w:rPr>
        <w:t> </w:t>
      </w:r>
      <w:r w:rsidRPr="000E53B5">
        <w:rPr>
          <w:lang w:val="fr-FR"/>
        </w:rPr>
        <w:t>: Installation de coupure de la pompe à partir de la terre.</w:t>
      </w:r>
    </w:p>
    <w:p w14:paraId="497D095B" w14:textId="77777777" w:rsidR="00FD6D3D" w:rsidRPr="000E53B5" w:rsidRDefault="00FD6D3D" w:rsidP="00FD6D3D">
      <w:pPr>
        <w:pStyle w:val="SingleTxtG"/>
      </w:pPr>
      <w:r w:rsidRPr="000E53B5">
        <w:rPr>
          <w:i/>
          <w:iCs/>
          <w:lang w:val="fr-FR"/>
        </w:rPr>
        <w:t>(Document de référence</w:t>
      </w:r>
      <w:r>
        <w:rPr>
          <w:i/>
          <w:iCs/>
          <w:lang w:val="fr-FR"/>
        </w:rPr>
        <w:t> </w:t>
      </w:r>
      <w:r w:rsidRPr="000E53B5">
        <w:rPr>
          <w:i/>
          <w:iCs/>
          <w:lang w:val="fr-FR"/>
        </w:rPr>
        <w:t>: ECE/TRANS/WP.15/AC.2/2019/21)</w:t>
      </w:r>
    </w:p>
    <w:p w14:paraId="5CDCCCFC" w14:textId="77777777" w:rsidR="00FD6D3D" w:rsidRPr="000E53B5" w:rsidRDefault="00FD6D3D" w:rsidP="00FD6D3D">
      <w:pPr>
        <w:pStyle w:val="SingleTxtG"/>
        <w:rPr>
          <w:lang w:val="fr-FR"/>
        </w:rPr>
      </w:pPr>
      <w:r w:rsidRPr="000E53B5">
        <w:rPr>
          <w:lang w:val="fr-FR"/>
        </w:rPr>
        <w:t>1.6.7.2.2.2</w:t>
      </w:r>
      <w:r w:rsidRPr="000E53B5">
        <w:rPr>
          <w:lang w:val="fr-FR"/>
        </w:rPr>
        <w:tab/>
        <w:t>Supprimer la disposition provisoire concernant le 9.3.2.21.5 c)</w:t>
      </w:r>
      <w:r>
        <w:rPr>
          <w:lang w:val="fr-FR"/>
        </w:rPr>
        <w:t> </w:t>
      </w:r>
      <w:r w:rsidRPr="000E53B5">
        <w:rPr>
          <w:lang w:val="fr-FR"/>
        </w:rPr>
        <w:t>: Dispositif de fermeture rapide de l</w:t>
      </w:r>
      <w:r>
        <w:rPr>
          <w:lang w:val="fr-FR"/>
        </w:rPr>
        <w:t>’</w:t>
      </w:r>
      <w:r w:rsidRPr="000E53B5">
        <w:rPr>
          <w:lang w:val="fr-FR"/>
        </w:rPr>
        <w:t>avitaillement.</w:t>
      </w:r>
    </w:p>
    <w:p w14:paraId="1DB0D317" w14:textId="77777777" w:rsidR="00FD6D3D" w:rsidRPr="000E53B5" w:rsidRDefault="00FD6D3D" w:rsidP="00FD6D3D">
      <w:pPr>
        <w:pStyle w:val="SingleTxtG"/>
      </w:pPr>
      <w:r w:rsidRPr="000E53B5">
        <w:rPr>
          <w:i/>
          <w:iCs/>
          <w:lang w:val="fr-FR"/>
        </w:rPr>
        <w:t>(Document de référence</w:t>
      </w:r>
      <w:r>
        <w:rPr>
          <w:i/>
          <w:iCs/>
          <w:lang w:val="fr-FR"/>
        </w:rPr>
        <w:t> </w:t>
      </w:r>
      <w:r w:rsidRPr="000E53B5">
        <w:rPr>
          <w:i/>
          <w:iCs/>
          <w:lang w:val="fr-FR"/>
        </w:rPr>
        <w:t>: ECE/TRANS/WP.15/AC.2/2019/21)</w:t>
      </w:r>
    </w:p>
    <w:p w14:paraId="239ED048" w14:textId="77777777" w:rsidR="00FD6D3D" w:rsidRPr="000E53B5" w:rsidRDefault="00FD6D3D" w:rsidP="00FD6D3D">
      <w:pPr>
        <w:pStyle w:val="SingleTxtG"/>
      </w:pPr>
      <w:r w:rsidRPr="000E53B5">
        <w:rPr>
          <w:lang w:val="fr-FR"/>
        </w:rPr>
        <w:lastRenderedPageBreak/>
        <w:t>1.6.7.2.2.2</w:t>
      </w:r>
      <w:r w:rsidRPr="000E53B5">
        <w:rPr>
          <w:lang w:val="fr-FR"/>
        </w:rPr>
        <w:tab/>
        <w:t>Supprimer la disposition provisoire concernant le 9.3.1.41.2, le 9.3.2.41.2, et le 9.3.3.41.2, en liaison avec le 7.2.3.41</w:t>
      </w:r>
      <w:r>
        <w:rPr>
          <w:lang w:val="fr-FR"/>
        </w:rPr>
        <w:t> </w:t>
      </w:r>
      <w:r w:rsidRPr="000E53B5">
        <w:rPr>
          <w:lang w:val="fr-FR"/>
        </w:rPr>
        <w:t>: Appareils de chauffage, de cuisine et de réfrigération.</w:t>
      </w:r>
    </w:p>
    <w:p w14:paraId="1EA9131B" w14:textId="77777777" w:rsidR="00FD6D3D" w:rsidRPr="000E53B5" w:rsidRDefault="00FD6D3D" w:rsidP="00FD6D3D">
      <w:pPr>
        <w:pStyle w:val="SingleTxtG"/>
      </w:pPr>
      <w:r w:rsidRPr="000E53B5">
        <w:rPr>
          <w:i/>
          <w:iCs/>
          <w:lang w:val="fr-FR"/>
        </w:rPr>
        <w:t>(Document de référence</w:t>
      </w:r>
      <w:r>
        <w:rPr>
          <w:i/>
          <w:iCs/>
          <w:lang w:val="fr-FR"/>
        </w:rPr>
        <w:t> </w:t>
      </w:r>
      <w:r w:rsidRPr="000E53B5">
        <w:rPr>
          <w:i/>
          <w:iCs/>
          <w:lang w:val="fr-FR"/>
        </w:rPr>
        <w:t>: ECE/TRANS/WP.15/AC.2/2019/21)</w:t>
      </w:r>
    </w:p>
    <w:p w14:paraId="574EA815" w14:textId="77777777" w:rsidR="00FD6D3D" w:rsidRPr="000E53B5" w:rsidRDefault="00FD6D3D" w:rsidP="00FD6D3D">
      <w:pPr>
        <w:pStyle w:val="SingleTxtG"/>
      </w:pPr>
      <w:r w:rsidRPr="000E53B5">
        <w:rPr>
          <w:lang w:val="fr-FR"/>
        </w:rPr>
        <w:t>1.6.7.2.2.3.1</w:t>
      </w:r>
      <w:r w:rsidRPr="000E53B5">
        <w:rPr>
          <w:lang w:val="fr-FR"/>
        </w:rPr>
        <w:tab/>
        <w:t>Supprimer</w:t>
      </w:r>
      <w:r>
        <w:rPr>
          <w:lang w:val="fr-FR"/>
        </w:rPr>
        <w:t xml:space="preserve"> et insérer</w:t>
      </w:r>
      <w:r w:rsidRPr="000E53B5">
        <w:rPr>
          <w:lang w:val="fr-FR"/>
        </w:rPr>
        <w:t xml:space="preserve"> « 1.6.7.2.2.3.1</w:t>
      </w:r>
      <w:r w:rsidRPr="000E53B5">
        <w:rPr>
          <w:lang w:val="fr-FR"/>
        </w:rPr>
        <w:tab/>
      </w:r>
      <w:r w:rsidRPr="005963DA">
        <w:rPr>
          <w:i/>
          <w:iCs/>
          <w:lang w:val="fr-FR"/>
        </w:rPr>
        <w:t>(Supprimé)</w:t>
      </w:r>
      <w:r>
        <w:rPr>
          <w:lang w:val="fr-FR"/>
        </w:rPr>
        <w:t> </w:t>
      </w:r>
      <w:r w:rsidRPr="000E53B5">
        <w:rPr>
          <w:lang w:val="fr-FR"/>
        </w:rPr>
        <w:t>».</w:t>
      </w:r>
    </w:p>
    <w:p w14:paraId="7F930D16" w14:textId="77777777" w:rsidR="00FD6D3D" w:rsidRPr="000E53B5" w:rsidRDefault="00FD6D3D" w:rsidP="00FD6D3D">
      <w:pPr>
        <w:pStyle w:val="SingleTxtG"/>
        <w:rPr>
          <w:i/>
        </w:rPr>
      </w:pPr>
      <w:r w:rsidRPr="000E53B5">
        <w:rPr>
          <w:i/>
          <w:iCs/>
          <w:lang w:val="fr-FR"/>
        </w:rPr>
        <w:t>(Document de référence</w:t>
      </w:r>
      <w:r>
        <w:rPr>
          <w:i/>
          <w:iCs/>
          <w:lang w:val="fr-FR"/>
        </w:rPr>
        <w:t> </w:t>
      </w:r>
      <w:r w:rsidRPr="000E53B5">
        <w:rPr>
          <w:i/>
          <w:iCs/>
          <w:lang w:val="fr-FR"/>
        </w:rPr>
        <w:t>: ECE/TRANS/WP.15/AC.2/2019/21)</w:t>
      </w:r>
    </w:p>
    <w:p w14:paraId="4769EE91" w14:textId="77777777" w:rsidR="00FD6D3D" w:rsidRDefault="00FD6D3D" w:rsidP="00FD6D3D">
      <w:pPr>
        <w:pStyle w:val="H23G"/>
      </w:pPr>
      <w:r>
        <w:rPr>
          <w:sz w:val="28"/>
        </w:rPr>
        <w:tab/>
      </w:r>
      <w:r>
        <w:rPr>
          <w:sz w:val="28"/>
        </w:rPr>
        <w:tab/>
      </w:r>
      <w:r>
        <w:t>Chapitre</w:t>
      </w:r>
      <w:r w:rsidRPr="00E7159C">
        <w:t xml:space="preserve"> 1.8</w:t>
      </w:r>
    </w:p>
    <w:p w14:paraId="45F207F8"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1.8.1.2</w:t>
      </w:r>
      <w:r w:rsidRPr="00E7159C">
        <w:rPr>
          <w:rFonts w:eastAsia="Times New Roman"/>
        </w:rPr>
        <w:tab/>
      </w:r>
      <w:r w:rsidRPr="00E7159C">
        <w:rPr>
          <w:rFonts w:eastAsia="Times New Roman"/>
        </w:rPr>
        <w:tab/>
        <w:t>A</w:t>
      </w:r>
      <w:r w:rsidRPr="0020462E">
        <w:rPr>
          <w:rFonts w:eastAsia="Times New Roman"/>
        </w:rPr>
        <w:t xml:space="preserve">jouter un nouveau </w:t>
      </w:r>
      <w:r w:rsidRPr="00E7159C">
        <w:rPr>
          <w:rFonts w:eastAsia="Times New Roman"/>
        </w:rPr>
        <w:t>paragraph</w:t>
      </w:r>
      <w:r w:rsidRPr="0020462E">
        <w:rPr>
          <w:rFonts w:eastAsia="Times New Roman"/>
        </w:rPr>
        <w:t>e</w:t>
      </w:r>
      <w:r>
        <w:rPr>
          <w:rFonts w:eastAsia="Times New Roman"/>
        </w:rPr>
        <w:t>,</w:t>
      </w:r>
      <w:r w:rsidRPr="00E7159C">
        <w:rPr>
          <w:rFonts w:eastAsia="Times New Roman"/>
        </w:rPr>
        <w:t xml:space="preserve"> 1.8.1.2.4</w:t>
      </w:r>
      <w:r>
        <w:rPr>
          <w:rFonts w:eastAsia="Times New Roman"/>
        </w:rPr>
        <w:t>,</w:t>
      </w:r>
      <w:r w:rsidRPr="00E7159C">
        <w:rPr>
          <w:rFonts w:eastAsia="Times New Roman"/>
        </w:rPr>
        <w:t xml:space="preserve"> </w:t>
      </w:r>
      <w:r w:rsidRPr="0020462E">
        <w:rPr>
          <w:rFonts w:eastAsia="Times New Roman"/>
        </w:rPr>
        <w:t xml:space="preserve">ainsi conçu </w:t>
      </w:r>
      <w:r w:rsidRPr="00E7159C">
        <w:rPr>
          <w:rFonts w:eastAsia="Times New Roman"/>
        </w:rPr>
        <w:t>:</w:t>
      </w:r>
    </w:p>
    <w:p w14:paraId="71288005"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Pr>
          <w:rFonts w:eastAsia="Times New Roman"/>
        </w:rPr>
        <w:t>« </w:t>
      </w:r>
      <w:r w:rsidRPr="00E7159C">
        <w:rPr>
          <w:rFonts w:eastAsia="Times New Roman"/>
        </w:rPr>
        <w:t>1.8.1.2.4</w:t>
      </w:r>
      <w:r w:rsidRPr="00E7159C">
        <w:rPr>
          <w:rFonts w:eastAsia="Times New Roman"/>
        </w:rPr>
        <w:tab/>
      </w:r>
      <w:r w:rsidRPr="005B1CB2">
        <w:rPr>
          <w:rFonts w:eastAsia="Times New Roman"/>
        </w:rPr>
        <w:t xml:space="preserve">Les listes de contrôle utilisées par les autorités des Parties contractantes doivent </w:t>
      </w:r>
      <w:r>
        <w:rPr>
          <w:rFonts w:eastAsia="Times New Roman"/>
        </w:rPr>
        <w:t xml:space="preserve">être rédigées au moins dans la langue </w:t>
      </w:r>
      <w:r w:rsidRPr="005B1CB2">
        <w:rPr>
          <w:rFonts w:eastAsia="Times New Roman"/>
        </w:rPr>
        <w:t>de l</w:t>
      </w:r>
      <w:r>
        <w:rPr>
          <w:rFonts w:eastAsia="Times New Roman"/>
        </w:rPr>
        <w:t>’</w:t>
      </w:r>
      <w:r w:rsidRPr="005B1CB2">
        <w:rPr>
          <w:rFonts w:eastAsia="Times New Roman"/>
        </w:rPr>
        <w:t>État qui les délivre ainsi que,</w:t>
      </w:r>
      <w:r w:rsidRPr="005B1CB2">
        <w:t xml:space="preserve"> si </w:t>
      </w:r>
      <w:r w:rsidRPr="005B1CB2">
        <w:rPr>
          <w:rFonts w:eastAsia="Times New Roman"/>
        </w:rPr>
        <w:t>cette langue n</w:t>
      </w:r>
      <w:r>
        <w:rPr>
          <w:rFonts w:eastAsia="Times New Roman"/>
        </w:rPr>
        <w:t>’</w:t>
      </w:r>
      <w:r w:rsidRPr="005B1CB2">
        <w:rPr>
          <w:rFonts w:eastAsia="Times New Roman"/>
        </w:rPr>
        <w:t>est pas l</w:t>
      </w:r>
      <w:r>
        <w:rPr>
          <w:rFonts w:eastAsia="Times New Roman"/>
        </w:rPr>
        <w:t>’</w:t>
      </w:r>
      <w:r w:rsidRPr="005B1CB2">
        <w:rPr>
          <w:rFonts w:eastAsia="Times New Roman"/>
        </w:rPr>
        <w:t>allemand, l</w:t>
      </w:r>
      <w:r>
        <w:rPr>
          <w:rFonts w:eastAsia="Times New Roman"/>
        </w:rPr>
        <w:t>’</w:t>
      </w:r>
      <w:r w:rsidRPr="005B1CB2">
        <w:rPr>
          <w:rFonts w:eastAsia="Times New Roman"/>
        </w:rPr>
        <w:t xml:space="preserve">anglais ou le français, </w:t>
      </w:r>
      <w:r>
        <w:rPr>
          <w:rFonts w:eastAsia="Times New Roman"/>
        </w:rPr>
        <w:t xml:space="preserve">en </w:t>
      </w:r>
      <w:r w:rsidRPr="005B1CB2">
        <w:rPr>
          <w:rFonts w:eastAsia="Times New Roman"/>
        </w:rPr>
        <w:t>allemand, anglais ou français</w:t>
      </w:r>
      <w:r w:rsidRPr="00E7159C">
        <w:rPr>
          <w:rFonts w:eastAsia="Times New Roman"/>
          <w:sz w:val="18"/>
          <w:vertAlign w:val="superscript"/>
          <w:lang w:val="en-GB"/>
        </w:rPr>
        <w:endnoteReference w:id="2"/>
      </w:r>
      <w:r w:rsidRPr="00E7159C">
        <w:rPr>
          <w:rFonts w:eastAsia="Times New Roman"/>
        </w:rPr>
        <w:t>.</w:t>
      </w:r>
      <w:r>
        <w:rPr>
          <w:rFonts w:eastAsia="Times New Roman"/>
        </w:rPr>
        <w:t> »</w:t>
      </w:r>
      <w:r w:rsidRPr="00E7159C">
        <w:rPr>
          <w:rFonts w:eastAsia="Times New Roman"/>
        </w:rPr>
        <w:t>.</w:t>
      </w:r>
    </w:p>
    <w:p w14:paraId="39C4323C"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_____________________</w:t>
      </w:r>
    </w:p>
    <w:p w14:paraId="36C7E95C" w14:textId="77777777" w:rsidR="00FD6D3D" w:rsidRPr="00E7159C" w:rsidRDefault="00FD6D3D" w:rsidP="00FD6D3D">
      <w:pPr>
        <w:tabs>
          <w:tab w:val="left" w:pos="1276"/>
        </w:tabs>
        <w:kinsoku/>
        <w:overflowPunct/>
        <w:autoSpaceDE/>
        <w:autoSpaceDN/>
        <w:adjustRightInd/>
        <w:snapToGrid/>
        <w:spacing w:after="120"/>
        <w:ind w:left="1134" w:right="1134"/>
        <w:jc w:val="both"/>
        <w:rPr>
          <w:rFonts w:eastAsia="Times New Roman"/>
        </w:rPr>
      </w:pPr>
      <w:r w:rsidRPr="00E7159C">
        <w:rPr>
          <w:rFonts w:eastAsia="Times New Roman"/>
          <w:i/>
          <w:iCs/>
          <w:sz w:val="18"/>
          <w:vertAlign w:val="superscript"/>
          <w:lang w:val="en-GB"/>
        </w:rPr>
        <w:footnoteRef/>
      </w:r>
      <w:r>
        <w:rPr>
          <w:rFonts w:eastAsia="Times New Roman"/>
          <w:i/>
          <w:iCs/>
        </w:rPr>
        <w:tab/>
      </w:r>
      <w:r w:rsidRPr="005B1CB2">
        <w:rPr>
          <w:rFonts w:eastAsia="Times New Roman"/>
          <w:i/>
          <w:iCs/>
        </w:rPr>
        <w:t xml:space="preserve">La liste de contrôle </w:t>
      </w:r>
      <w:r>
        <w:rPr>
          <w:rFonts w:eastAsia="Times New Roman"/>
          <w:i/>
          <w:iCs/>
        </w:rPr>
        <w:t>n</w:t>
      </w:r>
      <w:r w:rsidRPr="005B1CB2">
        <w:rPr>
          <w:rFonts w:eastAsia="Times New Roman"/>
          <w:i/>
          <w:iCs/>
        </w:rPr>
        <w:t>e fait pas partie des documents qui doivent être conservés à bord</w:t>
      </w:r>
      <w:r>
        <w:rPr>
          <w:rFonts w:eastAsia="Times New Roman"/>
          <w:i/>
          <w:iCs/>
        </w:rPr>
        <w:t>,</w:t>
      </w:r>
      <w:r w:rsidRPr="005B1CB2">
        <w:rPr>
          <w:rFonts w:eastAsia="Times New Roman"/>
          <w:i/>
          <w:iCs/>
        </w:rPr>
        <w:t xml:space="preserve"> en vertu du paragraphe </w:t>
      </w:r>
      <w:r w:rsidRPr="00E7159C">
        <w:rPr>
          <w:rFonts w:eastAsia="Times New Roman"/>
          <w:i/>
          <w:iCs/>
        </w:rPr>
        <w:t>8.1.2.1.</w:t>
      </w:r>
    </w:p>
    <w:p w14:paraId="2E5045CA" w14:textId="77777777" w:rsidR="00FD6D3D" w:rsidRPr="00A674E5" w:rsidRDefault="00FD6D3D" w:rsidP="00FD6D3D">
      <w:pPr>
        <w:kinsoku/>
        <w:overflowPunct/>
        <w:autoSpaceDE/>
        <w:autoSpaceDN/>
        <w:adjustRightInd/>
        <w:snapToGrid/>
        <w:spacing w:after="120"/>
        <w:ind w:left="1134" w:right="1134"/>
        <w:jc w:val="both"/>
        <w:rPr>
          <w:rFonts w:eastAsia="Times New Roman"/>
          <w:i/>
          <w:iCs/>
        </w:rPr>
      </w:pPr>
      <w:r w:rsidRPr="00A674E5">
        <w:rPr>
          <w:rFonts w:eastAsia="Times New Roman"/>
          <w:i/>
          <w:iCs/>
        </w:rPr>
        <w:t>(</w:t>
      </w:r>
      <w:r>
        <w:rPr>
          <w:rFonts w:eastAsia="Times New Roman"/>
          <w:i/>
          <w:iCs/>
        </w:rPr>
        <w:t>D</w:t>
      </w:r>
      <w:r w:rsidRPr="00A674E5">
        <w:rPr>
          <w:rFonts w:eastAsia="Times New Roman"/>
          <w:i/>
          <w:iCs/>
        </w:rPr>
        <w:t>ocument</w:t>
      </w:r>
      <w:r>
        <w:rPr>
          <w:rFonts w:eastAsia="Times New Roman"/>
          <w:i/>
          <w:iCs/>
        </w:rPr>
        <w:t xml:space="preserve"> de </w:t>
      </w:r>
      <w:proofErr w:type="gramStart"/>
      <w:r>
        <w:rPr>
          <w:rFonts w:eastAsia="Times New Roman"/>
          <w:i/>
          <w:iCs/>
        </w:rPr>
        <w:t>référence</w:t>
      </w:r>
      <w:r w:rsidRPr="00A674E5">
        <w:rPr>
          <w:rFonts w:eastAsia="Times New Roman"/>
          <w:i/>
          <w:iCs/>
        </w:rPr>
        <w:t>:</w:t>
      </w:r>
      <w:proofErr w:type="gramEnd"/>
      <w:r w:rsidRPr="00A674E5">
        <w:rPr>
          <w:rFonts w:eastAsia="Times New Roman"/>
          <w:i/>
          <w:iCs/>
        </w:rPr>
        <w:t xml:space="preserve"> ECE/TRANS/WP.15/AC.2/2019/26 </w:t>
      </w:r>
      <w:r>
        <w:rPr>
          <w:rFonts w:eastAsia="Times New Roman"/>
          <w:i/>
          <w:iCs/>
        </w:rPr>
        <w:t xml:space="preserve">tel que </w:t>
      </w:r>
      <w:r w:rsidRPr="00A674E5">
        <w:rPr>
          <w:rFonts w:eastAsia="Times New Roman"/>
          <w:i/>
          <w:iCs/>
        </w:rPr>
        <w:t>modifié)</w:t>
      </w:r>
    </w:p>
    <w:p w14:paraId="58922847" w14:textId="77777777" w:rsidR="00FD6D3D" w:rsidRPr="000E53B5" w:rsidRDefault="00FD6D3D" w:rsidP="00FD6D3D">
      <w:pPr>
        <w:pStyle w:val="H23G"/>
        <w:rPr>
          <w:rStyle w:val="Emphasis"/>
        </w:rPr>
      </w:pPr>
      <w:r w:rsidRPr="000E53B5">
        <w:rPr>
          <w:lang w:val="fr-FR"/>
        </w:rPr>
        <w:tab/>
      </w:r>
      <w:r w:rsidRPr="000E53B5">
        <w:rPr>
          <w:lang w:val="fr-FR"/>
        </w:rPr>
        <w:tab/>
        <w:t>Chapitre 1.10</w:t>
      </w:r>
    </w:p>
    <w:p w14:paraId="7A201A16" w14:textId="77777777" w:rsidR="00FD6D3D" w:rsidRPr="000E53B5" w:rsidRDefault="00FD6D3D" w:rsidP="00FD6D3D">
      <w:pPr>
        <w:pStyle w:val="SingleTxtG"/>
        <w:tabs>
          <w:tab w:val="left" w:pos="2268"/>
        </w:tabs>
      </w:pPr>
      <w:r w:rsidRPr="000E53B5">
        <w:rPr>
          <w:lang w:val="fr-FR"/>
        </w:rPr>
        <w:t>1.10.4</w:t>
      </w:r>
      <w:r w:rsidRPr="000E53B5">
        <w:rPr>
          <w:lang w:val="fr-FR"/>
        </w:rPr>
        <w:tab/>
      </w:r>
      <w:r w:rsidRPr="00FC0C18">
        <w:rPr>
          <w:iCs/>
          <w:lang w:val="fr-FR"/>
        </w:rPr>
        <w:t>Modifier le début de la première phrase, comme suit</w:t>
      </w:r>
      <w:r>
        <w:rPr>
          <w:lang w:val="fr-FR"/>
        </w:rPr>
        <w:t> </w:t>
      </w:r>
      <w:r w:rsidRPr="000E53B5">
        <w:rPr>
          <w:lang w:val="fr-FR"/>
        </w:rPr>
        <w:t>: «</w:t>
      </w:r>
      <w:r>
        <w:rPr>
          <w:lang w:val="fr-FR"/>
        </w:rPr>
        <w:t> </w:t>
      </w:r>
      <w:r w:rsidRPr="000E53B5">
        <w:rPr>
          <w:lang w:val="fr-FR"/>
        </w:rPr>
        <w:t>À l</w:t>
      </w:r>
      <w:r>
        <w:rPr>
          <w:lang w:val="fr-FR"/>
        </w:rPr>
        <w:t>’</w:t>
      </w:r>
      <w:r w:rsidRPr="000E53B5">
        <w:rPr>
          <w:lang w:val="fr-FR"/>
        </w:rPr>
        <w:t xml:space="preserve">exception des matières radioactives portant les </w:t>
      </w:r>
      <w:r>
        <w:rPr>
          <w:lang w:val="fr-FR"/>
        </w:rPr>
        <w:t>Nos</w:t>
      </w:r>
      <w:r w:rsidRPr="000E53B5">
        <w:rPr>
          <w:lang w:val="fr-FR"/>
        </w:rPr>
        <w:t xml:space="preserve"> ONU 2910 et 2911, si le niveau d</w:t>
      </w:r>
      <w:r>
        <w:rPr>
          <w:lang w:val="fr-FR"/>
        </w:rPr>
        <w:t>’</w:t>
      </w:r>
      <w:r w:rsidRPr="000E53B5">
        <w:rPr>
          <w:lang w:val="fr-FR"/>
        </w:rPr>
        <w:t>activité (par colis) dépasse la valeur A</w:t>
      </w:r>
      <w:r w:rsidRPr="000E53B5">
        <w:rPr>
          <w:vertAlign w:val="subscript"/>
          <w:lang w:val="fr-FR"/>
        </w:rPr>
        <w:t>2</w:t>
      </w:r>
      <w:r w:rsidRPr="000E53B5">
        <w:rPr>
          <w:lang w:val="fr-FR"/>
        </w:rPr>
        <w:t>, les prescriptions des 1.10.1, 1.10.2 et 1.10.3 ne s</w:t>
      </w:r>
      <w:r>
        <w:rPr>
          <w:lang w:val="fr-FR"/>
        </w:rPr>
        <w:t>’</w:t>
      </w:r>
      <w:r w:rsidRPr="000E53B5">
        <w:rPr>
          <w:lang w:val="fr-FR"/>
        </w:rPr>
        <w:t>appliquent pas …</w:t>
      </w:r>
      <w:r>
        <w:rPr>
          <w:lang w:val="fr-FR"/>
        </w:rPr>
        <w:t> </w:t>
      </w:r>
      <w:r w:rsidRPr="000E53B5">
        <w:rPr>
          <w:lang w:val="fr-FR"/>
        </w:rPr>
        <w:t>». La suite demeure inchangée.</w:t>
      </w:r>
    </w:p>
    <w:p w14:paraId="3C95A638" w14:textId="77777777" w:rsidR="00FD6D3D" w:rsidRPr="000E53B5" w:rsidRDefault="00FD6D3D" w:rsidP="00FD6D3D">
      <w:pPr>
        <w:pStyle w:val="SingleTxtG"/>
        <w:rPr>
          <w:i/>
        </w:rPr>
      </w:pPr>
      <w:r w:rsidRPr="000E53B5">
        <w:rPr>
          <w:i/>
          <w:iCs/>
          <w:lang w:val="fr-FR"/>
        </w:rPr>
        <w:t>(Document de référence</w:t>
      </w:r>
      <w:r>
        <w:rPr>
          <w:i/>
          <w:iCs/>
          <w:lang w:val="fr-FR"/>
        </w:rPr>
        <w:t> </w:t>
      </w:r>
      <w:r w:rsidRPr="000E53B5">
        <w:rPr>
          <w:i/>
          <w:iCs/>
          <w:lang w:val="fr-FR"/>
        </w:rPr>
        <w:t>: ECE/TRANS/WP.15/AC.2/2019/19)</w:t>
      </w:r>
    </w:p>
    <w:p w14:paraId="54167F4B" w14:textId="77777777" w:rsidR="00FD6D3D" w:rsidRPr="000E53B5" w:rsidRDefault="00FD6D3D" w:rsidP="00FD6D3D">
      <w:pPr>
        <w:pStyle w:val="H23G"/>
        <w:rPr>
          <w:rStyle w:val="Emphasis"/>
        </w:rPr>
      </w:pPr>
      <w:r>
        <w:rPr>
          <w:lang w:val="fr-FR"/>
        </w:rPr>
        <w:tab/>
      </w:r>
      <w:r w:rsidRPr="000E53B5">
        <w:rPr>
          <w:lang w:val="fr-FR"/>
        </w:rPr>
        <w:tab/>
        <w:t>Chapitre 2.2</w:t>
      </w:r>
    </w:p>
    <w:p w14:paraId="7E1E4EFD"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2.2.41.2.3</w:t>
      </w:r>
      <w:r w:rsidRPr="00E7159C">
        <w:rPr>
          <w:rFonts w:eastAsia="Times New Roman"/>
        </w:rPr>
        <w:tab/>
      </w:r>
      <w:r>
        <w:rPr>
          <w:rFonts w:eastAsia="Times New Roman"/>
        </w:rPr>
        <w:t>À</w:t>
      </w:r>
      <w:r w:rsidRPr="003A5A14">
        <w:rPr>
          <w:rFonts w:eastAsia="Times New Roman"/>
        </w:rPr>
        <w:t xml:space="preserve"> la fin, supprimer</w:t>
      </w:r>
      <w:r>
        <w:rPr>
          <w:rFonts w:eastAsia="Times New Roman"/>
        </w:rPr>
        <w:t> </w:t>
      </w:r>
      <w:r w:rsidRPr="00E7159C">
        <w:rPr>
          <w:rFonts w:eastAsia="Times New Roman"/>
        </w:rPr>
        <w:t xml:space="preserve">: </w:t>
      </w:r>
      <w:r>
        <w:rPr>
          <w:rFonts w:eastAsia="Times New Roman"/>
        </w:rPr>
        <w:t>« </w:t>
      </w:r>
      <w:r w:rsidRPr="003A5A14">
        <w:rPr>
          <w:rFonts w:eastAsia="Times New Roman"/>
        </w:rPr>
        <w:t>L</w:t>
      </w:r>
      <w:r>
        <w:rPr>
          <w:rFonts w:eastAsia="Times New Roman"/>
        </w:rPr>
        <w:t>’</w:t>
      </w:r>
      <w:r w:rsidRPr="003A5A14">
        <w:rPr>
          <w:rFonts w:eastAsia="Times New Roman"/>
        </w:rPr>
        <w:t>azoture de baryum humidifié avec moins de 50</w:t>
      </w:r>
      <w:r>
        <w:rPr>
          <w:rFonts w:eastAsia="Times New Roman"/>
        </w:rPr>
        <w:t> </w:t>
      </w:r>
      <w:r w:rsidRPr="003A5A14">
        <w:rPr>
          <w:rFonts w:eastAsia="Times New Roman"/>
        </w:rPr>
        <w:t>% (masse) d</w:t>
      </w:r>
      <w:r>
        <w:rPr>
          <w:rFonts w:eastAsia="Times New Roman"/>
        </w:rPr>
        <w:t>’</w:t>
      </w:r>
      <w:r w:rsidRPr="003A5A14">
        <w:rPr>
          <w:rFonts w:eastAsia="Times New Roman"/>
        </w:rPr>
        <w:t>eau.</w:t>
      </w:r>
      <w:r>
        <w:rPr>
          <w:rFonts w:eastAsia="Times New Roman"/>
        </w:rPr>
        <w:t> »</w:t>
      </w:r>
      <w:r w:rsidRPr="00E7159C">
        <w:rPr>
          <w:rFonts w:eastAsia="Times New Roman"/>
        </w:rPr>
        <w:t>.</w:t>
      </w:r>
    </w:p>
    <w:p w14:paraId="6BC92B94" w14:textId="77777777" w:rsidR="00FD6D3D" w:rsidRDefault="00FD6D3D" w:rsidP="00FD6D3D">
      <w:pPr>
        <w:pStyle w:val="SingleTxtG"/>
        <w:keepNext/>
        <w:rPr>
          <w:lang w:val="fr-FR"/>
        </w:rPr>
      </w:pPr>
      <w:r w:rsidRPr="00E7159C">
        <w:rPr>
          <w:rFonts w:eastAsia="Times New Roman"/>
          <w:i/>
          <w:iCs/>
        </w:rPr>
        <w:t>(</w:t>
      </w:r>
      <w:r>
        <w:rPr>
          <w:rFonts w:eastAsia="Times New Roman"/>
          <w:i/>
          <w:iCs/>
        </w:rPr>
        <w:t>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1F99CDB8" w14:textId="77777777" w:rsidR="00FD6D3D" w:rsidRDefault="00FD6D3D" w:rsidP="00FD6D3D">
      <w:pPr>
        <w:pStyle w:val="SingleTxtG"/>
        <w:keepNext/>
        <w:rPr>
          <w:lang w:val="fr-FR"/>
        </w:rPr>
      </w:pPr>
      <w:r w:rsidRPr="000E53B5">
        <w:rPr>
          <w:lang w:val="fr-FR"/>
        </w:rPr>
        <w:t>2.2.61.1.14</w:t>
      </w:r>
      <w:r w:rsidRPr="000E53B5">
        <w:rPr>
          <w:lang w:val="fr-FR"/>
        </w:rPr>
        <w:tab/>
      </w:r>
      <w:r w:rsidRPr="00F335CD">
        <w:rPr>
          <w:i/>
          <w:lang w:val="fr-FR"/>
        </w:rPr>
        <w:t>Note de bas de page 3</w:t>
      </w:r>
      <w:r>
        <w:rPr>
          <w:lang w:val="fr-FR"/>
        </w:rPr>
        <w:t xml:space="preserve">, </w:t>
      </w:r>
      <w:r w:rsidRPr="000E53B5">
        <w:rPr>
          <w:lang w:val="fr-FR"/>
        </w:rPr>
        <w:t>remplacer «</w:t>
      </w:r>
      <w:r>
        <w:rPr>
          <w:lang w:val="fr-FR"/>
        </w:rPr>
        <w:t> </w:t>
      </w:r>
      <w:r w:rsidRPr="000E53B5">
        <w:rPr>
          <w:lang w:val="fr-FR"/>
        </w:rPr>
        <w:t>Journal officiel</w:t>
      </w:r>
      <w:r>
        <w:rPr>
          <w:lang w:val="fr-FR"/>
        </w:rPr>
        <w:t> </w:t>
      </w:r>
      <w:r w:rsidRPr="000E53B5">
        <w:rPr>
          <w:lang w:val="fr-FR"/>
        </w:rPr>
        <w:t>» par «</w:t>
      </w:r>
      <w:r>
        <w:rPr>
          <w:lang w:val="fr-FR"/>
        </w:rPr>
        <w:t> </w:t>
      </w:r>
      <w:r w:rsidRPr="000E53B5">
        <w:rPr>
          <w:lang w:val="fr-FR"/>
        </w:rPr>
        <w:t>Journal officiel de l</w:t>
      </w:r>
      <w:r>
        <w:rPr>
          <w:lang w:val="fr-FR"/>
        </w:rPr>
        <w:t>’</w:t>
      </w:r>
      <w:r w:rsidRPr="000E53B5">
        <w:rPr>
          <w:lang w:val="fr-FR"/>
        </w:rPr>
        <w:t>Union européenne</w:t>
      </w:r>
      <w:r>
        <w:rPr>
          <w:lang w:val="fr-FR"/>
        </w:rPr>
        <w:t> </w:t>
      </w:r>
      <w:r w:rsidRPr="000E53B5">
        <w:rPr>
          <w:lang w:val="fr-FR"/>
        </w:rPr>
        <w:t>».</w:t>
      </w:r>
    </w:p>
    <w:p w14:paraId="6A75D68C" w14:textId="77777777" w:rsidR="00FD6D3D" w:rsidRPr="000E53B5" w:rsidRDefault="00FD6D3D" w:rsidP="00FD6D3D">
      <w:pPr>
        <w:pStyle w:val="SingleTxtG"/>
      </w:pPr>
      <w:r w:rsidRPr="000E53B5">
        <w:rPr>
          <w:i/>
          <w:iCs/>
          <w:lang w:val="fr-FR"/>
        </w:rPr>
        <w:t>(Document de référence</w:t>
      </w:r>
      <w:r>
        <w:rPr>
          <w:i/>
          <w:iCs/>
          <w:lang w:val="fr-FR"/>
        </w:rPr>
        <w:t> </w:t>
      </w:r>
      <w:r w:rsidRPr="000E53B5">
        <w:rPr>
          <w:i/>
          <w:iCs/>
          <w:lang w:val="fr-FR"/>
        </w:rPr>
        <w:t>: ECE/TRANS/WP.15/AC.2/2019/21)</w:t>
      </w:r>
    </w:p>
    <w:p w14:paraId="45B4965F"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2.2.9.1.2</w:t>
      </w:r>
      <w:r w:rsidRPr="00E7159C">
        <w:rPr>
          <w:rFonts w:eastAsia="Times New Roman"/>
        </w:rPr>
        <w:tab/>
      </w:r>
      <w:r w:rsidRPr="003A5A14">
        <w:rPr>
          <w:rFonts w:eastAsia="Times New Roman"/>
        </w:rPr>
        <w:t xml:space="preserve">À la fin, ajouter </w:t>
      </w:r>
      <w:r w:rsidRPr="00E7159C">
        <w:rPr>
          <w:rFonts w:eastAsia="Times New Roman"/>
        </w:rPr>
        <w:t xml:space="preserve">: </w:t>
      </w:r>
      <w:r>
        <w:rPr>
          <w:rFonts w:eastAsia="Times New Roman"/>
        </w:rPr>
        <w:t>« </w:t>
      </w:r>
      <w:r w:rsidRPr="00E7159C">
        <w:rPr>
          <w:rFonts w:eastAsia="Times New Roman"/>
        </w:rPr>
        <w:t>M12</w:t>
      </w:r>
      <w:r w:rsidRPr="00E7159C">
        <w:rPr>
          <w:rFonts w:eastAsia="Times New Roman"/>
        </w:rPr>
        <w:tab/>
      </w:r>
      <w:r w:rsidRPr="003A5A14">
        <w:rPr>
          <w:rFonts w:eastAsia="Times New Roman"/>
        </w:rPr>
        <w:t>Autres matières et objets présentant un danger au cours du transport en bateaux-citernes</w:t>
      </w:r>
      <w:r>
        <w:rPr>
          <w:rFonts w:eastAsia="Times New Roman"/>
        </w:rPr>
        <w:t xml:space="preserve"> </w:t>
      </w:r>
      <w:r w:rsidRPr="003A5A14">
        <w:rPr>
          <w:rFonts w:eastAsia="Times New Roman"/>
        </w:rPr>
        <w:t>mais qui ne correspondent à la définition d</w:t>
      </w:r>
      <w:r>
        <w:rPr>
          <w:rFonts w:eastAsia="Times New Roman"/>
        </w:rPr>
        <w:t>’</w:t>
      </w:r>
      <w:r w:rsidRPr="003A5A14">
        <w:rPr>
          <w:rFonts w:eastAsia="Times New Roman"/>
        </w:rPr>
        <w:t>aucune autre classe</w:t>
      </w:r>
      <w:r>
        <w:rPr>
          <w:rFonts w:eastAsia="Times New Roman"/>
        </w:rPr>
        <w:t>. »</w:t>
      </w:r>
      <w:r w:rsidRPr="00E7159C">
        <w:rPr>
          <w:rFonts w:eastAsia="Times New Roman"/>
        </w:rPr>
        <w:t>.</w:t>
      </w:r>
    </w:p>
    <w:p w14:paraId="3BF9885D" w14:textId="77777777" w:rsidR="00FD6D3D" w:rsidRPr="00E7159C" w:rsidRDefault="00FD6D3D" w:rsidP="00FD6D3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6EF1270F" w14:textId="77777777" w:rsidR="00FD6D3D" w:rsidRPr="00F335CD" w:rsidRDefault="00FD6D3D" w:rsidP="00FD6D3D">
      <w:pPr>
        <w:pStyle w:val="SingleTxtG"/>
        <w:rPr>
          <w:lang w:val="fr-FR"/>
        </w:rPr>
      </w:pPr>
      <w:r w:rsidRPr="000E53B5">
        <w:rPr>
          <w:lang w:val="fr-FR"/>
        </w:rPr>
        <w:t>2.2.9.1.10.3</w:t>
      </w:r>
      <w:r w:rsidRPr="000E53B5">
        <w:rPr>
          <w:lang w:val="fr-FR"/>
        </w:rPr>
        <w:tab/>
      </w:r>
      <w:r w:rsidRPr="00F335CD">
        <w:rPr>
          <w:i/>
          <w:lang w:val="fr-FR"/>
        </w:rPr>
        <w:t>Note de bas de page 3</w:t>
      </w:r>
      <w:r w:rsidRPr="00F335CD">
        <w:rPr>
          <w:lang w:val="fr-FR"/>
        </w:rPr>
        <w:t>, remplacer «</w:t>
      </w:r>
      <w:r>
        <w:rPr>
          <w:lang w:val="fr-FR"/>
        </w:rPr>
        <w:t> </w:t>
      </w:r>
      <w:r w:rsidRPr="00F335CD">
        <w:rPr>
          <w:lang w:val="fr-FR"/>
        </w:rPr>
        <w:t>Journal officiel</w:t>
      </w:r>
      <w:r>
        <w:rPr>
          <w:lang w:val="fr-FR"/>
        </w:rPr>
        <w:t> </w:t>
      </w:r>
      <w:r w:rsidRPr="00F335CD">
        <w:rPr>
          <w:lang w:val="fr-FR"/>
        </w:rPr>
        <w:t>» par «</w:t>
      </w:r>
      <w:r>
        <w:rPr>
          <w:lang w:val="fr-FR"/>
        </w:rPr>
        <w:t> </w:t>
      </w:r>
      <w:r w:rsidRPr="00F335CD">
        <w:rPr>
          <w:lang w:val="fr-FR"/>
        </w:rPr>
        <w:t>Journal officiel de l</w:t>
      </w:r>
      <w:r>
        <w:rPr>
          <w:lang w:val="fr-FR"/>
        </w:rPr>
        <w:t>’</w:t>
      </w:r>
      <w:r w:rsidRPr="00F335CD">
        <w:rPr>
          <w:lang w:val="fr-FR"/>
        </w:rPr>
        <w:t>Union européenne</w:t>
      </w:r>
      <w:r>
        <w:rPr>
          <w:lang w:val="fr-FR"/>
        </w:rPr>
        <w:t> </w:t>
      </w:r>
      <w:r w:rsidRPr="00F335CD">
        <w:rPr>
          <w:lang w:val="fr-FR"/>
        </w:rPr>
        <w:t>».</w:t>
      </w:r>
    </w:p>
    <w:p w14:paraId="34744B08" w14:textId="77777777" w:rsidR="00FD6D3D" w:rsidRDefault="00FD6D3D" w:rsidP="00FD6D3D">
      <w:pPr>
        <w:pStyle w:val="SingleTxtG"/>
        <w:rPr>
          <w:i/>
          <w:iCs/>
          <w:lang w:val="fr-FR"/>
        </w:rPr>
      </w:pPr>
      <w:r w:rsidRPr="000E53B5">
        <w:rPr>
          <w:i/>
          <w:iCs/>
          <w:lang w:val="fr-FR"/>
        </w:rPr>
        <w:t>(Document de référence</w:t>
      </w:r>
      <w:r>
        <w:rPr>
          <w:i/>
          <w:iCs/>
          <w:lang w:val="fr-FR"/>
        </w:rPr>
        <w:t> </w:t>
      </w:r>
      <w:r w:rsidRPr="000E53B5">
        <w:rPr>
          <w:i/>
          <w:iCs/>
          <w:lang w:val="fr-FR"/>
        </w:rPr>
        <w:t>: ECE/TRANS/WP.15/AC.2/2019/21)</w:t>
      </w:r>
    </w:p>
    <w:p w14:paraId="6C6F50FD"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2.2.9.3</w:t>
      </w:r>
      <w:r w:rsidRPr="00E7159C">
        <w:rPr>
          <w:rFonts w:eastAsia="Times New Roman"/>
        </w:rPr>
        <w:tab/>
      </w:r>
      <w:r w:rsidRPr="00E7159C">
        <w:rPr>
          <w:rFonts w:eastAsia="Times New Roman"/>
        </w:rPr>
        <w:tab/>
      </w:r>
      <w:r w:rsidRPr="003A5A14">
        <w:rPr>
          <w:rFonts w:eastAsia="Times New Roman"/>
        </w:rPr>
        <w:t xml:space="preserve">Dans le code de classification </w:t>
      </w:r>
      <w:r w:rsidRPr="00E7159C">
        <w:rPr>
          <w:rFonts w:eastAsia="Times New Roman"/>
        </w:rPr>
        <w:t xml:space="preserve">M6, </w:t>
      </w:r>
      <w:r w:rsidRPr="003A5A14">
        <w:rPr>
          <w:rFonts w:eastAsia="Times New Roman"/>
        </w:rPr>
        <w:t>s</w:t>
      </w:r>
      <w:r>
        <w:rPr>
          <w:rFonts w:eastAsia="Times New Roman"/>
        </w:rPr>
        <w:t>u</w:t>
      </w:r>
      <w:r w:rsidRPr="003A5A14">
        <w:rPr>
          <w:rFonts w:eastAsia="Times New Roman"/>
        </w:rPr>
        <w:t>pprimer les rubriques applicables aux</w:t>
      </w:r>
      <w:r w:rsidRPr="003A5A14">
        <w:rPr>
          <w:rFonts w:ascii="Segoe UI" w:hAnsi="Segoe UI" w:cs="Segoe UI"/>
        </w:rPr>
        <w:t xml:space="preserve"> </w:t>
      </w:r>
      <w:r w:rsidRPr="003A5A14">
        <w:rPr>
          <w:rFonts w:eastAsia="Times New Roman"/>
        </w:rPr>
        <w:t>matière</w:t>
      </w:r>
      <w:r>
        <w:rPr>
          <w:rFonts w:eastAsia="Times New Roman"/>
        </w:rPr>
        <w:t xml:space="preserve">s </w:t>
      </w:r>
      <w:r w:rsidRPr="00E7159C">
        <w:rPr>
          <w:rFonts w:eastAsia="Times New Roman"/>
        </w:rPr>
        <w:t xml:space="preserve">9005 </w:t>
      </w:r>
      <w:r>
        <w:rPr>
          <w:rFonts w:eastAsia="Times New Roman"/>
        </w:rPr>
        <w:t xml:space="preserve">et </w:t>
      </w:r>
      <w:r w:rsidRPr="00E7159C">
        <w:rPr>
          <w:rFonts w:eastAsia="Times New Roman"/>
        </w:rPr>
        <w:t>9006.</w:t>
      </w:r>
    </w:p>
    <w:p w14:paraId="0582E702" w14:textId="77777777" w:rsidR="00FD6D3D" w:rsidRPr="00E7159C" w:rsidRDefault="00FD6D3D" w:rsidP="00FD6D3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09E4FD30" w14:textId="77777777" w:rsidR="00FD6D3D" w:rsidRPr="00E7159C" w:rsidRDefault="00FD6D3D" w:rsidP="00FD6D3D">
      <w:pPr>
        <w:tabs>
          <w:tab w:val="left" w:pos="3544"/>
        </w:tabs>
        <w:kinsoku/>
        <w:overflowPunct/>
        <w:autoSpaceDE/>
        <w:autoSpaceDN/>
        <w:adjustRightInd/>
        <w:snapToGrid/>
        <w:spacing w:after="120"/>
        <w:ind w:left="1134" w:right="1134"/>
        <w:jc w:val="both"/>
        <w:rPr>
          <w:rFonts w:eastAsia="Times New Roman"/>
          <w:lang w:val="fr-FR"/>
        </w:rPr>
      </w:pPr>
      <w:r w:rsidRPr="00E7159C">
        <w:rPr>
          <w:rFonts w:eastAsia="Times New Roman"/>
        </w:rPr>
        <w:t xml:space="preserve">2.2.9.3, </w:t>
      </w:r>
      <w:r w:rsidRPr="00E7159C">
        <w:rPr>
          <w:rFonts w:eastAsia="Times New Roman"/>
          <w:lang w:val="fr-FR"/>
        </w:rPr>
        <w:t>Liste des rubriques</w:t>
      </w:r>
      <w:r w:rsidRPr="00E7159C">
        <w:rPr>
          <w:rFonts w:eastAsia="Times New Roman"/>
        </w:rPr>
        <w:tab/>
        <w:t xml:space="preserve">Dans </w:t>
      </w:r>
      <w:r w:rsidRPr="00E7159C">
        <w:rPr>
          <w:rFonts w:eastAsia="Times New Roman"/>
          <w:lang w:val="fr-FR"/>
        </w:rPr>
        <w:t>la subdivision «</w:t>
      </w:r>
      <w:r>
        <w:rPr>
          <w:rFonts w:eastAsia="Times New Roman"/>
          <w:lang w:val="fr-FR"/>
        </w:rPr>
        <w:t> </w:t>
      </w:r>
      <w:r w:rsidRPr="00E7159C">
        <w:rPr>
          <w:rFonts w:eastAsia="Times New Roman"/>
          <w:lang w:val="fr-FR"/>
        </w:rPr>
        <w:t>M11</w:t>
      </w:r>
      <w:r>
        <w:rPr>
          <w:rFonts w:eastAsia="Times New Roman"/>
          <w:lang w:val="fr-FR"/>
        </w:rPr>
        <w:t> </w:t>
      </w:r>
      <w:r w:rsidRPr="00E7159C">
        <w:rPr>
          <w:rFonts w:eastAsia="Times New Roman"/>
          <w:lang w:val="fr-FR"/>
        </w:rPr>
        <w:t>», ajouter «</w:t>
      </w:r>
      <w:r>
        <w:rPr>
          <w:rFonts w:eastAsia="Times New Roman"/>
          <w:lang w:val="fr-FR"/>
        </w:rPr>
        <w:t> </w:t>
      </w:r>
      <w:r w:rsidRPr="00E7159C">
        <w:rPr>
          <w:rFonts w:eastAsia="Times New Roman"/>
          <w:lang w:val="fr-FR"/>
        </w:rPr>
        <w:t>2216 D</w:t>
      </w:r>
      <w:r>
        <w:rPr>
          <w:rFonts w:eastAsia="Times New Roman"/>
          <w:lang w:val="fr-FR"/>
        </w:rPr>
        <w:t>É</w:t>
      </w:r>
      <w:r w:rsidRPr="00E7159C">
        <w:rPr>
          <w:rFonts w:eastAsia="Times New Roman"/>
          <w:lang w:val="fr-FR"/>
        </w:rPr>
        <w:t>CHETS DE POISSON, STABILIS</w:t>
      </w:r>
      <w:r>
        <w:rPr>
          <w:rFonts w:eastAsia="Times New Roman"/>
          <w:lang w:val="fr-FR"/>
        </w:rPr>
        <w:t>É</w:t>
      </w:r>
      <w:r w:rsidRPr="00E7159C">
        <w:rPr>
          <w:rFonts w:eastAsia="Times New Roman"/>
          <w:lang w:val="fr-FR"/>
        </w:rPr>
        <w:t>S</w:t>
      </w:r>
      <w:r>
        <w:rPr>
          <w:rFonts w:eastAsia="Times New Roman"/>
          <w:lang w:val="fr-FR"/>
        </w:rPr>
        <w:t> </w:t>
      </w:r>
      <w:r w:rsidRPr="00E7159C">
        <w:rPr>
          <w:rFonts w:eastAsia="Times New Roman"/>
          <w:lang w:val="fr-FR"/>
        </w:rPr>
        <w:t>»</w:t>
      </w:r>
      <w:r>
        <w:rPr>
          <w:rFonts w:eastAsia="Times New Roman"/>
          <w:lang w:val="fr-FR"/>
        </w:rPr>
        <w:t>.</w:t>
      </w:r>
    </w:p>
    <w:p w14:paraId="30D1DC87" w14:textId="77777777" w:rsidR="00FD6D3D" w:rsidRPr="00E7159C" w:rsidRDefault="00FD6D3D" w:rsidP="00FD6D3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7E05E275" w14:textId="77777777" w:rsidR="00FD6D3D" w:rsidRDefault="00FD6D3D" w:rsidP="00FD6D3D">
      <w:pPr>
        <w:pStyle w:val="SingleTxtG"/>
        <w:pageBreakBefore/>
        <w:rPr>
          <w:rFonts w:eastAsia="Times New Roman"/>
        </w:rPr>
      </w:pPr>
      <w:r w:rsidRPr="00E7159C">
        <w:rPr>
          <w:rFonts w:eastAsia="Times New Roman"/>
        </w:rPr>
        <w:lastRenderedPageBreak/>
        <w:t>2.2.9.3</w:t>
      </w:r>
      <w:r w:rsidRPr="00E7159C">
        <w:rPr>
          <w:rFonts w:eastAsia="Times New Roman"/>
        </w:rPr>
        <w:tab/>
        <w:t xml:space="preserve">, </w:t>
      </w:r>
      <w:r w:rsidRPr="00EB7B9E">
        <w:rPr>
          <w:rFonts w:eastAsia="Times New Roman"/>
        </w:rPr>
        <w:t>Liste des rubriques</w:t>
      </w:r>
      <w:r w:rsidRPr="00E7159C">
        <w:rPr>
          <w:rFonts w:eastAsia="Times New Roman"/>
        </w:rPr>
        <w:tab/>
      </w:r>
      <w:r w:rsidRPr="00EB7B9E">
        <w:rPr>
          <w:rFonts w:eastAsia="Times New Roman"/>
        </w:rPr>
        <w:tab/>
        <w:t>Ajouter la nouvelle rubrique suivante à la fin</w:t>
      </w:r>
      <w:r>
        <w:rPr>
          <w:rFonts w:eastAsia="Times New Roman"/>
        </w:rPr>
        <w:t> </w:t>
      </w:r>
      <w:r w:rsidRPr="00E7159C">
        <w:rPr>
          <w:rFonts w:eastAsia="Times New Roman"/>
        </w:rPr>
        <w:t>:</w:t>
      </w:r>
    </w:p>
    <w:tbl>
      <w:tblPr>
        <w:tblW w:w="8505" w:type="dxa"/>
        <w:tblInd w:w="1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2843"/>
        <w:gridCol w:w="709"/>
        <w:gridCol w:w="4953"/>
      </w:tblGrid>
      <w:tr w:rsidR="00FD6D3D" w:rsidRPr="00E7159C" w14:paraId="143A9DB2" w14:textId="77777777" w:rsidTr="009805F3">
        <w:tc>
          <w:tcPr>
            <w:tcW w:w="3552" w:type="dxa"/>
            <w:gridSpan w:val="2"/>
            <w:tcBorders>
              <w:top w:val="single" w:sz="4" w:space="0" w:color="auto"/>
              <w:bottom w:val="single" w:sz="4" w:space="0" w:color="auto"/>
              <w:right w:val="single" w:sz="4" w:space="0" w:color="auto"/>
            </w:tcBorders>
          </w:tcPr>
          <w:p w14:paraId="42CDA448" w14:textId="77777777" w:rsidR="00FD6D3D" w:rsidRPr="00E7159C" w:rsidRDefault="00FD6D3D" w:rsidP="009805F3">
            <w:pPr>
              <w:kinsoku/>
              <w:overflowPunct/>
              <w:autoSpaceDE/>
              <w:autoSpaceDN/>
              <w:adjustRightInd/>
              <w:snapToGrid/>
              <w:spacing w:after="120"/>
              <w:ind w:left="57" w:right="57"/>
              <w:jc w:val="both"/>
              <w:rPr>
                <w:rFonts w:eastAsia="Times New Roman"/>
                <w:b/>
                <w:lang w:eastAsia="de-DE"/>
              </w:rPr>
            </w:pPr>
          </w:p>
        </w:tc>
        <w:tc>
          <w:tcPr>
            <w:tcW w:w="4953" w:type="dxa"/>
            <w:tcBorders>
              <w:top w:val="single" w:sz="6" w:space="0" w:color="auto"/>
              <w:left w:val="single" w:sz="4" w:space="0" w:color="auto"/>
              <w:bottom w:val="nil"/>
            </w:tcBorders>
          </w:tcPr>
          <w:p w14:paraId="662428B5" w14:textId="77777777" w:rsidR="00FD6D3D" w:rsidRPr="00E7159C" w:rsidRDefault="00FD6D3D" w:rsidP="009805F3">
            <w:pPr>
              <w:tabs>
                <w:tab w:val="left" w:pos="567"/>
              </w:tabs>
              <w:kinsoku/>
              <w:overflowPunct/>
              <w:autoSpaceDE/>
              <w:autoSpaceDN/>
              <w:adjustRightInd/>
              <w:snapToGrid/>
              <w:spacing w:after="120"/>
              <w:ind w:left="57" w:right="57"/>
              <w:jc w:val="both"/>
              <w:rPr>
                <w:rFonts w:eastAsia="Times New Roman"/>
              </w:rPr>
            </w:pPr>
            <w:r w:rsidRPr="00EB7B9E">
              <w:rPr>
                <w:rFonts w:eastAsia="Times New Roman"/>
                <w:lang w:eastAsia="de-DE"/>
              </w:rPr>
              <w:t xml:space="preserve">Seuls les matières et objets énumérés </w:t>
            </w:r>
            <w:r>
              <w:rPr>
                <w:rFonts w:eastAsia="Times New Roman"/>
                <w:lang w:eastAsia="de-DE"/>
              </w:rPr>
              <w:t xml:space="preserve">au </w:t>
            </w:r>
            <w:r w:rsidRPr="00EB7B9E">
              <w:rPr>
                <w:rFonts w:eastAsia="Times New Roman"/>
                <w:lang w:eastAsia="de-DE"/>
              </w:rPr>
              <w:t>tableau A du chapitre 3.2</w:t>
            </w:r>
            <w:r w:rsidRPr="00EB7B9E">
              <w:rPr>
                <w:rFonts w:ascii="Segoe UI" w:hAnsi="Segoe UI" w:cs="Segoe UI"/>
              </w:rPr>
              <w:t xml:space="preserve"> </w:t>
            </w:r>
            <w:r w:rsidRPr="00EB7B9E">
              <w:rPr>
                <w:rFonts w:eastAsia="Times New Roman"/>
                <w:lang w:eastAsia="de-DE"/>
              </w:rPr>
              <w:t>sont soumis aux prescriptions relatives à la classe 9 sous ce code de classification</w:t>
            </w:r>
            <w:r w:rsidRPr="00E7159C">
              <w:rPr>
                <w:rFonts w:eastAsia="Times New Roman"/>
                <w:lang w:eastAsia="de-DE"/>
              </w:rPr>
              <w:t xml:space="preserve">, </w:t>
            </w:r>
            <w:r w:rsidRPr="00EB7B9E">
              <w:rPr>
                <w:rFonts w:eastAsia="Times New Roman"/>
                <w:lang w:eastAsia="de-DE"/>
              </w:rPr>
              <w:t xml:space="preserve">à savoir </w:t>
            </w:r>
            <w:r w:rsidRPr="00E7159C">
              <w:rPr>
                <w:rFonts w:eastAsia="Times New Roman"/>
                <w:lang w:eastAsia="de-DE"/>
              </w:rPr>
              <w:t>:</w:t>
            </w:r>
          </w:p>
        </w:tc>
      </w:tr>
      <w:tr w:rsidR="00FD6D3D" w:rsidRPr="00E7159C" w14:paraId="28B1050A" w14:textId="77777777" w:rsidTr="009805F3">
        <w:tc>
          <w:tcPr>
            <w:tcW w:w="2843" w:type="dxa"/>
            <w:tcBorders>
              <w:top w:val="single" w:sz="4" w:space="0" w:color="auto"/>
              <w:bottom w:val="single" w:sz="4" w:space="0" w:color="auto"/>
            </w:tcBorders>
          </w:tcPr>
          <w:p w14:paraId="27C06565" w14:textId="77777777" w:rsidR="00FD6D3D" w:rsidRPr="00E7159C" w:rsidRDefault="00FD6D3D" w:rsidP="009805F3">
            <w:pPr>
              <w:kinsoku/>
              <w:overflowPunct/>
              <w:autoSpaceDE/>
              <w:autoSpaceDN/>
              <w:adjustRightInd/>
              <w:snapToGrid/>
              <w:spacing w:before="60" w:after="60"/>
              <w:ind w:left="57" w:right="57"/>
              <w:rPr>
                <w:rFonts w:eastAsia="Times New Roman"/>
                <w:b/>
              </w:rPr>
            </w:pPr>
            <w:r w:rsidRPr="00EB7B9E">
              <w:rPr>
                <w:rFonts w:eastAsia="Times New Roman"/>
                <w:b/>
                <w:lang w:eastAsia="de-DE"/>
              </w:rPr>
              <w:t>Autres matières et objets présentant un danger au cours du transport en bateaux-citernes</w:t>
            </w:r>
            <w:r w:rsidRPr="006D5EE9">
              <w:rPr>
                <w:rFonts w:eastAsia="Times New Roman"/>
                <w:b/>
                <w:lang w:eastAsia="de-DE"/>
              </w:rPr>
              <w:t>, mais ne relevant pas de la définition d</w:t>
            </w:r>
            <w:r>
              <w:rPr>
                <w:rFonts w:eastAsia="Times New Roman"/>
                <w:b/>
                <w:lang w:eastAsia="de-DE"/>
              </w:rPr>
              <w:t>’</w:t>
            </w:r>
            <w:r w:rsidRPr="006D5EE9">
              <w:rPr>
                <w:rFonts w:eastAsia="Times New Roman"/>
                <w:b/>
                <w:lang w:eastAsia="de-DE"/>
              </w:rPr>
              <w:t>une autre classe</w:t>
            </w:r>
          </w:p>
        </w:tc>
        <w:tc>
          <w:tcPr>
            <w:tcW w:w="709" w:type="dxa"/>
            <w:tcBorders>
              <w:top w:val="single" w:sz="4" w:space="0" w:color="auto"/>
              <w:bottom w:val="single" w:sz="4" w:space="0" w:color="auto"/>
            </w:tcBorders>
          </w:tcPr>
          <w:p w14:paraId="1AFEA238" w14:textId="77777777" w:rsidR="00FD6D3D" w:rsidRPr="006D5EE9" w:rsidRDefault="00FD6D3D" w:rsidP="009805F3">
            <w:pPr>
              <w:kinsoku/>
              <w:overflowPunct/>
              <w:autoSpaceDE/>
              <w:autoSpaceDN/>
              <w:adjustRightInd/>
              <w:snapToGrid/>
              <w:spacing w:before="60" w:after="120"/>
              <w:ind w:left="57" w:right="57"/>
              <w:rPr>
                <w:rFonts w:eastAsia="Times New Roman"/>
                <w:b/>
                <w:lang w:eastAsia="de-DE"/>
              </w:rPr>
            </w:pPr>
            <w:r>
              <w:rPr>
                <w:rFonts w:eastAsia="Times New Roman"/>
                <w:b/>
                <w:lang w:eastAsia="de-DE"/>
              </w:rPr>
              <w:t>M12</w:t>
            </w:r>
          </w:p>
        </w:tc>
        <w:tc>
          <w:tcPr>
            <w:tcW w:w="4953" w:type="dxa"/>
            <w:tcBorders>
              <w:top w:val="nil"/>
              <w:left w:val="single" w:sz="4" w:space="0" w:color="auto"/>
              <w:bottom w:val="single" w:sz="4" w:space="0" w:color="auto"/>
            </w:tcBorders>
          </w:tcPr>
          <w:p w14:paraId="35A1FF9B" w14:textId="77777777" w:rsidR="00FD6D3D" w:rsidRDefault="00FD6D3D" w:rsidP="009805F3">
            <w:pPr>
              <w:pStyle w:val="SingleTxtG"/>
              <w:spacing w:before="60" w:after="60"/>
              <w:ind w:left="624" w:right="57" w:hanging="567"/>
              <w:jc w:val="left"/>
              <w:rPr>
                <w:lang w:eastAsia="de-DE"/>
              </w:rPr>
            </w:pPr>
            <w:r w:rsidRPr="00E7159C">
              <w:rPr>
                <w:lang w:eastAsia="de-DE"/>
              </w:rPr>
              <w:t>9003</w:t>
            </w:r>
            <w:r w:rsidRPr="00E7159C">
              <w:rPr>
                <w:lang w:eastAsia="de-DE"/>
              </w:rPr>
              <w:tab/>
            </w:r>
            <w:r w:rsidRPr="002E27F1">
              <w:rPr>
                <w:lang w:eastAsia="de-DE"/>
              </w:rPr>
              <w:t>MATIÈRES AYANT UN POINT D</w:t>
            </w:r>
            <w:r>
              <w:rPr>
                <w:lang w:eastAsia="de-DE"/>
              </w:rPr>
              <w:t>’</w:t>
            </w:r>
            <w:r w:rsidRPr="002E27F1">
              <w:rPr>
                <w:lang w:eastAsia="de-DE"/>
              </w:rPr>
              <w:t>ÉCLAIR SUP</w:t>
            </w:r>
            <w:r>
              <w:rPr>
                <w:lang w:eastAsia="de-DE"/>
              </w:rPr>
              <w:t>É</w:t>
            </w:r>
            <w:r w:rsidRPr="002E27F1">
              <w:rPr>
                <w:lang w:eastAsia="de-DE"/>
              </w:rPr>
              <w:t xml:space="preserve">RIEUR </w:t>
            </w:r>
            <w:r>
              <w:rPr>
                <w:lang w:eastAsia="de-DE"/>
              </w:rPr>
              <w:t>À</w:t>
            </w:r>
            <w:r w:rsidRPr="002E27F1">
              <w:rPr>
                <w:lang w:eastAsia="de-DE"/>
              </w:rPr>
              <w:t xml:space="preserve"> 6</w:t>
            </w:r>
            <w:r w:rsidRPr="00E7159C">
              <w:rPr>
                <w:lang w:eastAsia="de-DE"/>
              </w:rPr>
              <w:t xml:space="preserve">0 ºC </w:t>
            </w:r>
            <w:r w:rsidRPr="002E27F1">
              <w:rPr>
                <w:lang w:eastAsia="de-DE"/>
              </w:rPr>
              <w:t>MAIS INFÉRIEUR OU ÉGAL À 100 °C, qui ne sont pas affectées à une autre classe</w:t>
            </w:r>
          </w:p>
          <w:p w14:paraId="22D7BF2B" w14:textId="77777777" w:rsidR="00FD6D3D" w:rsidRDefault="00FD6D3D" w:rsidP="009805F3">
            <w:pPr>
              <w:pStyle w:val="SingleTxtG"/>
              <w:spacing w:before="60" w:after="60"/>
              <w:ind w:left="624" w:right="57" w:hanging="567"/>
              <w:jc w:val="left"/>
              <w:rPr>
                <w:lang w:eastAsia="de-DE"/>
              </w:rPr>
            </w:pPr>
            <w:r w:rsidRPr="00E7159C">
              <w:rPr>
                <w:lang w:eastAsia="de-DE"/>
              </w:rPr>
              <w:t>9004</w:t>
            </w:r>
            <w:r w:rsidRPr="00E7159C">
              <w:rPr>
                <w:lang w:eastAsia="de-DE"/>
              </w:rPr>
              <w:tab/>
            </w:r>
            <w:r w:rsidRPr="002E27F1">
              <w:rPr>
                <w:lang w:eastAsia="de-DE"/>
              </w:rPr>
              <w:t>DIISOCYANATE DE DIPHÉNYLMÉTHANE-4,4</w:t>
            </w:r>
            <w:r>
              <w:rPr>
                <w:lang w:eastAsia="de-DE"/>
              </w:rPr>
              <w:t>’</w:t>
            </w:r>
          </w:p>
          <w:p w14:paraId="49CD90A3" w14:textId="77777777" w:rsidR="00FD6D3D" w:rsidRDefault="00FD6D3D" w:rsidP="009805F3">
            <w:pPr>
              <w:pStyle w:val="SingleTxtG"/>
              <w:spacing w:before="60" w:after="60"/>
              <w:ind w:left="624" w:right="57" w:hanging="567"/>
              <w:jc w:val="left"/>
              <w:rPr>
                <w:lang w:eastAsia="de-DE"/>
              </w:rPr>
            </w:pPr>
            <w:r>
              <w:rPr>
                <w:lang w:eastAsia="de-DE"/>
              </w:rPr>
              <w:t>9005</w:t>
            </w:r>
            <w:r>
              <w:rPr>
                <w:lang w:eastAsia="de-DE"/>
              </w:rPr>
              <w:tab/>
            </w:r>
            <w:r w:rsidRPr="002E27F1">
              <w:rPr>
                <w:lang w:eastAsia="de-DE"/>
              </w:rPr>
              <w:t>MATIÈRE DANGEREUSE DU POINT DE VUE DE L</w:t>
            </w:r>
            <w:r>
              <w:rPr>
                <w:lang w:eastAsia="de-DE"/>
              </w:rPr>
              <w:t>’</w:t>
            </w:r>
            <w:r w:rsidRPr="002E27F1">
              <w:rPr>
                <w:lang w:eastAsia="de-DE"/>
              </w:rPr>
              <w:t>ENVIRONNEMENT, SOLIDE, N.S.A., FONDUE</w:t>
            </w:r>
          </w:p>
          <w:p w14:paraId="6E32AA02" w14:textId="77777777" w:rsidR="00FD6D3D" w:rsidRPr="00E7159C" w:rsidRDefault="00FD6D3D" w:rsidP="009805F3">
            <w:pPr>
              <w:pStyle w:val="SingleTxtG"/>
              <w:spacing w:before="60" w:after="60"/>
              <w:ind w:left="624" w:right="57" w:hanging="567"/>
              <w:jc w:val="left"/>
            </w:pPr>
            <w:r>
              <w:rPr>
                <w:lang w:eastAsia="de-DE"/>
              </w:rPr>
              <w:t>9006</w:t>
            </w:r>
            <w:r>
              <w:rPr>
                <w:lang w:eastAsia="de-DE"/>
              </w:rPr>
              <w:tab/>
            </w:r>
            <w:r w:rsidRPr="002E27F1">
              <w:rPr>
                <w:lang w:eastAsia="de-DE"/>
              </w:rPr>
              <w:t>MATIÈRE DANGEREUSE DU POINT DE VUE DE L</w:t>
            </w:r>
            <w:r>
              <w:rPr>
                <w:lang w:eastAsia="de-DE"/>
              </w:rPr>
              <w:t>’</w:t>
            </w:r>
            <w:r w:rsidRPr="002E27F1">
              <w:rPr>
                <w:lang w:eastAsia="de-DE"/>
              </w:rPr>
              <w:t>ENVIRONNEMENT, LIQUIDE, N.S.A.</w:t>
            </w:r>
          </w:p>
        </w:tc>
      </w:tr>
    </w:tbl>
    <w:p w14:paraId="2A1B2348" w14:textId="77777777" w:rsidR="00FD6D3D" w:rsidRDefault="00FD6D3D" w:rsidP="00FD6D3D">
      <w:pPr>
        <w:kinsoku/>
        <w:overflowPunct/>
        <w:autoSpaceDE/>
        <w:autoSpaceDN/>
        <w:adjustRightInd/>
        <w:snapToGrid/>
        <w:spacing w:before="120"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6E25420B" w14:textId="77777777" w:rsidR="00FD6D3D" w:rsidRPr="0020462E" w:rsidRDefault="00FD6D3D" w:rsidP="00FD6D3D">
      <w:pPr>
        <w:pStyle w:val="H23G"/>
      </w:pPr>
      <w:r>
        <w:tab/>
      </w:r>
      <w:r>
        <w:tab/>
      </w:r>
      <w:r w:rsidRPr="005B1CB2">
        <w:t>Chapitre</w:t>
      </w:r>
      <w:r w:rsidRPr="00E7159C">
        <w:t xml:space="preserve"> 3.1</w:t>
      </w:r>
    </w:p>
    <w:p w14:paraId="26638560"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3.1.2.8.1.4</w:t>
      </w:r>
      <w:r w:rsidRPr="00E7159C">
        <w:rPr>
          <w:rFonts w:eastAsia="Times New Roman"/>
        </w:rPr>
        <w:tab/>
      </w:r>
      <w:r>
        <w:rPr>
          <w:rFonts w:eastAsia="Times New Roman"/>
        </w:rPr>
        <w:t xml:space="preserve">Supprimer, et ajouter </w:t>
      </w:r>
      <w:r w:rsidRPr="00E7159C">
        <w:rPr>
          <w:rFonts w:eastAsia="Times New Roman"/>
        </w:rPr>
        <w:t xml:space="preserve">“3.1.2.8.1.4 </w:t>
      </w:r>
      <w:r w:rsidRPr="00D664B3">
        <w:rPr>
          <w:rFonts w:eastAsia="Times New Roman"/>
          <w:i/>
        </w:rPr>
        <w:t>s</w:t>
      </w:r>
      <w:r w:rsidRPr="00D664B3">
        <w:rPr>
          <w:rFonts w:eastAsia="Times New Roman"/>
          <w:i/>
          <w:iCs/>
        </w:rPr>
        <w:t>u</w:t>
      </w:r>
      <w:r>
        <w:rPr>
          <w:rFonts w:eastAsia="Times New Roman"/>
          <w:i/>
          <w:iCs/>
        </w:rPr>
        <w:t>pprimé</w:t>
      </w:r>
      <w:r w:rsidRPr="00E7159C">
        <w:rPr>
          <w:rFonts w:eastAsia="Times New Roman"/>
        </w:rPr>
        <w:t>”.</w:t>
      </w:r>
    </w:p>
    <w:p w14:paraId="53008492" w14:textId="77777777" w:rsidR="00FD6D3D"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r>
        <w:rPr>
          <w:rFonts w:eastAsia="Times New Roman"/>
        </w:rPr>
        <w:t xml:space="preserve"> </w:t>
      </w:r>
    </w:p>
    <w:p w14:paraId="55EAC6EE" w14:textId="77777777" w:rsidR="00FD6D3D" w:rsidRPr="00E7159C" w:rsidRDefault="00FD6D3D" w:rsidP="00FD6D3D">
      <w:pPr>
        <w:pStyle w:val="H23G"/>
      </w:pPr>
      <w:r>
        <w:tab/>
      </w:r>
      <w:r>
        <w:tab/>
      </w:r>
      <w:r w:rsidRPr="005B1CB2">
        <w:t>Chapitre</w:t>
      </w:r>
      <w:r w:rsidRPr="00E7159C">
        <w:t xml:space="preserve"> 3.2, </w:t>
      </w:r>
      <w:r>
        <w:t>t</w:t>
      </w:r>
      <w:r w:rsidRPr="00E7159C">
        <w:t>able</w:t>
      </w:r>
      <w:r>
        <w:t>au</w:t>
      </w:r>
      <w:r w:rsidRPr="00E7159C">
        <w:t xml:space="preserve"> A</w:t>
      </w:r>
    </w:p>
    <w:p w14:paraId="2ADE75E6"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2E27F1">
        <w:rPr>
          <w:rFonts w:eastAsia="Times New Roman"/>
        </w:rPr>
        <w:t xml:space="preserve">Pour les </w:t>
      </w:r>
      <w:r>
        <w:rPr>
          <w:rFonts w:eastAsia="Times New Roman"/>
        </w:rPr>
        <w:t>Nos </w:t>
      </w:r>
      <w:r w:rsidRPr="002E27F1">
        <w:rPr>
          <w:rFonts w:eastAsia="Times New Roman"/>
        </w:rPr>
        <w:t xml:space="preserve">ONU </w:t>
      </w:r>
      <w:r w:rsidRPr="00E7159C">
        <w:rPr>
          <w:rFonts w:eastAsia="Times New Roman"/>
        </w:rPr>
        <w:t xml:space="preserve">2074, 3468 </w:t>
      </w:r>
      <w:r w:rsidRPr="002E27F1">
        <w:rPr>
          <w:rFonts w:eastAsia="Times New Roman"/>
        </w:rPr>
        <w:t xml:space="preserve">et </w:t>
      </w:r>
      <w:r w:rsidRPr="00E7159C">
        <w:rPr>
          <w:rFonts w:eastAsia="Times New Roman"/>
        </w:rPr>
        <w:t xml:space="preserve">1153, </w:t>
      </w:r>
      <w:r w:rsidRPr="002E27F1">
        <w:rPr>
          <w:rFonts w:eastAsia="Times New Roman"/>
        </w:rPr>
        <w:t>groupe d</w:t>
      </w:r>
      <w:r>
        <w:rPr>
          <w:rFonts w:eastAsia="Times New Roman"/>
        </w:rPr>
        <w:t>’</w:t>
      </w:r>
      <w:r w:rsidRPr="002E27F1">
        <w:rPr>
          <w:rFonts w:eastAsia="Times New Roman"/>
        </w:rPr>
        <w:t>emballage II</w:t>
      </w:r>
      <w:r w:rsidRPr="00E7159C">
        <w:rPr>
          <w:rFonts w:eastAsia="Times New Roman"/>
        </w:rPr>
        <w:t xml:space="preserve">, </w:t>
      </w:r>
      <w:r w:rsidRPr="002E27F1">
        <w:rPr>
          <w:rFonts w:eastAsia="Times New Roman"/>
        </w:rPr>
        <w:t xml:space="preserve">dans la colonne </w:t>
      </w:r>
      <w:r w:rsidRPr="00E7159C">
        <w:rPr>
          <w:rFonts w:eastAsia="Times New Roman"/>
        </w:rPr>
        <w:t xml:space="preserve">(8) </w:t>
      </w:r>
      <w:r>
        <w:rPr>
          <w:rFonts w:eastAsia="Times New Roman"/>
        </w:rPr>
        <w:t>supprimer</w:t>
      </w:r>
      <w:r w:rsidRPr="00E7159C">
        <w:rPr>
          <w:rFonts w:eastAsia="Times New Roman"/>
        </w:rPr>
        <w:t xml:space="preserve"> </w:t>
      </w:r>
      <w:r>
        <w:rPr>
          <w:rFonts w:eastAsia="Times New Roman"/>
        </w:rPr>
        <w:t>« </w:t>
      </w:r>
      <w:r w:rsidRPr="00E7159C">
        <w:rPr>
          <w:rFonts w:eastAsia="Times New Roman"/>
        </w:rPr>
        <w:t>T</w:t>
      </w:r>
      <w:r>
        <w:rPr>
          <w:rFonts w:eastAsia="Times New Roman"/>
        </w:rPr>
        <w:t> »</w:t>
      </w:r>
      <w:r w:rsidRPr="00E7159C">
        <w:rPr>
          <w:rFonts w:eastAsia="Times New Roman"/>
        </w:rPr>
        <w:t>.</w:t>
      </w:r>
    </w:p>
    <w:p w14:paraId="335DBF70" w14:textId="77777777" w:rsidR="00FD6D3D" w:rsidRPr="00E7159C" w:rsidRDefault="00FD6D3D" w:rsidP="00FD6D3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2E85FF16"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474FDB">
        <w:rPr>
          <w:rFonts w:eastAsia="Times New Roman"/>
        </w:rPr>
        <w:t xml:space="preserve">Pour le </w:t>
      </w:r>
      <w:r>
        <w:rPr>
          <w:rFonts w:eastAsia="Times New Roman"/>
        </w:rPr>
        <w:t>No </w:t>
      </w:r>
      <w:r w:rsidRPr="00474FDB">
        <w:rPr>
          <w:rFonts w:eastAsia="Times New Roman"/>
        </w:rPr>
        <w:t xml:space="preserve">ONU </w:t>
      </w:r>
      <w:r w:rsidRPr="00E7159C">
        <w:rPr>
          <w:rFonts w:eastAsia="Times New Roman"/>
        </w:rPr>
        <w:t xml:space="preserve">2216, </w:t>
      </w:r>
      <w:r w:rsidRPr="002E27F1">
        <w:rPr>
          <w:rFonts w:eastAsia="Times New Roman"/>
        </w:rPr>
        <w:t xml:space="preserve">modifier la colonne </w:t>
      </w:r>
      <w:r w:rsidRPr="00E7159C">
        <w:rPr>
          <w:rFonts w:eastAsia="Times New Roman"/>
        </w:rPr>
        <w:t xml:space="preserve">(2) </w:t>
      </w:r>
      <w:r w:rsidRPr="00474FDB">
        <w:rPr>
          <w:rFonts w:eastAsia="Times New Roman"/>
        </w:rPr>
        <w:t>comme suit</w:t>
      </w:r>
      <w:r>
        <w:rPr>
          <w:rFonts w:eastAsia="Times New Roman"/>
        </w:rPr>
        <w:t> </w:t>
      </w:r>
      <w:r w:rsidRPr="00474FDB">
        <w:rPr>
          <w:rFonts w:eastAsia="Times New Roman"/>
        </w:rPr>
        <w:t>:</w:t>
      </w:r>
      <w:r w:rsidRPr="00E7159C">
        <w:rPr>
          <w:rFonts w:eastAsia="Times New Roman"/>
        </w:rPr>
        <w:t xml:space="preserve"> </w:t>
      </w:r>
      <w:r>
        <w:rPr>
          <w:rFonts w:eastAsia="Times New Roman"/>
        </w:rPr>
        <w:t>« </w:t>
      </w:r>
      <w:r w:rsidRPr="00474FDB">
        <w:rPr>
          <w:rFonts w:eastAsia="Times New Roman"/>
        </w:rPr>
        <w:t xml:space="preserve">FARINE DE POISSON STABILISÉE </w:t>
      </w:r>
      <w:r>
        <w:rPr>
          <w:rFonts w:eastAsia="Times New Roman"/>
        </w:rPr>
        <w:t>ou</w:t>
      </w:r>
      <w:r w:rsidRPr="00474FDB">
        <w:rPr>
          <w:rFonts w:eastAsia="Times New Roman"/>
        </w:rPr>
        <w:t xml:space="preserve"> DÉCHETS DE POISSON</w:t>
      </w:r>
      <w:r>
        <w:rPr>
          <w:rFonts w:eastAsia="Times New Roman"/>
        </w:rPr>
        <w:t xml:space="preserve"> </w:t>
      </w:r>
      <w:r w:rsidRPr="00474FDB">
        <w:rPr>
          <w:rFonts w:eastAsia="Times New Roman"/>
        </w:rPr>
        <w:t>STA</w:t>
      </w:r>
      <w:r>
        <w:rPr>
          <w:rFonts w:eastAsia="Times New Roman"/>
        </w:rPr>
        <w:t>BILISÉS. »</w:t>
      </w:r>
      <w:r w:rsidRPr="00E7159C">
        <w:rPr>
          <w:rFonts w:eastAsia="Times New Roman"/>
        </w:rPr>
        <w:t>.</w:t>
      </w:r>
    </w:p>
    <w:p w14:paraId="6597A8D6"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0634FC47" w14:textId="77777777" w:rsidR="00FD6D3D" w:rsidRPr="00271937" w:rsidRDefault="00FD6D3D" w:rsidP="00FD6D3D">
      <w:pPr>
        <w:kinsoku/>
        <w:overflowPunct/>
        <w:autoSpaceDE/>
        <w:autoSpaceDN/>
        <w:adjustRightInd/>
        <w:snapToGrid/>
        <w:spacing w:after="120"/>
        <w:ind w:left="1134" w:right="1134"/>
        <w:jc w:val="both"/>
        <w:rPr>
          <w:rFonts w:eastAsia="Times New Roman"/>
          <w:spacing w:val="-2"/>
        </w:rPr>
      </w:pPr>
      <w:r w:rsidRPr="00271937">
        <w:rPr>
          <w:rFonts w:eastAsia="Times New Roman"/>
          <w:spacing w:val="-2"/>
        </w:rPr>
        <w:t>3.2.1</w:t>
      </w:r>
      <w:r w:rsidRPr="00271937">
        <w:rPr>
          <w:rFonts w:eastAsia="Times New Roman"/>
          <w:spacing w:val="-2"/>
        </w:rPr>
        <w:tab/>
        <w:t>Pour les Nos ONU 2288, 2582, 2785, 2984 et 3429, dans la colonne (8) ajouter « T ».</w:t>
      </w:r>
    </w:p>
    <w:p w14:paraId="39BEDDCD"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6A4FC92D"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474FDB">
        <w:rPr>
          <w:rFonts w:eastAsia="Times New Roman"/>
        </w:rPr>
        <w:t xml:space="preserve">Pour le </w:t>
      </w:r>
      <w:r>
        <w:rPr>
          <w:rFonts w:eastAsia="Times New Roman"/>
        </w:rPr>
        <w:t>No </w:t>
      </w:r>
      <w:r w:rsidRPr="00474FDB">
        <w:rPr>
          <w:rFonts w:eastAsia="Times New Roman"/>
        </w:rPr>
        <w:t xml:space="preserve">ONU </w:t>
      </w:r>
      <w:r w:rsidRPr="00E7159C">
        <w:rPr>
          <w:rFonts w:eastAsia="Times New Roman"/>
        </w:rPr>
        <w:t xml:space="preserve">2785 </w:t>
      </w:r>
      <w:r w:rsidRPr="00E7159C">
        <w:rPr>
          <w:rFonts w:eastAsia="Times New Roman"/>
          <w:iCs/>
          <w:lang w:val="fr-FR"/>
        </w:rPr>
        <w:t>dans la colonne (2), supprimer</w:t>
      </w:r>
      <w:r w:rsidRPr="00E7159C">
        <w:rPr>
          <w:rFonts w:eastAsia="Times New Roman"/>
        </w:rPr>
        <w:t xml:space="preserve"> «</w:t>
      </w:r>
      <w:r>
        <w:rPr>
          <w:rFonts w:eastAsia="Times New Roman"/>
        </w:rPr>
        <w:t> </w:t>
      </w:r>
      <w:r w:rsidRPr="00E7159C">
        <w:rPr>
          <w:rFonts w:eastAsia="Times New Roman"/>
        </w:rPr>
        <w:t>(MÉTHYLTHIO-3 PROPANAL)</w:t>
      </w:r>
      <w:r>
        <w:rPr>
          <w:rFonts w:eastAsia="Times New Roman"/>
        </w:rPr>
        <w:t> </w:t>
      </w:r>
      <w:r w:rsidRPr="00E7159C">
        <w:rPr>
          <w:rFonts w:eastAsia="Times New Roman"/>
        </w:rPr>
        <w:t>».</w:t>
      </w:r>
    </w:p>
    <w:p w14:paraId="11E5BD09"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3591B526" w14:textId="77777777" w:rsidR="00FD6D3D"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474FDB">
        <w:rPr>
          <w:rFonts w:eastAsia="Times New Roman"/>
        </w:rPr>
        <w:t xml:space="preserve">Pour le </w:t>
      </w:r>
      <w:r>
        <w:rPr>
          <w:rFonts w:eastAsia="Times New Roman"/>
        </w:rPr>
        <w:t>No </w:t>
      </w:r>
      <w:r w:rsidRPr="00474FDB">
        <w:rPr>
          <w:rFonts w:eastAsia="Times New Roman"/>
        </w:rPr>
        <w:t xml:space="preserve">ONU </w:t>
      </w:r>
      <w:r w:rsidRPr="00E7159C">
        <w:rPr>
          <w:rFonts w:eastAsia="Times New Roman"/>
        </w:rPr>
        <w:t xml:space="preserve">3456 </w:t>
      </w:r>
      <w:r w:rsidRPr="00474FDB">
        <w:rPr>
          <w:rFonts w:eastAsia="Times New Roman"/>
          <w:iCs/>
          <w:lang w:val="fr-FR"/>
        </w:rPr>
        <w:t xml:space="preserve">dans la colonne </w:t>
      </w:r>
      <w:r w:rsidRPr="00E7159C">
        <w:rPr>
          <w:rFonts w:eastAsia="Times New Roman"/>
        </w:rPr>
        <w:t>(8)</w:t>
      </w:r>
      <w:r>
        <w:rPr>
          <w:rFonts w:eastAsia="Times New Roman"/>
        </w:rPr>
        <w:t>,</w:t>
      </w:r>
      <w:r w:rsidRPr="00E7159C">
        <w:rPr>
          <w:rFonts w:eastAsia="Times New Roman"/>
        </w:rPr>
        <w:t xml:space="preserve"> </w:t>
      </w:r>
      <w:r w:rsidRPr="00474FDB">
        <w:rPr>
          <w:rFonts w:eastAsia="Times New Roman"/>
        </w:rPr>
        <w:t>supprimer</w:t>
      </w:r>
      <w:r w:rsidRPr="00E7159C">
        <w:rPr>
          <w:rFonts w:eastAsia="Times New Roman"/>
        </w:rPr>
        <w:t xml:space="preserve"> </w:t>
      </w:r>
      <w:r>
        <w:rPr>
          <w:rFonts w:eastAsia="Times New Roman"/>
        </w:rPr>
        <w:t>« </w:t>
      </w:r>
      <w:r w:rsidRPr="00E7159C">
        <w:rPr>
          <w:rFonts w:eastAsia="Times New Roman"/>
        </w:rPr>
        <w:t>T3</w:t>
      </w:r>
      <w:r>
        <w:rPr>
          <w:rFonts w:eastAsia="Times New Roman"/>
        </w:rPr>
        <w:t> »</w:t>
      </w:r>
      <w:r w:rsidRPr="00E7159C">
        <w:rPr>
          <w:rFonts w:eastAsia="Times New Roman"/>
        </w:rPr>
        <w:t>.</w:t>
      </w:r>
    </w:p>
    <w:p w14:paraId="31DF3318" w14:textId="77777777" w:rsidR="00FD6D3D" w:rsidRDefault="00FD6D3D" w:rsidP="00FD6D3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sidRPr="005B1CB2">
        <w:rPr>
          <w:rFonts w:eastAsia="Times New Roman"/>
          <w:i/>
          <w:iCs/>
        </w:rPr>
        <w:t>Document de référence</w:t>
      </w:r>
      <w:r>
        <w:rPr>
          <w:rFonts w:eastAsia="Times New Roman"/>
          <w:i/>
          <w:iCs/>
        </w:rPr>
        <w:t xml:space="preserv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5AB7F3B6"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474FDB">
        <w:rPr>
          <w:rFonts w:eastAsia="Times New Roman"/>
        </w:rPr>
        <w:t xml:space="preserve">Pour </w:t>
      </w:r>
      <w:r w:rsidRPr="007322DB">
        <w:rPr>
          <w:rFonts w:eastAsia="Times New Roman"/>
        </w:rPr>
        <w:t>l</w:t>
      </w:r>
      <w:r>
        <w:rPr>
          <w:rFonts w:eastAsia="Times New Roman"/>
        </w:rPr>
        <w:t>e</w:t>
      </w:r>
      <w:r w:rsidRPr="007322DB">
        <w:rPr>
          <w:rFonts w:eastAsia="Times New Roman"/>
        </w:rPr>
        <w:t xml:space="preserve"> </w:t>
      </w:r>
      <w:r>
        <w:rPr>
          <w:rFonts w:eastAsia="Times New Roman"/>
        </w:rPr>
        <w:t>No</w:t>
      </w:r>
      <w:r w:rsidRPr="007322DB">
        <w:rPr>
          <w:rFonts w:eastAsia="Times New Roman"/>
        </w:rPr>
        <w:t xml:space="preserve"> </w:t>
      </w:r>
      <w:r>
        <w:rPr>
          <w:rFonts w:eastAsia="Times New Roman"/>
        </w:rPr>
        <w:t>de</w:t>
      </w:r>
      <w:r w:rsidRPr="00474FDB">
        <w:rPr>
          <w:rFonts w:eastAsia="Times New Roman"/>
        </w:rPr>
        <w:t xml:space="preserve"> matière </w:t>
      </w:r>
      <w:r w:rsidRPr="00E7159C">
        <w:rPr>
          <w:rFonts w:eastAsia="Times New Roman"/>
        </w:rPr>
        <w:t xml:space="preserve">9001, </w:t>
      </w:r>
      <w:r>
        <w:rPr>
          <w:rFonts w:eastAsia="Times New Roman"/>
        </w:rPr>
        <w:t xml:space="preserve">modifier la colonne </w:t>
      </w:r>
      <w:r w:rsidRPr="00E7159C">
        <w:rPr>
          <w:rFonts w:eastAsia="Times New Roman"/>
        </w:rPr>
        <w:t xml:space="preserve">(2) </w:t>
      </w:r>
      <w:r>
        <w:rPr>
          <w:rFonts w:eastAsia="Times New Roman"/>
        </w:rPr>
        <w:t>comme suit </w:t>
      </w:r>
      <w:r w:rsidRPr="00E7159C">
        <w:rPr>
          <w:rFonts w:eastAsia="Times New Roman"/>
        </w:rPr>
        <w:t xml:space="preserve">: </w:t>
      </w:r>
      <w:r>
        <w:rPr>
          <w:rFonts w:eastAsia="Times New Roman"/>
        </w:rPr>
        <w:t>« </w:t>
      </w:r>
      <w:r w:rsidRPr="00474FDB">
        <w:rPr>
          <w:rFonts w:eastAsia="Times New Roman"/>
        </w:rPr>
        <w:t>MATIÈRE DONT LE POINT D</w:t>
      </w:r>
      <w:r>
        <w:rPr>
          <w:rFonts w:eastAsia="Times New Roman"/>
        </w:rPr>
        <w:t>’</w:t>
      </w:r>
      <w:r w:rsidRPr="00474FDB">
        <w:rPr>
          <w:rFonts w:eastAsia="Times New Roman"/>
        </w:rPr>
        <w:t>ÉCLAIR EST SUPÉRIEUR À 60</w:t>
      </w:r>
      <w:r>
        <w:rPr>
          <w:rFonts w:eastAsia="Times New Roman"/>
        </w:rPr>
        <w:t xml:space="preserve"> </w:t>
      </w:r>
      <w:r w:rsidRPr="00474FDB">
        <w:rPr>
          <w:rFonts w:eastAsia="Times New Roman"/>
        </w:rPr>
        <w:t>°C,</w:t>
      </w:r>
      <w:r>
        <w:rPr>
          <w:rFonts w:eastAsia="Times New Roman"/>
        </w:rPr>
        <w:t xml:space="preserve"> CHAUFFÉE jusqu’à </w:t>
      </w:r>
      <w:r w:rsidRPr="00474FDB">
        <w:rPr>
          <w:rFonts w:eastAsia="Times New Roman"/>
        </w:rPr>
        <w:t>15</w:t>
      </w:r>
      <w:r>
        <w:rPr>
          <w:rFonts w:eastAsia="Times New Roman"/>
        </w:rPr>
        <w:t> K</w:t>
      </w:r>
      <w:r w:rsidRPr="00474FDB">
        <w:rPr>
          <w:rFonts w:eastAsia="Times New Roman"/>
        </w:rPr>
        <w:t xml:space="preserve"> </w:t>
      </w:r>
      <w:r>
        <w:rPr>
          <w:rFonts w:eastAsia="Times New Roman"/>
        </w:rPr>
        <w:t xml:space="preserve">en dessous </w:t>
      </w:r>
      <w:r w:rsidRPr="00474FDB">
        <w:rPr>
          <w:rFonts w:eastAsia="Times New Roman"/>
        </w:rPr>
        <w:t>du point d</w:t>
      </w:r>
      <w:r>
        <w:rPr>
          <w:rFonts w:eastAsia="Times New Roman"/>
        </w:rPr>
        <w:t>’</w:t>
      </w:r>
      <w:r w:rsidRPr="00474FDB">
        <w:rPr>
          <w:rFonts w:eastAsia="Times New Roman"/>
        </w:rPr>
        <w:t>éclair</w:t>
      </w:r>
      <w:r>
        <w:rPr>
          <w:rFonts w:eastAsia="Times New Roman"/>
        </w:rPr>
        <w:t>. »</w:t>
      </w:r>
      <w:r w:rsidRPr="00E7159C">
        <w:rPr>
          <w:rFonts w:eastAsia="Times New Roman"/>
        </w:rPr>
        <w:t>.</w:t>
      </w:r>
    </w:p>
    <w:p w14:paraId="5E0D7EB5" w14:textId="77777777" w:rsidR="00FD6D3D" w:rsidRPr="00E7159C" w:rsidRDefault="00FD6D3D" w:rsidP="00FD6D3D">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sidRPr="005B1CB2">
        <w:rPr>
          <w:rFonts w:eastAsia="Times New Roman"/>
          <w:i/>
          <w:iCs/>
        </w:rPr>
        <w:t>Document de référence</w:t>
      </w:r>
      <w:r>
        <w:rPr>
          <w:rFonts w:eastAsia="Times New Roman"/>
          <w:i/>
          <w:iCs/>
        </w:rPr>
        <w:t xml:space="preserve"> </w:t>
      </w:r>
      <w:r w:rsidRPr="00E7159C">
        <w:rPr>
          <w:rFonts w:eastAsia="Times New Roman"/>
          <w:i/>
          <w:iCs/>
        </w:rPr>
        <w:t xml:space="preserve">: </w:t>
      </w:r>
      <w:r>
        <w:rPr>
          <w:rFonts w:eastAsia="Times New Roman"/>
          <w:i/>
          <w:iCs/>
        </w:rPr>
        <w:t>document informel INF</w:t>
      </w:r>
      <w:r w:rsidRPr="00E7159C">
        <w:rPr>
          <w:rFonts w:eastAsia="Times New Roman"/>
          <w:i/>
          <w:iCs/>
        </w:rPr>
        <w:t>.7</w:t>
      </w:r>
      <w:r>
        <w:rPr>
          <w:rFonts w:eastAsia="Times New Roman"/>
          <w:i/>
          <w:iCs/>
        </w:rPr>
        <w:t xml:space="preserve"> tel que</w:t>
      </w:r>
      <w:r w:rsidRPr="00E7159C">
        <w:rPr>
          <w:rFonts w:eastAsia="Times New Roman"/>
          <w:i/>
          <w:iCs/>
        </w:rPr>
        <w:t xml:space="preserve"> </w:t>
      </w:r>
      <w:r>
        <w:rPr>
          <w:rFonts w:eastAsia="Times New Roman"/>
          <w:i/>
          <w:iCs/>
        </w:rPr>
        <w:t>modifié</w:t>
      </w:r>
      <w:r w:rsidRPr="00E7159C">
        <w:rPr>
          <w:rFonts w:eastAsia="Times New Roman"/>
          <w:i/>
          <w:iCs/>
        </w:rPr>
        <w:t>)</w:t>
      </w:r>
    </w:p>
    <w:p w14:paraId="46C2CDAE"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3.2.1</w:t>
      </w:r>
      <w:r w:rsidRPr="00E7159C">
        <w:rPr>
          <w:rFonts w:eastAsia="Times New Roman"/>
        </w:rPr>
        <w:tab/>
      </w:r>
      <w:r w:rsidRPr="009033DF">
        <w:rPr>
          <w:rFonts w:eastAsia="Times New Roman"/>
        </w:rPr>
        <w:t xml:space="preserve">Pour les </w:t>
      </w:r>
      <w:proofErr w:type="spellStart"/>
      <w:r>
        <w:rPr>
          <w:rFonts w:eastAsia="Times New Roman"/>
        </w:rPr>
        <w:t>Nos</w:t>
      </w:r>
      <w:proofErr w:type="spellEnd"/>
      <w:r>
        <w:rPr>
          <w:rFonts w:eastAsia="Times New Roman"/>
        </w:rPr>
        <w:t xml:space="preserve"> des </w:t>
      </w:r>
      <w:r w:rsidRPr="009033DF">
        <w:rPr>
          <w:rFonts w:eastAsia="Times New Roman"/>
        </w:rPr>
        <w:t xml:space="preserve">matières </w:t>
      </w:r>
      <w:r w:rsidRPr="00E7159C">
        <w:rPr>
          <w:rFonts w:eastAsia="Times New Roman"/>
        </w:rPr>
        <w:t xml:space="preserve">9003, 9004, 9005 </w:t>
      </w:r>
      <w:r w:rsidRPr="009033DF">
        <w:rPr>
          <w:rFonts w:eastAsia="Times New Roman"/>
        </w:rPr>
        <w:t>et</w:t>
      </w:r>
      <w:r w:rsidRPr="00E7159C">
        <w:rPr>
          <w:rFonts w:eastAsia="Times New Roman"/>
        </w:rPr>
        <w:t xml:space="preserve"> 9006, </w:t>
      </w:r>
      <w:r w:rsidRPr="009033DF">
        <w:rPr>
          <w:rFonts w:eastAsia="Times New Roman"/>
        </w:rPr>
        <w:t xml:space="preserve">dans la colonne </w:t>
      </w:r>
      <w:r w:rsidRPr="00E7159C">
        <w:rPr>
          <w:rFonts w:eastAsia="Times New Roman"/>
        </w:rPr>
        <w:t>3</w:t>
      </w:r>
      <w:r>
        <w:rPr>
          <w:rFonts w:eastAsia="Times New Roman"/>
        </w:rPr>
        <w:t xml:space="preserve"> </w:t>
      </w:r>
      <w:r w:rsidRPr="00E7159C">
        <w:rPr>
          <w:rFonts w:eastAsia="Times New Roman"/>
        </w:rPr>
        <w:t>b) ins</w:t>
      </w:r>
      <w:r>
        <w:rPr>
          <w:rFonts w:eastAsia="Times New Roman"/>
        </w:rPr>
        <w:t>ér</w:t>
      </w:r>
      <w:r w:rsidRPr="00E7159C">
        <w:rPr>
          <w:rFonts w:eastAsia="Times New Roman"/>
        </w:rPr>
        <w:t xml:space="preserve">er </w:t>
      </w:r>
      <w:r>
        <w:rPr>
          <w:rFonts w:eastAsia="Times New Roman"/>
        </w:rPr>
        <w:t>« </w:t>
      </w:r>
      <w:r w:rsidRPr="00E7159C">
        <w:rPr>
          <w:rFonts w:eastAsia="Times New Roman"/>
        </w:rPr>
        <w:t>M12</w:t>
      </w:r>
      <w:r>
        <w:rPr>
          <w:rFonts w:eastAsia="Times New Roman"/>
        </w:rPr>
        <w:t> »</w:t>
      </w:r>
      <w:r w:rsidRPr="00E7159C">
        <w:rPr>
          <w:rFonts w:eastAsia="Times New Roman"/>
        </w:rPr>
        <w:t>.</w:t>
      </w:r>
    </w:p>
    <w:p w14:paraId="3A596394" w14:textId="77777777" w:rsidR="00FD6D3D"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124DF6AA" w14:textId="77777777" w:rsidR="00FD6D3D" w:rsidRPr="00E7159C" w:rsidRDefault="00FD6D3D" w:rsidP="00FD6D3D">
      <w:pPr>
        <w:pStyle w:val="H23G"/>
      </w:pPr>
      <w:r>
        <w:tab/>
      </w:r>
      <w:r>
        <w:tab/>
      </w:r>
      <w:r w:rsidRPr="009033DF">
        <w:t>Chapitre</w:t>
      </w:r>
      <w:r w:rsidRPr="00E7159C">
        <w:t xml:space="preserve"> 3.2, </w:t>
      </w:r>
      <w:r>
        <w:t>t</w:t>
      </w:r>
      <w:r w:rsidRPr="00E7159C">
        <w:t>able</w:t>
      </w:r>
      <w:r w:rsidRPr="009033DF">
        <w:t>au</w:t>
      </w:r>
      <w:r w:rsidRPr="00E7159C">
        <w:t xml:space="preserve"> C</w:t>
      </w:r>
    </w:p>
    <w:p w14:paraId="53FC9FB0"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3.2.3.2</w:t>
      </w:r>
      <w:r>
        <w:rPr>
          <w:rFonts w:eastAsia="Times New Roman"/>
        </w:rPr>
        <w:tab/>
      </w:r>
      <w:r w:rsidRPr="00E7159C">
        <w:rPr>
          <w:rFonts w:eastAsia="Times New Roman"/>
        </w:rPr>
        <w:tab/>
        <w:t xml:space="preserve">Pour le </w:t>
      </w:r>
      <w:r>
        <w:rPr>
          <w:rFonts w:eastAsia="Times New Roman"/>
        </w:rPr>
        <w:t>No </w:t>
      </w:r>
      <w:r w:rsidRPr="00E7159C">
        <w:rPr>
          <w:rFonts w:eastAsia="Times New Roman"/>
        </w:rPr>
        <w:t xml:space="preserve">ONU 1177, </w:t>
      </w:r>
      <w:r w:rsidRPr="00E7159C">
        <w:rPr>
          <w:rFonts w:eastAsia="Times New Roman"/>
          <w:iCs/>
          <w:lang w:val="fr-FR"/>
        </w:rPr>
        <w:t xml:space="preserve">dans la colonne (2) modifier la désignation </w:t>
      </w:r>
      <w:r>
        <w:rPr>
          <w:rFonts w:eastAsia="Times New Roman"/>
          <w:iCs/>
          <w:lang w:val="fr-FR"/>
        </w:rPr>
        <w:t xml:space="preserve">comme suit : </w:t>
      </w:r>
      <w:r w:rsidRPr="00E7159C">
        <w:rPr>
          <w:rFonts w:eastAsia="Times New Roman"/>
          <w:iCs/>
          <w:lang w:val="fr-FR"/>
        </w:rPr>
        <w:t>«</w:t>
      </w:r>
      <w:r>
        <w:rPr>
          <w:rFonts w:eastAsia="Times New Roman"/>
          <w:iCs/>
          <w:lang w:val="fr-FR"/>
        </w:rPr>
        <w:t> </w:t>
      </w:r>
      <w:r w:rsidRPr="00E7159C">
        <w:rPr>
          <w:rFonts w:eastAsia="Times New Roman"/>
        </w:rPr>
        <w:t>ACÉTATE DE 2-ÉTHYLBUTYLE</w:t>
      </w:r>
      <w:r>
        <w:rPr>
          <w:rFonts w:eastAsia="Times New Roman"/>
        </w:rPr>
        <w:t> </w:t>
      </w:r>
      <w:r w:rsidRPr="00E7159C">
        <w:rPr>
          <w:rFonts w:eastAsia="Times New Roman"/>
        </w:rPr>
        <w:t>»</w:t>
      </w:r>
      <w:r>
        <w:rPr>
          <w:rFonts w:eastAsia="Times New Roman"/>
        </w:rPr>
        <w:t>.</w:t>
      </w:r>
    </w:p>
    <w:p w14:paraId="1D870B2A"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r w:rsidRPr="009033DF">
        <w:t xml:space="preserve"> </w:t>
      </w:r>
      <w:r w:rsidRPr="009033DF">
        <w:rPr>
          <w:rFonts w:eastAsia="Times New Roman"/>
          <w:i/>
          <w:iCs/>
        </w:rPr>
        <w:t>tel que modifié</w:t>
      </w:r>
      <w:r w:rsidRPr="00E7159C">
        <w:rPr>
          <w:rFonts w:eastAsia="Times New Roman"/>
          <w:i/>
          <w:iCs/>
        </w:rPr>
        <w:t>)</w:t>
      </w:r>
    </w:p>
    <w:p w14:paraId="60C41722"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lastRenderedPageBreak/>
        <w:t>3.2.3.2</w:t>
      </w:r>
      <w:r w:rsidRPr="00E7159C">
        <w:rPr>
          <w:rFonts w:eastAsia="Times New Roman"/>
        </w:rPr>
        <w:tab/>
      </w:r>
      <w:r w:rsidRPr="00E7159C">
        <w:rPr>
          <w:rFonts w:eastAsia="Times New Roman"/>
        </w:rPr>
        <w:tab/>
      </w:r>
      <w:r w:rsidRPr="009033DF">
        <w:rPr>
          <w:rFonts w:eastAsia="Times New Roman"/>
        </w:rPr>
        <w:t xml:space="preserve">Pour le </w:t>
      </w:r>
      <w:r>
        <w:rPr>
          <w:rFonts w:eastAsia="Times New Roman"/>
        </w:rPr>
        <w:t>No </w:t>
      </w:r>
      <w:r w:rsidRPr="009033DF">
        <w:rPr>
          <w:rFonts w:eastAsia="Times New Roman"/>
        </w:rPr>
        <w:t xml:space="preserve">ONU </w:t>
      </w:r>
      <w:r w:rsidRPr="00E7159C">
        <w:rPr>
          <w:rFonts w:eastAsia="Times New Roman"/>
        </w:rPr>
        <w:t xml:space="preserve">2785, </w:t>
      </w:r>
      <w:r w:rsidRPr="009033DF">
        <w:rPr>
          <w:rFonts w:eastAsia="Times New Roman"/>
        </w:rPr>
        <w:t>dans la colonne</w:t>
      </w:r>
      <w:r w:rsidRPr="00E7159C">
        <w:rPr>
          <w:rFonts w:eastAsia="Times New Roman"/>
        </w:rPr>
        <w:t xml:space="preserve"> (2) re</w:t>
      </w:r>
      <w:r>
        <w:rPr>
          <w:rFonts w:eastAsia="Times New Roman"/>
        </w:rPr>
        <w:t>m</w:t>
      </w:r>
      <w:r w:rsidRPr="00E7159C">
        <w:rPr>
          <w:rFonts w:eastAsia="Times New Roman"/>
        </w:rPr>
        <w:t>place</w:t>
      </w:r>
      <w:r>
        <w:rPr>
          <w:rFonts w:eastAsia="Times New Roman"/>
        </w:rPr>
        <w:t>r</w:t>
      </w:r>
      <w:r w:rsidRPr="00E7159C">
        <w:rPr>
          <w:rFonts w:eastAsia="Times New Roman"/>
        </w:rPr>
        <w:t xml:space="preserve"> </w:t>
      </w:r>
      <w:r>
        <w:rPr>
          <w:rFonts w:eastAsia="Times New Roman"/>
        </w:rPr>
        <w:t>« </w:t>
      </w:r>
      <w:r w:rsidRPr="00E7159C">
        <w:rPr>
          <w:rFonts w:eastAsia="Times New Roman"/>
        </w:rPr>
        <w:t>(3</w:t>
      </w:r>
      <w:r>
        <w:rPr>
          <w:rFonts w:eastAsia="Times New Roman"/>
        </w:rPr>
        <w:noBreakHyphen/>
      </w:r>
      <w:r w:rsidRPr="00E7159C">
        <w:rPr>
          <w:rFonts w:eastAsia="Times New Roman"/>
        </w:rPr>
        <w:t>MÉTHYLMERCAPTO-PROPIONALDÉHYDE)</w:t>
      </w:r>
      <w:r>
        <w:rPr>
          <w:rFonts w:eastAsia="Times New Roman"/>
        </w:rPr>
        <w:t> »</w:t>
      </w:r>
      <w:r w:rsidRPr="00E7159C">
        <w:rPr>
          <w:rFonts w:eastAsia="Times New Roman"/>
        </w:rPr>
        <w:t xml:space="preserve"> </w:t>
      </w:r>
      <w:r>
        <w:rPr>
          <w:rFonts w:eastAsia="Times New Roman"/>
        </w:rPr>
        <w:t>par « </w:t>
      </w:r>
      <w:r w:rsidRPr="00E7159C">
        <w:rPr>
          <w:rFonts w:eastAsia="Times New Roman"/>
        </w:rPr>
        <w:t>(3-M</w:t>
      </w:r>
      <w:r>
        <w:rPr>
          <w:rFonts w:eastAsia="Times New Roman"/>
        </w:rPr>
        <w:t>É</w:t>
      </w:r>
      <w:r w:rsidRPr="00E7159C">
        <w:rPr>
          <w:rFonts w:eastAsia="Times New Roman"/>
        </w:rPr>
        <w:t>THYLMERCAPTO- PROPIONALD</w:t>
      </w:r>
      <w:r>
        <w:rPr>
          <w:rFonts w:eastAsia="Times New Roman"/>
        </w:rPr>
        <w:t>É</w:t>
      </w:r>
      <w:r w:rsidRPr="00E7159C">
        <w:rPr>
          <w:rFonts w:eastAsia="Times New Roman"/>
        </w:rPr>
        <w:t>HYDE)</w:t>
      </w:r>
      <w:r>
        <w:rPr>
          <w:rFonts w:eastAsia="Times New Roman"/>
        </w:rPr>
        <w:t> »</w:t>
      </w:r>
      <w:r w:rsidRPr="00E7159C">
        <w:rPr>
          <w:rFonts w:eastAsia="Times New Roman"/>
        </w:rPr>
        <w:t>.</w:t>
      </w:r>
    </w:p>
    <w:p w14:paraId="5DB85B20"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048CCA6C"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rPr>
        <w:t>3.2.3.2</w:t>
      </w:r>
      <w:r w:rsidRPr="00E7159C">
        <w:rPr>
          <w:rFonts w:eastAsia="Times New Roman"/>
        </w:rPr>
        <w:tab/>
      </w:r>
      <w:r w:rsidRPr="00E7159C">
        <w:rPr>
          <w:rFonts w:eastAsia="Times New Roman"/>
        </w:rPr>
        <w:tab/>
      </w:r>
      <w:r w:rsidRPr="007322DB">
        <w:rPr>
          <w:rFonts w:eastAsia="Times New Roman"/>
        </w:rPr>
        <w:t>Pour l</w:t>
      </w:r>
      <w:r>
        <w:rPr>
          <w:rFonts w:eastAsia="Times New Roman"/>
        </w:rPr>
        <w:t>e</w:t>
      </w:r>
      <w:r w:rsidRPr="007322DB">
        <w:rPr>
          <w:rFonts w:eastAsia="Times New Roman"/>
        </w:rPr>
        <w:t xml:space="preserve"> </w:t>
      </w:r>
      <w:r>
        <w:rPr>
          <w:rFonts w:eastAsia="Times New Roman"/>
        </w:rPr>
        <w:t>No</w:t>
      </w:r>
      <w:r w:rsidRPr="007322DB">
        <w:rPr>
          <w:rFonts w:eastAsia="Times New Roman"/>
        </w:rPr>
        <w:t xml:space="preserve"> </w:t>
      </w:r>
      <w:r>
        <w:rPr>
          <w:rFonts w:eastAsia="Times New Roman"/>
        </w:rPr>
        <w:t xml:space="preserve">de </w:t>
      </w:r>
      <w:r w:rsidRPr="007322DB">
        <w:rPr>
          <w:rFonts w:eastAsia="Times New Roman"/>
        </w:rPr>
        <w:t xml:space="preserve">matière </w:t>
      </w:r>
      <w:r w:rsidRPr="00E7159C">
        <w:rPr>
          <w:rFonts w:eastAsia="Times New Roman"/>
        </w:rPr>
        <w:t xml:space="preserve">9001, </w:t>
      </w:r>
      <w:r w:rsidRPr="007322DB">
        <w:rPr>
          <w:rFonts w:eastAsia="Times New Roman"/>
        </w:rPr>
        <w:t xml:space="preserve">modifier la colonne </w:t>
      </w:r>
      <w:r w:rsidRPr="00E7159C">
        <w:rPr>
          <w:rFonts w:eastAsia="Times New Roman"/>
        </w:rPr>
        <w:t xml:space="preserve">(2) </w:t>
      </w:r>
      <w:r w:rsidRPr="007322DB">
        <w:rPr>
          <w:rFonts w:eastAsia="Times New Roman"/>
        </w:rPr>
        <w:t>comme suit</w:t>
      </w:r>
      <w:r>
        <w:rPr>
          <w:rFonts w:eastAsia="Times New Roman"/>
        </w:rPr>
        <w:t> </w:t>
      </w:r>
      <w:r w:rsidRPr="00E7159C">
        <w:rPr>
          <w:rFonts w:eastAsia="Times New Roman"/>
        </w:rPr>
        <w:t xml:space="preserve">: </w:t>
      </w:r>
      <w:r>
        <w:rPr>
          <w:rFonts w:eastAsia="Times New Roman"/>
        </w:rPr>
        <w:t>« MATIÈRE DON</w:t>
      </w:r>
      <w:r w:rsidRPr="007322DB">
        <w:rPr>
          <w:rFonts w:eastAsia="Times New Roman"/>
        </w:rPr>
        <w:t>T LE POINT D</w:t>
      </w:r>
      <w:r>
        <w:rPr>
          <w:rFonts w:eastAsia="Times New Roman"/>
        </w:rPr>
        <w:t>’</w:t>
      </w:r>
      <w:r w:rsidRPr="007322DB">
        <w:rPr>
          <w:rFonts w:eastAsia="Times New Roman"/>
        </w:rPr>
        <w:t>ÉCLAIR EST SUPÉRIEUR À 60</w:t>
      </w:r>
      <w:r>
        <w:rPr>
          <w:rFonts w:eastAsia="Times New Roman"/>
        </w:rPr>
        <w:t xml:space="preserve"> </w:t>
      </w:r>
      <w:r w:rsidRPr="007322DB">
        <w:rPr>
          <w:rFonts w:eastAsia="Times New Roman"/>
        </w:rPr>
        <w:t xml:space="preserve">°C, </w:t>
      </w:r>
      <w:r>
        <w:rPr>
          <w:rFonts w:eastAsia="Times New Roman"/>
        </w:rPr>
        <w:t xml:space="preserve">CHAUFFÉE jusqu’à </w:t>
      </w:r>
      <w:r w:rsidRPr="007322DB">
        <w:rPr>
          <w:rFonts w:eastAsia="Times New Roman"/>
        </w:rPr>
        <w:t>15</w:t>
      </w:r>
      <w:r>
        <w:rPr>
          <w:rFonts w:eastAsia="Times New Roman"/>
        </w:rPr>
        <w:t> K</w:t>
      </w:r>
      <w:r w:rsidRPr="007322DB">
        <w:rPr>
          <w:rFonts w:eastAsia="Times New Roman"/>
        </w:rPr>
        <w:t xml:space="preserve"> </w:t>
      </w:r>
      <w:r>
        <w:rPr>
          <w:rFonts w:eastAsia="Times New Roman"/>
        </w:rPr>
        <w:t xml:space="preserve">en dessous </w:t>
      </w:r>
      <w:r w:rsidRPr="007322DB">
        <w:rPr>
          <w:rFonts w:eastAsia="Times New Roman"/>
        </w:rPr>
        <w:t>du point</w:t>
      </w:r>
      <w:r>
        <w:rPr>
          <w:rFonts w:eastAsia="Times New Roman"/>
        </w:rPr>
        <w:t xml:space="preserve"> d’éclair. »</w:t>
      </w:r>
      <w:r w:rsidRPr="00E7159C">
        <w:rPr>
          <w:rFonts w:eastAsia="Times New Roman"/>
        </w:rPr>
        <w:t>.</w:t>
      </w:r>
    </w:p>
    <w:p w14:paraId="283E4503" w14:textId="77777777" w:rsidR="00FD6D3D" w:rsidRPr="00E7159C" w:rsidRDefault="00FD6D3D" w:rsidP="00FD6D3D">
      <w:pPr>
        <w:kinsoku/>
        <w:overflowPunct/>
        <w:autoSpaceDE/>
        <w:autoSpaceDN/>
        <w:adjustRightInd/>
        <w:snapToGrid/>
        <w:spacing w:after="120"/>
        <w:ind w:left="1134" w:right="1134"/>
        <w:jc w:val="both"/>
        <w:rPr>
          <w:rFonts w:eastAsia="Times New Roman"/>
        </w:rPr>
      </w:pPr>
      <w:r w:rsidRPr="00E7159C">
        <w:rPr>
          <w:rFonts w:eastAsia="Times New Roman"/>
          <w:i/>
          <w:iCs/>
        </w:rPr>
        <w:t>(</w:t>
      </w:r>
      <w:r w:rsidRPr="005B1CB2">
        <w:rPr>
          <w:rFonts w:eastAsia="Times New Roman"/>
          <w:i/>
          <w:iCs/>
        </w:rPr>
        <w:t>Document de référence</w:t>
      </w:r>
      <w:r>
        <w:rPr>
          <w:rFonts w:eastAsia="Times New Roman"/>
          <w:i/>
          <w:iCs/>
        </w:rPr>
        <w:t xml:space="preserve"> </w:t>
      </w:r>
      <w:r w:rsidRPr="00E7159C">
        <w:rPr>
          <w:rFonts w:eastAsia="Times New Roman"/>
          <w:i/>
          <w:iCs/>
        </w:rPr>
        <w:t xml:space="preserve">: </w:t>
      </w:r>
      <w:r>
        <w:rPr>
          <w:rFonts w:eastAsia="Times New Roman"/>
          <w:i/>
          <w:iCs/>
        </w:rPr>
        <w:t>document informel INF</w:t>
      </w:r>
      <w:r w:rsidRPr="00E7159C">
        <w:rPr>
          <w:rFonts w:eastAsia="Times New Roman"/>
          <w:i/>
          <w:iCs/>
        </w:rPr>
        <w:t>.7</w:t>
      </w:r>
      <w:r w:rsidRPr="009033DF">
        <w:rPr>
          <w:rFonts w:eastAsia="Times New Roman"/>
          <w:i/>
          <w:iCs/>
        </w:rPr>
        <w:t xml:space="preserve"> tel que modifié</w:t>
      </w:r>
      <w:r w:rsidRPr="00E7159C">
        <w:rPr>
          <w:rFonts w:eastAsia="Times New Roman"/>
          <w:i/>
          <w:iCs/>
        </w:rPr>
        <w:t>)</w:t>
      </w:r>
    </w:p>
    <w:p w14:paraId="77EA4B45" w14:textId="77777777" w:rsidR="003F1237" w:rsidRPr="003F1237" w:rsidRDefault="00FD6D3D" w:rsidP="003F1237">
      <w:pPr>
        <w:kinsoku/>
        <w:overflowPunct/>
        <w:autoSpaceDE/>
        <w:autoSpaceDN/>
        <w:adjustRightInd/>
        <w:snapToGrid/>
        <w:spacing w:after="120"/>
        <w:ind w:left="1134" w:right="1134"/>
        <w:jc w:val="both"/>
        <w:rPr>
          <w:rFonts w:eastAsia="Times New Roman"/>
        </w:rPr>
      </w:pPr>
      <w:r w:rsidRPr="00E7159C">
        <w:rPr>
          <w:rFonts w:eastAsia="Times New Roman"/>
        </w:rPr>
        <w:t>3.2.3.2</w:t>
      </w:r>
      <w:r w:rsidRPr="00E7159C">
        <w:rPr>
          <w:rFonts w:eastAsia="Times New Roman"/>
        </w:rPr>
        <w:tab/>
      </w:r>
      <w:r w:rsidRPr="00E7159C">
        <w:rPr>
          <w:rFonts w:eastAsia="Times New Roman"/>
        </w:rPr>
        <w:tab/>
      </w:r>
      <w:r w:rsidRPr="007322DB">
        <w:rPr>
          <w:rFonts w:eastAsia="Times New Roman"/>
        </w:rPr>
        <w:t xml:space="preserve">Pour les </w:t>
      </w:r>
      <w:proofErr w:type="spellStart"/>
      <w:r>
        <w:rPr>
          <w:rFonts w:eastAsia="Times New Roman"/>
        </w:rPr>
        <w:t>Nos</w:t>
      </w:r>
      <w:proofErr w:type="spellEnd"/>
      <w:r>
        <w:rPr>
          <w:rFonts w:eastAsia="Times New Roman"/>
        </w:rPr>
        <w:t xml:space="preserve"> des </w:t>
      </w:r>
      <w:r w:rsidRPr="007322DB">
        <w:rPr>
          <w:rFonts w:eastAsia="Times New Roman"/>
        </w:rPr>
        <w:t xml:space="preserve">matières </w:t>
      </w:r>
      <w:r w:rsidRPr="00E7159C">
        <w:rPr>
          <w:rFonts w:eastAsia="Times New Roman"/>
        </w:rPr>
        <w:t>9003, 9004, 9005</w:t>
      </w:r>
      <w:r>
        <w:rPr>
          <w:rFonts w:eastAsia="Times New Roman"/>
        </w:rPr>
        <w:t xml:space="preserve"> et</w:t>
      </w:r>
      <w:r w:rsidRPr="00E7159C">
        <w:rPr>
          <w:rFonts w:eastAsia="Times New Roman"/>
        </w:rPr>
        <w:t xml:space="preserve"> 9006, </w:t>
      </w:r>
      <w:r>
        <w:rPr>
          <w:rFonts w:eastAsia="Times New Roman"/>
        </w:rPr>
        <w:t xml:space="preserve">dans la colonne </w:t>
      </w:r>
      <w:r w:rsidRPr="00E7159C">
        <w:rPr>
          <w:rFonts w:eastAsia="Times New Roman"/>
        </w:rPr>
        <w:t>3</w:t>
      </w:r>
      <w:r>
        <w:rPr>
          <w:rFonts w:eastAsia="Times New Roman"/>
        </w:rPr>
        <w:t> </w:t>
      </w:r>
      <w:r w:rsidRPr="00E7159C">
        <w:rPr>
          <w:rFonts w:eastAsia="Times New Roman"/>
        </w:rPr>
        <w:t xml:space="preserve">b) </w:t>
      </w:r>
      <w:r>
        <w:rPr>
          <w:rFonts w:eastAsia="Times New Roman"/>
        </w:rPr>
        <w:t>ajouter « </w:t>
      </w:r>
      <w:r w:rsidRPr="00E7159C">
        <w:rPr>
          <w:rFonts w:eastAsia="Times New Roman"/>
        </w:rPr>
        <w:t>M12</w:t>
      </w:r>
      <w:r>
        <w:rPr>
          <w:rFonts w:eastAsia="Times New Roman"/>
        </w:rPr>
        <w:t> »</w:t>
      </w:r>
      <w:r w:rsidRPr="00E7159C">
        <w:rPr>
          <w:rFonts w:eastAsia="Times New Roman"/>
        </w:rPr>
        <w:t>.</w:t>
      </w:r>
    </w:p>
    <w:p w14:paraId="72568555" w14:textId="77777777" w:rsidR="00FD6D3D" w:rsidRDefault="00FD6D3D" w:rsidP="00FD6D3D">
      <w:pPr>
        <w:kinsoku/>
        <w:overflowPunct/>
        <w:autoSpaceDE/>
        <w:autoSpaceDN/>
        <w:adjustRightInd/>
        <w:snapToGrid/>
        <w:spacing w:after="120"/>
        <w:ind w:left="1134" w:right="1134"/>
        <w:jc w:val="both"/>
      </w:pPr>
      <w:r w:rsidRPr="00334EDB">
        <w:rPr>
          <w:i/>
        </w:rPr>
        <w:t>(Document de référence : document informel INF.7)</w:t>
      </w:r>
    </w:p>
    <w:p w14:paraId="7C46040A" w14:textId="77777777" w:rsidR="00EA4C36" w:rsidRDefault="00EA4C36" w:rsidP="002C2756">
      <w:pPr>
        <w:pStyle w:val="SingleTxtG"/>
      </w:pPr>
    </w:p>
    <w:p w14:paraId="2515DEB5" w14:textId="77777777" w:rsidR="00EA4C36" w:rsidRDefault="00EA4C36" w:rsidP="002C2756">
      <w:pPr>
        <w:pStyle w:val="SingleTxtG"/>
      </w:pPr>
    </w:p>
    <w:p w14:paraId="530D8EF5" w14:textId="77777777" w:rsidR="003F1237" w:rsidRDefault="003F1237" w:rsidP="002C2756">
      <w:pPr>
        <w:pStyle w:val="SingleTxtG"/>
        <w:sectPr w:rsidR="003F1237" w:rsidSect="008845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A32389A" w14:textId="77777777" w:rsidR="00EA4C36" w:rsidRPr="00E7159C" w:rsidRDefault="00EA4C36" w:rsidP="00EA4C36">
      <w:pPr>
        <w:kinsoku/>
        <w:overflowPunct/>
        <w:autoSpaceDE/>
        <w:autoSpaceDN/>
        <w:adjustRightInd/>
        <w:snapToGrid/>
        <w:spacing w:after="120"/>
        <w:ind w:left="1134" w:right="1134"/>
        <w:jc w:val="both"/>
        <w:rPr>
          <w:rFonts w:eastAsia="Times New Roman"/>
        </w:rPr>
      </w:pPr>
      <w:r w:rsidRPr="00E7159C">
        <w:rPr>
          <w:rFonts w:eastAsia="Times New Roman"/>
        </w:rPr>
        <w:lastRenderedPageBreak/>
        <w:t>3.2.3.3</w:t>
      </w:r>
      <w:r w:rsidRPr="00E7159C">
        <w:rPr>
          <w:rFonts w:eastAsia="Times New Roman"/>
        </w:rPr>
        <w:tab/>
      </w:r>
      <w:r w:rsidRPr="00E7159C">
        <w:rPr>
          <w:rFonts w:eastAsia="Times New Roman"/>
        </w:rPr>
        <w:tab/>
      </w:r>
      <w:r w:rsidRPr="007322DB">
        <w:rPr>
          <w:rFonts w:eastAsia="Times New Roman"/>
        </w:rPr>
        <w:t xml:space="preserve">Modifier le schéma </w:t>
      </w:r>
      <w:r w:rsidRPr="00E7159C">
        <w:rPr>
          <w:rFonts w:eastAsia="Times New Roman"/>
        </w:rPr>
        <w:t xml:space="preserve">A </w:t>
      </w:r>
      <w:r>
        <w:rPr>
          <w:rFonts w:eastAsia="Times New Roman"/>
        </w:rPr>
        <w:t xml:space="preserve">pour lire </w:t>
      </w:r>
      <w:r w:rsidRPr="007322DB">
        <w:rPr>
          <w:rFonts w:eastAsia="Times New Roman"/>
        </w:rPr>
        <w:t>comme suit</w:t>
      </w:r>
      <w:r>
        <w:rPr>
          <w:rFonts w:eastAsia="Times New Roman"/>
        </w:rPr>
        <w:t> </w:t>
      </w:r>
      <w:r w:rsidRPr="00E7159C">
        <w:rPr>
          <w:rFonts w:eastAsia="Times New Roman"/>
        </w:rPr>
        <w:t>:</w:t>
      </w:r>
    </w:p>
    <w:p w14:paraId="03B23F7F" w14:textId="77777777" w:rsidR="00EA4C36" w:rsidRPr="00E7159C" w:rsidRDefault="00EA4C36" w:rsidP="00EA4C36">
      <w:pPr>
        <w:pStyle w:val="H23G"/>
      </w:pPr>
      <w:r w:rsidRPr="00E7159C">
        <w:tab/>
      </w:r>
      <w:r w:rsidRPr="00E7159C">
        <w:tab/>
      </w:r>
      <w:r w:rsidRPr="00F9625B">
        <w:rPr>
          <w:b w:val="0"/>
        </w:rPr>
        <w:t>« </w:t>
      </w:r>
      <w:r w:rsidRPr="00E7159C">
        <w:t>Sch</w:t>
      </w:r>
      <w:r w:rsidRPr="007322DB">
        <w:t>é</w:t>
      </w:r>
      <w:r w:rsidRPr="00E7159C">
        <w:t>ma A</w:t>
      </w:r>
      <w:r>
        <w:t xml:space="preserve"> </w:t>
      </w:r>
      <w:r w:rsidRPr="00E7159C">
        <w:t>: Crit</w:t>
      </w:r>
      <w:r w:rsidRPr="007322DB">
        <w:t>ères pour l</w:t>
      </w:r>
      <w:r>
        <w:t>’</w:t>
      </w:r>
      <w:r w:rsidRPr="007322DB">
        <w:t>équipement des citernes à cargaison des bateaux d</w:t>
      </w:r>
      <w:r>
        <w:t>u</w:t>
      </w:r>
      <w:r w:rsidRPr="007322DB">
        <w:t xml:space="preserve"> type C</w:t>
      </w:r>
    </w:p>
    <w:p w14:paraId="683A8C8D" w14:textId="77777777" w:rsidR="00EA4C36" w:rsidRDefault="00EA4C36" w:rsidP="00EA4C36">
      <w:pPr>
        <w:pStyle w:val="SingleTxtG"/>
      </w:pPr>
      <w:r w:rsidRPr="00A900AC">
        <w:t xml:space="preserve">Déterminer </w:t>
      </w:r>
      <w:r>
        <w:t xml:space="preserve">dans les trois premières colonnes les </w:t>
      </w:r>
      <w:r w:rsidRPr="00A900AC">
        <w:t>caractéristiques de</w:t>
      </w:r>
      <w:r>
        <w:t xml:space="preserve"> la </w:t>
      </w:r>
      <w:r w:rsidRPr="00A900AC">
        <w:t>matière/citerne à cargaison</w:t>
      </w:r>
      <w:r>
        <w:t xml:space="preserve"> qui sont pertinentes. Choisir la rangée qui convient dans la colonne correspondante. Les c</w:t>
      </w:r>
      <w:r w:rsidRPr="00A900AC">
        <w:t>ritères pour l</w:t>
      </w:r>
      <w:r>
        <w:t>’</w:t>
      </w:r>
      <w:r w:rsidRPr="00A900AC">
        <w:t>équipement des citernes à cargaison des bateaux de type C</w:t>
      </w:r>
      <w:r>
        <w:t xml:space="preserve"> sont alors décrits sur cette ligne dans la quatrième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3"/>
        <w:gridCol w:w="3828"/>
        <w:gridCol w:w="3012"/>
        <w:gridCol w:w="3777"/>
        <w:gridCol w:w="38"/>
      </w:tblGrid>
      <w:tr w:rsidR="00EA4C36" w:rsidRPr="00E7159C" w14:paraId="27CC7BCD" w14:textId="77777777" w:rsidTr="009805F3">
        <w:trPr>
          <w:gridAfter w:val="1"/>
          <w:wAfter w:w="38" w:type="dxa"/>
        </w:trPr>
        <w:tc>
          <w:tcPr>
            <w:tcW w:w="9963" w:type="dxa"/>
            <w:gridSpan w:val="3"/>
          </w:tcPr>
          <w:p w14:paraId="292EFDE0" w14:textId="77777777" w:rsidR="00EA4C36" w:rsidRPr="00E7159C" w:rsidRDefault="00EA4C36" w:rsidP="009805F3">
            <w:pPr>
              <w:keepNext/>
              <w:kinsoku/>
              <w:overflowPunct/>
              <w:autoSpaceDE/>
              <w:autoSpaceDN/>
              <w:adjustRightInd/>
              <w:snapToGrid/>
              <w:spacing w:before="60" w:after="60"/>
              <w:ind w:left="57" w:right="57"/>
              <w:jc w:val="both"/>
              <w:outlineLvl w:val="1"/>
              <w:rPr>
                <w:rFonts w:eastAsia="Times New Roman"/>
              </w:rPr>
            </w:pPr>
            <w:r w:rsidRPr="00A900AC">
              <w:rPr>
                <w:rFonts w:eastAsia="Times New Roman"/>
              </w:rPr>
              <w:t xml:space="preserve">Caractéristiques de </w:t>
            </w:r>
            <w:r>
              <w:rPr>
                <w:rFonts w:eastAsia="Times New Roman"/>
              </w:rPr>
              <w:t xml:space="preserve">la </w:t>
            </w:r>
            <w:r w:rsidRPr="00A900AC">
              <w:rPr>
                <w:rFonts w:eastAsia="Times New Roman"/>
              </w:rPr>
              <w:t xml:space="preserve">matière/citerne à cargaison </w:t>
            </w:r>
          </w:p>
        </w:tc>
        <w:tc>
          <w:tcPr>
            <w:tcW w:w="3777" w:type="dxa"/>
            <w:vAlign w:val="center"/>
          </w:tcPr>
          <w:p w14:paraId="0ACE4F7F" w14:textId="77777777" w:rsidR="00EA4C36" w:rsidRPr="00E7159C" w:rsidRDefault="00EA4C36" w:rsidP="009805F3">
            <w:pPr>
              <w:keepNext/>
              <w:kinsoku/>
              <w:overflowPunct/>
              <w:autoSpaceDE/>
              <w:autoSpaceDN/>
              <w:adjustRightInd/>
              <w:snapToGrid/>
              <w:spacing w:before="60" w:after="60"/>
              <w:ind w:left="57" w:right="57"/>
              <w:outlineLvl w:val="1"/>
              <w:rPr>
                <w:rFonts w:eastAsia="Times New Roman"/>
                <w:lang w:val="en-GB"/>
              </w:rPr>
            </w:pPr>
            <w:r>
              <w:rPr>
                <w:rFonts w:eastAsia="Times New Roman"/>
                <w:lang w:val="en-GB"/>
              </w:rPr>
              <w:t>Prescriptions</w:t>
            </w:r>
          </w:p>
        </w:tc>
      </w:tr>
      <w:tr w:rsidR="00EA4C36" w:rsidRPr="00E7159C" w14:paraId="28DDA7E3" w14:textId="77777777" w:rsidTr="009805F3">
        <w:tblPrEx>
          <w:tblLook w:val="01E0" w:firstRow="1" w:lastRow="1" w:firstColumn="1" w:lastColumn="1" w:noHBand="0" w:noVBand="0"/>
        </w:tblPrEx>
        <w:tc>
          <w:tcPr>
            <w:tcW w:w="3123" w:type="dxa"/>
          </w:tcPr>
          <w:p w14:paraId="6AB637F2"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Pression interne maximale à une température du liquide de 30 °C et une température de la phase gazeuse de 37,8 °C &gt; 50 kPa</w:t>
            </w:r>
          </w:p>
        </w:tc>
        <w:tc>
          <w:tcPr>
            <w:tcW w:w="3828" w:type="dxa"/>
          </w:tcPr>
          <w:p w14:paraId="6B8D1BE6"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Pression interne maximale à une température du liquide de 30 °C et une température de la phase gazeuse de 37,8</w:t>
            </w:r>
            <w:r>
              <w:rPr>
                <w:rFonts w:eastAsia="Times New Roman"/>
              </w:rPr>
              <w:t> </w:t>
            </w:r>
            <w:r w:rsidRPr="00314016">
              <w:rPr>
                <w:rFonts w:eastAsia="Times New Roman"/>
              </w:rPr>
              <w:t>°C ≤ 50 kPa</w:t>
            </w:r>
          </w:p>
        </w:tc>
        <w:tc>
          <w:tcPr>
            <w:tcW w:w="3012" w:type="dxa"/>
          </w:tcPr>
          <w:p w14:paraId="1F74305B"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A900AC">
              <w:rPr>
                <w:rFonts w:eastAsia="Times New Roman"/>
              </w:rPr>
              <w:t>Pression interne maximale non connue parce que certaines données font défaut</w:t>
            </w:r>
          </w:p>
        </w:tc>
        <w:tc>
          <w:tcPr>
            <w:tcW w:w="3815" w:type="dxa"/>
            <w:gridSpan w:val="2"/>
          </w:tcPr>
          <w:p w14:paraId="476FD8D1"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Équipement de la citerne à cargaison</w:t>
            </w:r>
          </w:p>
        </w:tc>
      </w:tr>
      <w:tr w:rsidR="00EA4C36" w:rsidRPr="00E7159C" w14:paraId="1800E151" w14:textId="77777777" w:rsidTr="009805F3">
        <w:tblPrEx>
          <w:tblLook w:val="01E0" w:firstRow="1" w:lastRow="1" w:firstColumn="1" w:lastColumn="1" w:noHBand="0" w:noVBand="0"/>
        </w:tblPrEx>
        <w:tc>
          <w:tcPr>
            <w:tcW w:w="3123" w:type="dxa"/>
          </w:tcPr>
          <w:p w14:paraId="5A7E80C3"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proofErr w:type="spellStart"/>
            <w:r w:rsidRPr="00314016">
              <w:rPr>
                <w:rFonts w:eastAsia="Times New Roman"/>
                <w:lang w:val="en-GB"/>
              </w:rPr>
              <w:t>Réfrigéré</w:t>
            </w:r>
            <w:proofErr w:type="spellEnd"/>
            <w:r w:rsidRPr="00314016">
              <w:rPr>
                <w:rFonts w:eastAsia="Times New Roman"/>
                <w:lang w:val="en-GB"/>
              </w:rPr>
              <w:t xml:space="preserve"> </w:t>
            </w:r>
          </w:p>
        </w:tc>
        <w:tc>
          <w:tcPr>
            <w:tcW w:w="3828" w:type="dxa"/>
          </w:tcPr>
          <w:p w14:paraId="421E95C0"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p>
        </w:tc>
        <w:tc>
          <w:tcPr>
            <w:tcW w:w="3012" w:type="dxa"/>
          </w:tcPr>
          <w:p w14:paraId="2A63C995"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p>
        </w:tc>
        <w:tc>
          <w:tcPr>
            <w:tcW w:w="3815" w:type="dxa"/>
            <w:gridSpan w:val="2"/>
          </w:tcPr>
          <w:p w14:paraId="51392302"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Avec réfrigération (chiffre 1 à la colonne (9))</w:t>
            </w:r>
          </w:p>
        </w:tc>
      </w:tr>
      <w:tr w:rsidR="00EA4C36" w:rsidRPr="00E7159C" w14:paraId="34AD191D" w14:textId="77777777" w:rsidTr="009805F3">
        <w:tblPrEx>
          <w:tblLook w:val="01E0" w:firstRow="1" w:lastRow="1" w:firstColumn="1" w:lastColumn="1" w:noHBand="0" w:noVBand="0"/>
        </w:tblPrEx>
        <w:tc>
          <w:tcPr>
            <w:tcW w:w="3123" w:type="dxa"/>
          </w:tcPr>
          <w:p w14:paraId="74D08EE1"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r w:rsidRPr="00314016">
              <w:rPr>
                <w:rFonts w:eastAsia="Times New Roman"/>
                <w:lang w:val="en-GB"/>
              </w:rPr>
              <w:t xml:space="preserve">Non </w:t>
            </w:r>
            <w:proofErr w:type="spellStart"/>
            <w:r w:rsidRPr="00314016">
              <w:rPr>
                <w:rFonts w:eastAsia="Times New Roman"/>
                <w:lang w:val="en-GB"/>
              </w:rPr>
              <w:t>réfrigéré</w:t>
            </w:r>
            <w:proofErr w:type="spellEnd"/>
            <w:r w:rsidRPr="00314016">
              <w:rPr>
                <w:rFonts w:eastAsia="Times New Roman"/>
                <w:lang w:val="en-GB"/>
              </w:rPr>
              <w:t xml:space="preserve"> </w:t>
            </w:r>
          </w:p>
        </w:tc>
        <w:tc>
          <w:tcPr>
            <w:tcW w:w="3828" w:type="dxa"/>
          </w:tcPr>
          <w:p w14:paraId="00063F42"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A900AC">
              <w:rPr>
                <w:rFonts w:eastAsia="Times New Roman"/>
              </w:rPr>
              <w:t>Pression interne maximale à 50 °C &gt; 50 kPa, sans pulvérisation</w:t>
            </w:r>
          </w:p>
        </w:tc>
        <w:tc>
          <w:tcPr>
            <w:tcW w:w="3012" w:type="dxa"/>
          </w:tcPr>
          <w:p w14:paraId="0AB581A6"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r w:rsidRPr="00A900AC">
              <w:rPr>
                <w:rFonts w:eastAsia="Times New Roman"/>
                <w:lang w:val="en-GB"/>
              </w:rPr>
              <w:t xml:space="preserve">Point </w:t>
            </w:r>
            <w:proofErr w:type="spellStart"/>
            <w:r w:rsidRPr="00A900AC">
              <w:rPr>
                <w:rFonts w:eastAsia="Times New Roman"/>
                <w:lang w:val="en-GB"/>
              </w:rPr>
              <w:t>d</w:t>
            </w:r>
            <w:r>
              <w:rPr>
                <w:rFonts w:eastAsia="Times New Roman"/>
                <w:lang w:val="en-GB"/>
              </w:rPr>
              <w:t>’</w:t>
            </w:r>
            <w:r w:rsidRPr="00A900AC">
              <w:rPr>
                <w:rFonts w:eastAsia="Times New Roman"/>
                <w:lang w:val="en-GB"/>
              </w:rPr>
              <w:t>ébullition</w:t>
            </w:r>
            <w:proofErr w:type="spellEnd"/>
            <w:r w:rsidRPr="00A900AC">
              <w:rPr>
                <w:rFonts w:eastAsia="Times New Roman"/>
                <w:lang w:val="en-GB"/>
              </w:rPr>
              <w:t xml:space="preserve"> ≤ 60 °C </w:t>
            </w:r>
          </w:p>
        </w:tc>
        <w:tc>
          <w:tcPr>
            <w:tcW w:w="3815" w:type="dxa"/>
            <w:gridSpan w:val="2"/>
          </w:tcPr>
          <w:p w14:paraId="703B7965"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proofErr w:type="spellStart"/>
            <w:r w:rsidRPr="00314016">
              <w:rPr>
                <w:rFonts w:eastAsia="Times New Roman"/>
                <w:lang w:val="en-GB"/>
              </w:rPr>
              <w:t>Citerne</w:t>
            </w:r>
            <w:proofErr w:type="spellEnd"/>
            <w:r w:rsidRPr="00314016">
              <w:rPr>
                <w:rFonts w:eastAsia="Times New Roman"/>
                <w:lang w:val="en-GB"/>
              </w:rPr>
              <w:t xml:space="preserve"> à pression (400 kPa)</w:t>
            </w:r>
          </w:p>
        </w:tc>
      </w:tr>
      <w:tr w:rsidR="00EA4C36" w:rsidRPr="00E7159C" w14:paraId="22714BEB" w14:textId="77777777" w:rsidTr="009805F3">
        <w:tblPrEx>
          <w:tblLook w:val="01E0" w:firstRow="1" w:lastRow="1" w:firstColumn="1" w:lastColumn="1" w:noHBand="0" w:noVBand="0"/>
        </w:tblPrEx>
        <w:tc>
          <w:tcPr>
            <w:tcW w:w="3123" w:type="dxa"/>
          </w:tcPr>
          <w:p w14:paraId="6FA933E4"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p>
        </w:tc>
        <w:tc>
          <w:tcPr>
            <w:tcW w:w="3828" w:type="dxa"/>
          </w:tcPr>
          <w:p w14:paraId="4938A12C"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Pression interne maximale à 50 °C &gt; 50 kPa, avec pulvérisation</w:t>
            </w:r>
          </w:p>
        </w:tc>
        <w:tc>
          <w:tcPr>
            <w:tcW w:w="3012" w:type="dxa"/>
          </w:tcPr>
          <w:p w14:paraId="1C8BEBD4"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r w:rsidRPr="00A900AC">
              <w:rPr>
                <w:rFonts w:eastAsia="Times New Roman"/>
                <w:lang w:val="en-GB"/>
              </w:rPr>
              <w:t xml:space="preserve">60 °C &lt; point </w:t>
            </w:r>
            <w:proofErr w:type="spellStart"/>
            <w:r w:rsidRPr="00A900AC">
              <w:rPr>
                <w:rFonts w:eastAsia="Times New Roman"/>
                <w:lang w:val="en-GB"/>
              </w:rPr>
              <w:t>d</w:t>
            </w:r>
            <w:r>
              <w:rPr>
                <w:rFonts w:eastAsia="Times New Roman"/>
                <w:lang w:val="en-GB"/>
              </w:rPr>
              <w:t>’</w:t>
            </w:r>
            <w:r w:rsidRPr="00A900AC">
              <w:rPr>
                <w:rFonts w:eastAsia="Times New Roman"/>
                <w:lang w:val="en-GB"/>
              </w:rPr>
              <w:t>ébullition</w:t>
            </w:r>
            <w:proofErr w:type="spellEnd"/>
            <w:r w:rsidRPr="00A900AC">
              <w:rPr>
                <w:rFonts w:eastAsia="Times New Roman"/>
                <w:lang w:val="en-GB"/>
              </w:rPr>
              <w:t xml:space="preserve"> ≤ 85 °C</w:t>
            </w:r>
          </w:p>
        </w:tc>
        <w:tc>
          <w:tcPr>
            <w:tcW w:w="3815" w:type="dxa"/>
            <w:gridSpan w:val="2"/>
          </w:tcPr>
          <w:p w14:paraId="3EE2EB7F"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Pression d</w:t>
            </w:r>
            <w:r>
              <w:rPr>
                <w:rFonts w:eastAsia="Times New Roman"/>
              </w:rPr>
              <w:t>’</w:t>
            </w:r>
            <w:r w:rsidRPr="00314016">
              <w:rPr>
                <w:rFonts w:eastAsia="Times New Roman"/>
              </w:rPr>
              <w:t>ouverture de la soupape de surpression/soupape de dégagement à grande vitesse</w:t>
            </w:r>
            <w:r>
              <w:rPr>
                <w:rFonts w:eastAsia="Times New Roman"/>
              </w:rPr>
              <w:t> </w:t>
            </w:r>
            <w:r w:rsidRPr="00E7159C">
              <w:rPr>
                <w:rFonts w:eastAsia="Times New Roman"/>
              </w:rPr>
              <w:t xml:space="preserve">: </w:t>
            </w:r>
            <w:r w:rsidRPr="00314016">
              <w:rPr>
                <w:rFonts w:eastAsia="Times New Roman"/>
              </w:rPr>
              <w:t>50 kPa, avec installation de pulvérisation (chiffre 3 à la colonne (9))</w:t>
            </w:r>
          </w:p>
        </w:tc>
      </w:tr>
      <w:tr w:rsidR="00EA4C36" w:rsidRPr="00E7159C" w14:paraId="487146AE" w14:textId="77777777" w:rsidTr="009805F3">
        <w:tblPrEx>
          <w:tblLook w:val="01E0" w:firstRow="1" w:lastRow="1" w:firstColumn="1" w:lastColumn="1" w:noHBand="0" w:noVBand="0"/>
        </w:tblPrEx>
        <w:tc>
          <w:tcPr>
            <w:tcW w:w="3123" w:type="dxa"/>
          </w:tcPr>
          <w:p w14:paraId="6F7A359C" w14:textId="77777777" w:rsidR="00EA4C36" w:rsidRPr="00E7159C" w:rsidRDefault="00EA4C36" w:rsidP="009805F3">
            <w:pPr>
              <w:kinsoku/>
              <w:overflowPunct/>
              <w:autoSpaceDE/>
              <w:autoSpaceDN/>
              <w:adjustRightInd/>
              <w:snapToGrid/>
              <w:spacing w:before="60" w:after="60"/>
              <w:ind w:left="57" w:right="57"/>
              <w:rPr>
                <w:rFonts w:eastAsia="Times New Roman"/>
              </w:rPr>
            </w:pPr>
          </w:p>
        </w:tc>
        <w:tc>
          <w:tcPr>
            <w:tcW w:w="3828" w:type="dxa"/>
          </w:tcPr>
          <w:p w14:paraId="3E678733"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Pression interne maximale à 50 °C ≤ 50 kPa</w:t>
            </w:r>
          </w:p>
        </w:tc>
        <w:tc>
          <w:tcPr>
            <w:tcW w:w="3012" w:type="dxa"/>
          </w:tcPr>
          <w:p w14:paraId="24BA8E2A" w14:textId="77777777" w:rsidR="00EA4C36" w:rsidRPr="00E7159C" w:rsidRDefault="00EA4C36" w:rsidP="009805F3">
            <w:pPr>
              <w:kinsoku/>
              <w:overflowPunct/>
              <w:autoSpaceDE/>
              <w:autoSpaceDN/>
              <w:adjustRightInd/>
              <w:snapToGrid/>
              <w:spacing w:before="60" w:after="60"/>
              <w:ind w:left="57" w:right="57"/>
              <w:rPr>
                <w:rFonts w:eastAsia="Times New Roman"/>
              </w:rPr>
            </w:pPr>
          </w:p>
        </w:tc>
        <w:tc>
          <w:tcPr>
            <w:tcW w:w="3815" w:type="dxa"/>
            <w:gridSpan w:val="2"/>
          </w:tcPr>
          <w:p w14:paraId="23ECA48C"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Pression d</w:t>
            </w:r>
            <w:r>
              <w:rPr>
                <w:rFonts w:eastAsia="Times New Roman"/>
              </w:rPr>
              <w:t>’</w:t>
            </w:r>
            <w:r w:rsidRPr="00314016">
              <w:rPr>
                <w:rFonts w:eastAsia="Times New Roman"/>
              </w:rPr>
              <w:t>ouverture de la soupape de surpression/soupape de dégagement à grande vitesse selon calculs, mais au moins 10 kPa</w:t>
            </w:r>
          </w:p>
        </w:tc>
      </w:tr>
      <w:tr w:rsidR="00EA4C36" w:rsidRPr="00E7159C" w14:paraId="6E926EEF" w14:textId="77777777" w:rsidTr="009805F3">
        <w:tblPrEx>
          <w:tblLook w:val="01E0" w:firstRow="1" w:lastRow="1" w:firstColumn="1" w:lastColumn="1" w:noHBand="0" w:noVBand="0"/>
        </w:tblPrEx>
        <w:tc>
          <w:tcPr>
            <w:tcW w:w="3123" w:type="dxa"/>
          </w:tcPr>
          <w:p w14:paraId="3CB1676A" w14:textId="77777777" w:rsidR="00EA4C36" w:rsidRPr="00E7159C" w:rsidRDefault="00EA4C36" w:rsidP="009805F3">
            <w:pPr>
              <w:kinsoku/>
              <w:overflowPunct/>
              <w:autoSpaceDE/>
              <w:autoSpaceDN/>
              <w:adjustRightInd/>
              <w:snapToGrid/>
              <w:spacing w:before="60" w:after="60"/>
              <w:ind w:left="57" w:right="57"/>
              <w:rPr>
                <w:rFonts w:eastAsia="Times New Roman"/>
              </w:rPr>
            </w:pPr>
          </w:p>
        </w:tc>
        <w:tc>
          <w:tcPr>
            <w:tcW w:w="3828" w:type="dxa"/>
          </w:tcPr>
          <w:p w14:paraId="7CD91E0D" w14:textId="77777777" w:rsidR="00EA4C36" w:rsidRPr="00E7159C" w:rsidRDefault="00EA4C36" w:rsidP="009805F3">
            <w:pPr>
              <w:kinsoku/>
              <w:overflowPunct/>
              <w:autoSpaceDE/>
              <w:autoSpaceDN/>
              <w:adjustRightInd/>
              <w:snapToGrid/>
              <w:spacing w:before="60" w:after="60"/>
              <w:ind w:left="57" w:right="57"/>
              <w:rPr>
                <w:rFonts w:eastAsia="Times New Roman"/>
              </w:rPr>
            </w:pPr>
          </w:p>
        </w:tc>
        <w:tc>
          <w:tcPr>
            <w:tcW w:w="3012" w:type="dxa"/>
          </w:tcPr>
          <w:p w14:paraId="3062E30B"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r w:rsidRPr="00A900AC">
              <w:rPr>
                <w:rFonts w:eastAsia="Times New Roman"/>
                <w:lang w:val="en-GB"/>
              </w:rPr>
              <w:t xml:space="preserve">85 °C &lt; point </w:t>
            </w:r>
            <w:proofErr w:type="spellStart"/>
            <w:r w:rsidRPr="00A900AC">
              <w:rPr>
                <w:rFonts w:eastAsia="Times New Roman"/>
                <w:lang w:val="en-GB"/>
              </w:rPr>
              <w:t>d</w:t>
            </w:r>
            <w:r>
              <w:rPr>
                <w:rFonts w:eastAsia="Times New Roman"/>
                <w:lang w:val="en-GB"/>
              </w:rPr>
              <w:t>’</w:t>
            </w:r>
            <w:r w:rsidRPr="00A900AC">
              <w:rPr>
                <w:rFonts w:eastAsia="Times New Roman"/>
                <w:lang w:val="en-GB"/>
              </w:rPr>
              <w:t>ébullition</w:t>
            </w:r>
            <w:proofErr w:type="spellEnd"/>
            <w:r w:rsidRPr="00A900AC">
              <w:rPr>
                <w:rFonts w:eastAsia="Times New Roman"/>
                <w:lang w:val="en-GB"/>
              </w:rPr>
              <w:t xml:space="preserve"> ≤ 115 °C</w:t>
            </w:r>
          </w:p>
        </w:tc>
        <w:tc>
          <w:tcPr>
            <w:tcW w:w="3815" w:type="dxa"/>
            <w:gridSpan w:val="2"/>
          </w:tcPr>
          <w:p w14:paraId="5CACDC75"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Pression d</w:t>
            </w:r>
            <w:r>
              <w:rPr>
                <w:rFonts w:eastAsia="Times New Roman"/>
              </w:rPr>
              <w:t>’</w:t>
            </w:r>
            <w:r w:rsidRPr="00314016">
              <w:rPr>
                <w:rFonts w:eastAsia="Times New Roman"/>
              </w:rPr>
              <w:t>ouverture de la soupape de surpression/soupape de dégagement à grande vitesse</w:t>
            </w:r>
            <w:r>
              <w:rPr>
                <w:rFonts w:eastAsia="Times New Roman"/>
              </w:rPr>
              <w:t> </w:t>
            </w:r>
            <w:r w:rsidRPr="00E7159C">
              <w:rPr>
                <w:rFonts w:eastAsia="Times New Roman"/>
              </w:rPr>
              <w:t>: 50 kPa</w:t>
            </w:r>
          </w:p>
        </w:tc>
      </w:tr>
      <w:tr w:rsidR="00EA4C36" w:rsidRPr="00E7159C" w14:paraId="50A99546" w14:textId="77777777" w:rsidTr="009805F3">
        <w:tblPrEx>
          <w:tblLook w:val="01E0" w:firstRow="1" w:lastRow="1" w:firstColumn="1" w:lastColumn="1" w:noHBand="0" w:noVBand="0"/>
        </w:tblPrEx>
        <w:tc>
          <w:tcPr>
            <w:tcW w:w="3123" w:type="dxa"/>
          </w:tcPr>
          <w:p w14:paraId="02B6BF63" w14:textId="77777777" w:rsidR="00EA4C36" w:rsidRPr="00E7159C" w:rsidRDefault="00EA4C36" w:rsidP="009805F3">
            <w:pPr>
              <w:kinsoku/>
              <w:overflowPunct/>
              <w:autoSpaceDE/>
              <w:autoSpaceDN/>
              <w:adjustRightInd/>
              <w:snapToGrid/>
              <w:spacing w:before="60" w:after="60"/>
              <w:ind w:left="57" w:right="57"/>
              <w:rPr>
                <w:rFonts w:eastAsia="Times New Roman"/>
              </w:rPr>
            </w:pPr>
          </w:p>
        </w:tc>
        <w:tc>
          <w:tcPr>
            <w:tcW w:w="3828" w:type="dxa"/>
          </w:tcPr>
          <w:p w14:paraId="37D8F67B" w14:textId="77777777" w:rsidR="00EA4C36" w:rsidRPr="00E7159C" w:rsidRDefault="00EA4C36" w:rsidP="009805F3">
            <w:pPr>
              <w:kinsoku/>
              <w:overflowPunct/>
              <w:autoSpaceDE/>
              <w:autoSpaceDN/>
              <w:adjustRightInd/>
              <w:snapToGrid/>
              <w:spacing w:before="60" w:after="60"/>
              <w:ind w:left="57" w:right="57"/>
              <w:rPr>
                <w:rFonts w:eastAsia="Times New Roman"/>
              </w:rPr>
            </w:pPr>
          </w:p>
        </w:tc>
        <w:tc>
          <w:tcPr>
            <w:tcW w:w="3012" w:type="dxa"/>
          </w:tcPr>
          <w:p w14:paraId="1974AB66" w14:textId="77777777" w:rsidR="00EA4C36" w:rsidRPr="00E7159C" w:rsidRDefault="00EA4C36" w:rsidP="009805F3">
            <w:pPr>
              <w:kinsoku/>
              <w:overflowPunct/>
              <w:autoSpaceDE/>
              <w:autoSpaceDN/>
              <w:adjustRightInd/>
              <w:snapToGrid/>
              <w:spacing w:before="60" w:after="60"/>
              <w:ind w:left="57" w:right="57"/>
              <w:rPr>
                <w:rFonts w:eastAsia="Times New Roman"/>
                <w:lang w:val="en-GB"/>
              </w:rPr>
            </w:pPr>
            <w:r w:rsidRPr="00A900AC">
              <w:rPr>
                <w:rFonts w:eastAsia="Times New Roman"/>
                <w:lang w:val="en-GB"/>
              </w:rPr>
              <w:t xml:space="preserve">Point </w:t>
            </w:r>
            <w:proofErr w:type="spellStart"/>
            <w:proofErr w:type="gramStart"/>
            <w:r w:rsidRPr="00A900AC">
              <w:rPr>
                <w:rFonts w:eastAsia="Times New Roman"/>
                <w:lang w:val="en-GB"/>
              </w:rPr>
              <w:t>d</w:t>
            </w:r>
            <w:r>
              <w:rPr>
                <w:rFonts w:eastAsia="Times New Roman"/>
                <w:lang w:val="en-GB"/>
              </w:rPr>
              <w:t>’</w:t>
            </w:r>
            <w:r w:rsidRPr="00A900AC">
              <w:rPr>
                <w:rFonts w:eastAsia="Times New Roman"/>
                <w:lang w:val="en-GB"/>
              </w:rPr>
              <w:t>ébullition</w:t>
            </w:r>
            <w:proofErr w:type="spellEnd"/>
            <w:r w:rsidRPr="00A900AC">
              <w:rPr>
                <w:rFonts w:eastAsia="Times New Roman"/>
                <w:lang w:val="en-GB"/>
              </w:rPr>
              <w:t xml:space="preserve">  &gt;</w:t>
            </w:r>
            <w:proofErr w:type="gramEnd"/>
            <w:r w:rsidRPr="00A900AC">
              <w:rPr>
                <w:rFonts w:eastAsia="Times New Roman"/>
                <w:lang w:val="en-GB"/>
              </w:rPr>
              <w:t xml:space="preserve"> 115 °C</w:t>
            </w:r>
          </w:p>
        </w:tc>
        <w:tc>
          <w:tcPr>
            <w:tcW w:w="3815" w:type="dxa"/>
            <w:gridSpan w:val="2"/>
          </w:tcPr>
          <w:p w14:paraId="2BE022F3" w14:textId="77777777" w:rsidR="00EA4C36" w:rsidRPr="00E7159C" w:rsidRDefault="00EA4C36" w:rsidP="009805F3">
            <w:pPr>
              <w:kinsoku/>
              <w:overflowPunct/>
              <w:autoSpaceDE/>
              <w:autoSpaceDN/>
              <w:adjustRightInd/>
              <w:snapToGrid/>
              <w:spacing w:before="60" w:after="60"/>
              <w:ind w:left="57" w:right="57"/>
              <w:rPr>
                <w:rFonts w:eastAsia="Times New Roman"/>
              </w:rPr>
            </w:pPr>
            <w:r w:rsidRPr="00314016">
              <w:rPr>
                <w:rFonts w:eastAsia="Times New Roman"/>
              </w:rPr>
              <w:t>Pression d</w:t>
            </w:r>
            <w:r>
              <w:rPr>
                <w:rFonts w:eastAsia="Times New Roman"/>
              </w:rPr>
              <w:t>’</w:t>
            </w:r>
            <w:r w:rsidRPr="00314016">
              <w:rPr>
                <w:rFonts w:eastAsia="Times New Roman"/>
              </w:rPr>
              <w:t>ouverture de la soupape de surpression/soupap</w:t>
            </w:r>
            <w:r>
              <w:rPr>
                <w:rFonts w:eastAsia="Times New Roman"/>
              </w:rPr>
              <w:t>e de dégagement à grande vitesse </w:t>
            </w:r>
            <w:r w:rsidRPr="00E7159C">
              <w:rPr>
                <w:rFonts w:eastAsia="Times New Roman"/>
              </w:rPr>
              <w:t>: 35 kPa</w:t>
            </w:r>
          </w:p>
        </w:tc>
      </w:tr>
    </w:tbl>
    <w:p w14:paraId="14D085D5" w14:textId="77777777" w:rsidR="00EA4C36" w:rsidRPr="00400A5E" w:rsidRDefault="00EA4C36" w:rsidP="00EA4C36">
      <w:pPr>
        <w:pStyle w:val="SingleTxtG"/>
        <w:spacing w:before="120"/>
        <w:jc w:val="right"/>
        <w:rPr>
          <w:rFonts w:eastAsia="Times New Roman"/>
          <w:iCs/>
        </w:rPr>
      </w:pPr>
      <w:r w:rsidRPr="00400A5E">
        <w:rPr>
          <w:rFonts w:eastAsia="Times New Roman"/>
          <w:iCs/>
        </w:rPr>
        <w:t>. ».</w:t>
      </w:r>
    </w:p>
    <w:p w14:paraId="1EAB0955" w14:textId="77777777" w:rsidR="00EA4C36" w:rsidRDefault="00EA4C36" w:rsidP="00EA4C36">
      <w:pPr>
        <w:pStyle w:val="SingleTxtG"/>
        <w:spacing w:before="120"/>
        <w:rPr>
          <w:rFonts w:eastAsia="Times New Roman"/>
          <w:i/>
          <w:iCs/>
        </w:rPr>
      </w:pPr>
      <w:r w:rsidRPr="00E7159C">
        <w:rPr>
          <w:rFonts w:eastAsia="Times New Roman"/>
          <w:i/>
          <w:iCs/>
        </w:rPr>
        <w:t>(</w:t>
      </w:r>
      <w:r>
        <w:rPr>
          <w:rFonts w:eastAsia="Times New Roman"/>
          <w:i/>
          <w:iCs/>
        </w:rPr>
        <w:t xml:space="preserve">Document de référence </w:t>
      </w:r>
      <w:r w:rsidRPr="00E7159C">
        <w:rPr>
          <w:rFonts w:eastAsia="Times New Roman"/>
          <w:i/>
          <w:iCs/>
        </w:rPr>
        <w:t xml:space="preserve">: </w:t>
      </w:r>
      <w:r>
        <w:rPr>
          <w:rFonts w:eastAsia="Times New Roman"/>
          <w:i/>
          <w:iCs/>
        </w:rPr>
        <w:t>document informel INF</w:t>
      </w:r>
      <w:r w:rsidRPr="00E7159C">
        <w:rPr>
          <w:rFonts w:eastAsia="Times New Roman"/>
          <w:i/>
          <w:iCs/>
        </w:rPr>
        <w:t>.7)</w:t>
      </w:r>
    </w:p>
    <w:p w14:paraId="2291CA43" w14:textId="77777777" w:rsidR="00EA4C36" w:rsidRPr="00E7159C" w:rsidRDefault="00EA4C36" w:rsidP="00EA4C36">
      <w:pPr>
        <w:keepNext/>
        <w:kinsoku/>
        <w:overflowPunct/>
        <w:autoSpaceDE/>
        <w:autoSpaceDN/>
        <w:adjustRightInd/>
        <w:snapToGrid/>
        <w:spacing w:after="120"/>
        <w:ind w:left="1134" w:right="1134"/>
        <w:jc w:val="both"/>
        <w:rPr>
          <w:rFonts w:eastAsia="Times New Roman"/>
          <w:b/>
          <w:bCs/>
          <w:szCs w:val="24"/>
        </w:rPr>
      </w:pPr>
      <w:r w:rsidRPr="00E7159C">
        <w:rPr>
          <w:rFonts w:eastAsia="Times New Roman"/>
        </w:rPr>
        <w:lastRenderedPageBreak/>
        <w:t>3.2.3.3</w:t>
      </w:r>
      <w:r w:rsidRPr="00E7159C">
        <w:rPr>
          <w:rFonts w:eastAsia="Times New Roman"/>
        </w:rPr>
        <w:tab/>
      </w:r>
      <w:r w:rsidRPr="00E7159C">
        <w:rPr>
          <w:rFonts w:eastAsia="Times New Roman"/>
        </w:rPr>
        <w:tab/>
      </w:r>
      <w:r w:rsidRPr="007322DB">
        <w:rPr>
          <w:rFonts w:eastAsia="Times New Roman"/>
        </w:rPr>
        <w:t xml:space="preserve">Modifier le schéma </w:t>
      </w:r>
      <w:r w:rsidRPr="00E7159C">
        <w:rPr>
          <w:rFonts w:eastAsia="Times New Roman"/>
        </w:rPr>
        <w:t xml:space="preserve">C </w:t>
      </w:r>
      <w:r>
        <w:rPr>
          <w:rFonts w:eastAsia="Times New Roman"/>
        </w:rPr>
        <w:t xml:space="preserve">pour lire </w:t>
      </w:r>
      <w:r w:rsidRPr="007322DB">
        <w:rPr>
          <w:rFonts w:eastAsia="Times New Roman"/>
        </w:rPr>
        <w:t>comme suit</w:t>
      </w:r>
      <w:r>
        <w:rPr>
          <w:rFonts w:eastAsia="Times New Roman"/>
        </w:rPr>
        <w:t> </w:t>
      </w:r>
      <w:r w:rsidRPr="00E7159C">
        <w:rPr>
          <w:rFonts w:eastAsia="Times New Roman"/>
        </w:rPr>
        <w:t>:</w:t>
      </w:r>
    </w:p>
    <w:p w14:paraId="4E0931A6" w14:textId="77777777" w:rsidR="00EA4C36" w:rsidRPr="007A438F" w:rsidRDefault="00EA4C36" w:rsidP="00EA4C36">
      <w:pPr>
        <w:pStyle w:val="H23G"/>
        <w:rPr>
          <w:lang w:val="fr-FR"/>
        </w:rPr>
      </w:pPr>
      <w:r w:rsidRPr="00E7159C">
        <w:tab/>
      </w:r>
      <w:r w:rsidRPr="00E7159C">
        <w:tab/>
      </w:r>
      <w:r w:rsidRPr="00F9625B">
        <w:rPr>
          <w:b w:val="0"/>
          <w:lang w:val="fr-FR"/>
        </w:rPr>
        <w:t>« </w:t>
      </w:r>
      <w:r w:rsidRPr="007A438F">
        <w:rPr>
          <w:lang w:val="fr-FR"/>
        </w:rPr>
        <w:t>Critères pour l</w:t>
      </w:r>
      <w:r>
        <w:rPr>
          <w:lang w:val="fr-FR"/>
        </w:rPr>
        <w:t>’</w:t>
      </w:r>
      <w:r w:rsidRPr="007A438F">
        <w:rPr>
          <w:lang w:val="fr-FR"/>
        </w:rPr>
        <w:t>équipement des bateaux du type N avec des citernes à cargaison ouvertes</w:t>
      </w:r>
    </w:p>
    <w:p w14:paraId="51C287D1" w14:textId="77777777" w:rsidR="00EA4C36" w:rsidRDefault="00EA4C36" w:rsidP="00EA4C36">
      <w:pPr>
        <w:pStyle w:val="SingleTxtG"/>
        <w:spacing w:before="120"/>
        <w:rPr>
          <w:rFonts w:eastAsia="Times New Roman"/>
        </w:rPr>
      </w:pPr>
      <w:r w:rsidRPr="00077539">
        <w:rPr>
          <w:rFonts w:eastAsia="Times New Roman"/>
        </w:rPr>
        <w:t>Déterminer dans les trois premières colonnes les caractéristiques de</w:t>
      </w:r>
      <w:r>
        <w:rPr>
          <w:rFonts w:eastAsia="Times New Roman"/>
        </w:rPr>
        <w:t xml:space="preserve"> la </w:t>
      </w:r>
      <w:r w:rsidRPr="00077539">
        <w:rPr>
          <w:rFonts w:eastAsia="Times New Roman"/>
        </w:rPr>
        <w:t>matière/citerne à cargaison qui sont pertinentes. Choisir la rangée qui convient dans la colonne correspondante. Les critères pour l</w:t>
      </w:r>
      <w:r>
        <w:rPr>
          <w:rFonts w:eastAsia="Times New Roman"/>
        </w:rPr>
        <w:t>’</w:t>
      </w:r>
      <w:r w:rsidRPr="00077539">
        <w:rPr>
          <w:rFonts w:eastAsia="Times New Roman"/>
        </w:rPr>
        <w:t>équipement des citernes à cargaison des bateaux de type N sont alors décrits sur cette ligne dans la quatrième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16"/>
        <w:gridCol w:w="3827"/>
        <w:gridCol w:w="2739"/>
        <w:gridCol w:w="3096"/>
      </w:tblGrid>
      <w:tr w:rsidR="00EA4C36" w:rsidRPr="00083407" w14:paraId="25BC9926" w14:textId="77777777" w:rsidTr="009805F3">
        <w:tc>
          <w:tcPr>
            <w:tcW w:w="10682" w:type="dxa"/>
            <w:gridSpan w:val="3"/>
          </w:tcPr>
          <w:p w14:paraId="2EE146F3" w14:textId="77777777" w:rsidR="00EA4C36" w:rsidRPr="00083407" w:rsidRDefault="00EA4C36" w:rsidP="009805F3">
            <w:pPr>
              <w:kinsoku/>
              <w:overflowPunct/>
              <w:autoSpaceDE/>
              <w:autoSpaceDN/>
              <w:adjustRightInd/>
              <w:snapToGrid/>
              <w:spacing w:before="60" w:after="60"/>
              <w:ind w:left="57" w:right="57"/>
              <w:rPr>
                <w:rFonts w:eastAsia="Times New Roman"/>
                <w:lang w:val="en-GB"/>
              </w:rPr>
            </w:pPr>
            <w:proofErr w:type="spellStart"/>
            <w:r w:rsidRPr="00083407">
              <w:rPr>
                <w:rFonts w:eastAsia="Times New Roman"/>
                <w:lang w:val="en-GB"/>
              </w:rPr>
              <w:t>Caractéristiques</w:t>
            </w:r>
            <w:proofErr w:type="spellEnd"/>
            <w:r w:rsidRPr="00083407">
              <w:rPr>
                <w:rFonts w:eastAsia="Times New Roman"/>
                <w:lang w:val="en-GB"/>
              </w:rPr>
              <w:t xml:space="preserve"> de la matière</w:t>
            </w:r>
          </w:p>
        </w:tc>
        <w:tc>
          <w:tcPr>
            <w:tcW w:w="3096" w:type="dxa"/>
          </w:tcPr>
          <w:p w14:paraId="136BB2F2" w14:textId="77777777" w:rsidR="00EA4C36" w:rsidRPr="00083407" w:rsidRDefault="00EA4C36" w:rsidP="009805F3">
            <w:pPr>
              <w:kinsoku/>
              <w:overflowPunct/>
              <w:autoSpaceDE/>
              <w:autoSpaceDN/>
              <w:adjustRightInd/>
              <w:snapToGrid/>
              <w:spacing w:before="60" w:after="60"/>
              <w:ind w:left="57" w:right="57"/>
              <w:rPr>
                <w:rFonts w:eastAsia="Times New Roman"/>
                <w:lang w:val="en-GB"/>
              </w:rPr>
            </w:pPr>
            <w:r w:rsidRPr="00083407">
              <w:rPr>
                <w:rFonts w:eastAsia="Times New Roman"/>
                <w:lang w:val="en-GB"/>
              </w:rPr>
              <w:t>Prescriptions</w:t>
            </w:r>
          </w:p>
        </w:tc>
      </w:tr>
      <w:tr w:rsidR="00EA4C36" w:rsidRPr="00083407" w14:paraId="4D8A0EE0" w14:textId="77777777" w:rsidTr="009805F3">
        <w:tc>
          <w:tcPr>
            <w:tcW w:w="4116" w:type="dxa"/>
          </w:tcPr>
          <w:p w14:paraId="4F4C193A" w14:textId="77777777" w:rsidR="00EA4C36" w:rsidRPr="00083407" w:rsidRDefault="00EA4C36" w:rsidP="009805F3">
            <w:pPr>
              <w:kinsoku/>
              <w:overflowPunct/>
              <w:autoSpaceDE/>
              <w:autoSpaceDN/>
              <w:adjustRightInd/>
              <w:snapToGrid/>
              <w:spacing w:before="60" w:after="60"/>
              <w:ind w:left="57" w:right="57"/>
              <w:rPr>
                <w:rFonts w:eastAsia="Times New Roman"/>
                <w:lang w:val="en-GB"/>
              </w:rPr>
            </w:pPr>
            <w:r w:rsidRPr="00083407">
              <w:rPr>
                <w:rFonts w:eastAsia="Times New Roman"/>
                <w:lang w:val="en-GB"/>
              </w:rPr>
              <w:t>Classes 3 et 9</w:t>
            </w:r>
          </w:p>
        </w:tc>
        <w:tc>
          <w:tcPr>
            <w:tcW w:w="3827" w:type="dxa"/>
          </w:tcPr>
          <w:p w14:paraId="3570986B" w14:textId="77777777" w:rsidR="00EA4C36" w:rsidRPr="00083407" w:rsidRDefault="00EA4C36" w:rsidP="009805F3">
            <w:pPr>
              <w:kinsoku/>
              <w:overflowPunct/>
              <w:autoSpaceDE/>
              <w:autoSpaceDN/>
              <w:adjustRightInd/>
              <w:snapToGrid/>
              <w:spacing w:before="60" w:after="60"/>
              <w:ind w:left="57" w:right="57"/>
              <w:rPr>
                <w:rFonts w:eastAsia="Times New Roman"/>
                <w:lang w:val="en-GB"/>
              </w:rPr>
            </w:pPr>
            <w:r w:rsidRPr="00083407">
              <w:rPr>
                <w:rFonts w:eastAsia="Times New Roman"/>
                <w:lang w:val="en-GB"/>
              </w:rPr>
              <w:t>Matières inflammables</w:t>
            </w:r>
          </w:p>
        </w:tc>
        <w:tc>
          <w:tcPr>
            <w:tcW w:w="2739" w:type="dxa"/>
          </w:tcPr>
          <w:p w14:paraId="3B940C40" w14:textId="77777777" w:rsidR="00EA4C36" w:rsidRPr="00083407" w:rsidRDefault="00EA4C36" w:rsidP="009805F3">
            <w:pPr>
              <w:kinsoku/>
              <w:overflowPunct/>
              <w:autoSpaceDE/>
              <w:autoSpaceDN/>
              <w:adjustRightInd/>
              <w:snapToGrid/>
              <w:spacing w:before="60" w:after="60"/>
              <w:ind w:left="57" w:right="57"/>
              <w:rPr>
                <w:rFonts w:eastAsia="Times New Roman"/>
                <w:lang w:val="en-GB"/>
              </w:rPr>
            </w:pPr>
            <w:r w:rsidRPr="00083407">
              <w:rPr>
                <w:rFonts w:eastAsia="Times New Roman"/>
                <w:lang w:val="en-GB"/>
              </w:rPr>
              <w:t>Matières corrosives</w:t>
            </w:r>
          </w:p>
        </w:tc>
        <w:tc>
          <w:tcPr>
            <w:tcW w:w="3096" w:type="dxa"/>
          </w:tcPr>
          <w:p w14:paraId="39A6C2C0" w14:textId="77777777" w:rsidR="00EA4C36" w:rsidRPr="00083407" w:rsidRDefault="00EA4C36" w:rsidP="009805F3">
            <w:pPr>
              <w:kinsoku/>
              <w:overflowPunct/>
              <w:autoSpaceDE/>
              <w:autoSpaceDN/>
              <w:adjustRightInd/>
              <w:snapToGrid/>
              <w:spacing w:before="60" w:after="60"/>
              <w:ind w:left="57" w:right="57"/>
              <w:rPr>
                <w:rFonts w:eastAsia="Times New Roman"/>
              </w:rPr>
            </w:pPr>
            <w:r w:rsidRPr="00083407">
              <w:rPr>
                <w:rFonts w:eastAsia="Times New Roman"/>
              </w:rPr>
              <w:t>Équipement de la citerne à cargaison</w:t>
            </w:r>
          </w:p>
        </w:tc>
      </w:tr>
      <w:tr w:rsidR="00EA4C36" w:rsidRPr="00083407" w14:paraId="60EB27A8" w14:textId="77777777" w:rsidTr="009805F3">
        <w:tc>
          <w:tcPr>
            <w:tcW w:w="4116" w:type="dxa"/>
          </w:tcPr>
          <w:p w14:paraId="44697A05" w14:textId="77777777" w:rsidR="00EA4C36" w:rsidRPr="00083407" w:rsidRDefault="00EA4C36" w:rsidP="009805F3">
            <w:pPr>
              <w:kinsoku/>
              <w:overflowPunct/>
              <w:autoSpaceDE/>
              <w:autoSpaceDN/>
              <w:adjustRightInd/>
              <w:snapToGrid/>
              <w:spacing w:before="60" w:after="60"/>
              <w:ind w:left="57" w:right="57"/>
              <w:rPr>
                <w:rFonts w:eastAsia="Times New Roman"/>
                <w:lang w:val="en-GB"/>
              </w:rPr>
            </w:pPr>
            <w:r w:rsidRPr="00083407">
              <w:rPr>
                <w:rFonts w:eastAsia="Times New Roman"/>
                <w:lang w:val="en-GB"/>
              </w:rPr>
              <w:t xml:space="preserve">23 °C ≤ point </w:t>
            </w:r>
            <w:proofErr w:type="spellStart"/>
            <w:r w:rsidRPr="00083407">
              <w:rPr>
                <w:rFonts w:eastAsia="Times New Roman"/>
                <w:lang w:val="en-GB"/>
              </w:rPr>
              <w:t>d</w:t>
            </w:r>
            <w:r>
              <w:rPr>
                <w:rFonts w:eastAsia="Times New Roman"/>
                <w:lang w:val="en-GB"/>
              </w:rPr>
              <w:t>’</w:t>
            </w:r>
            <w:r w:rsidRPr="00083407">
              <w:rPr>
                <w:rFonts w:eastAsia="Times New Roman"/>
                <w:lang w:val="en-GB"/>
              </w:rPr>
              <w:t>éclair</w:t>
            </w:r>
            <w:proofErr w:type="spellEnd"/>
            <w:r w:rsidRPr="00083407">
              <w:rPr>
                <w:rFonts w:eastAsia="Times New Roman"/>
                <w:lang w:val="en-GB"/>
              </w:rPr>
              <w:t xml:space="preserve"> ≤ 60 °C</w:t>
            </w:r>
          </w:p>
        </w:tc>
        <w:tc>
          <w:tcPr>
            <w:tcW w:w="3827" w:type="dxa"/>
          </w:tcPr>
          <w:p w14:paraId="1D7AF912" w14:textId="77777777" w:rsidR="00EA4C36" w:rsidRPr="00083407" w:rsidRDefault="00EA4C36" w:rsidP="009805F3">
            <w:pPr>
              <w:kinsoku/>
              <w:overflowPunct/>
              <w:autoSpaceDE/>
              <w:autoSpaceDN/>
              <w:adjustRightInd/>
              <w:snapToGrid/>
              <w:spacing w:before="60" w:after="60"/>
              <w:ind w:left="57" w:right="57"/>
              <w:rPr>
                <w:rFonts w:eastAsia="Times New Roman"/>
              </w:rPr>
            </w:pPr>
            <w:r w:rsidRPr="00083407">
              <w:rPr>
                <w:rFonts w:eastAsia="Times New Roman"/>
              </w:rPr>
              <w:t>Point d</w:t>
            </w:r>
            <w:r>
              <w:rPr>
                <w:rFonts w:eastAsia="Times New Roman"/>
              </w:rPr>
              <w:t>’</w:t>
            </w:r>
            <w:r w:rsidRPr="00083407">
              <w:rPr>
                <w:rFonts w:eastAsia="Times New Roman"/>
              </w:rPr>
              <w:t xml:space="preserve">éclair &gt; 60 °C, transportées à chaud </w:t>
            </w:r>
            <w:r>
              <w:rPr>
                <w:rFonts w:eastAsia="Times New Roman"/>
              </w:rPr>
              <w:br/>
            </w:r>
            <w:r w:rsidRPr="00083407">
              <w:rPr>
                <w:rFonts w:eastAsia="Times New Roman"/>
              </w:rPr>
              <w:t>≤ 15 K sous le point d</w:t>
            </w:r>
            <w:r>
              <w:rPr>
                <w:rFonts w:eastAsia="Times New Roman"/>
              </w:rPr>
              <w:t>’</w:t>
            </w:r>
            <w:r w:rsidRPr="00083407">
              <w:rPr>
                <w:rFonts w:eastAsia="Times New Roman"/>
              </w:rPr>
              <w:t>éclair</w:t>
            </w:r>
          </w:p>
          <w:p w14:paraId="11B1E68F" w14:textId="77777777" w:rsidR="00EA4C36" w:rsidRPr="00083407" w:rsidRDefault="00EA4C36" w:rsidP="009805F3">
            <w:pPr>
              <w:kinsoku/>
              <w:overflowPunct/>
              <w:autoSpaceDE/>
              <w:autoSpaceDN/>
              <w:adjustRightInd/>
              <w:snapToGrid/>
              <w:spacing w:before="60" w:after="60"/>
              <w:ind w:left="57" w:right="57"/>
              <w:rPr>
                <w:rFonts w:eastAsia="Times New Roman"/>
              </w:rPr>
            </w:pPr>
            <w:proofErr w:type="gramStart"/>
            <w:r w:rsidRPr="00083407">
              <w:rPr>
                <w:rFonts w:eastAsia="Times New Roman"/>
              </w:rPr>
              <w:t>ou</w:t>
            </w:r>
            <w:proofErr w:type="gramEnd"/>
          </w:p>
          <w:p w14:paraId="70E6A635" w14:textId="77777777" w:rsidR="00EA4C36" w:rsidRPr="00083407" w:rsidRDefault="00EA4C36" w:rsidP="009805F3">
            <w:pPr>
              <w:kinsoku/>
              <w:overflowPunct/>
              <w:autoSpaceDE/>
              <w:autoSpaceDN/>
              <w:adjustRightInd/>
              <w:snapToGrid/>
              <w:spacing w:before="60" w:after="60"/>
              <w:ind w:left="57" w:right="57"/>
              <w:rPr>
                <w:rFonts w:eastAsia="Times New Roman"/>
              </w:rPr>
            </w:pPr>
            <w:r w:rsidRPr="00083407">
              <w:rPr>
                <w:rFonts w:eastAsia="Times New Roman"/>
              </w:rPr>
              <w:t>Point d</w:t>
            </w:r>
            <w:r>
              <w:rPr>
                <w:rFonts w:eastAsia="Times New Roman"/>
              </w:rPr>
              <w:t>’</w:t>
            </w:r>
            <w:r w:rsidRPr="00083407">
              <w:rPr>
                <w:rFonts w:eastAsia="Times New Roman"/>
              </w:rPr>
              <w:t>éclair &gt; 60 °C, à leur point d</w:t>
            </w:r>
            <w:r>
              <w:rPr>
                <w:rFonts w:eastAsia="Times New Roman"/>
              </w:rPr>
              <w:t>’</w:t>
            </w:r>
            <w:r w:rsidRPr="00083407">
              <w:rPr>
                <w:rFonts w:eastAsia="Times New Roman"/>
              </w:rPr>
              <w:t>éclair ou au-dessus de leur</w:t>
            </w:r>
            <w:r w:rsidRPr="00083407">
              <w:t xml:space="preserve"> p</w:t>
            </w:r>
            <w:r w:rsidRPr="00083407">
              <w:rPr>
                <w:rFonts w:eastAsia="Times New Roman"/>
              </w:rPr>
              <w:t>oint d</w:t>
            </w:r>
            <w:r>
              <w:rPr>
                <w:rFonts w:eastAsia="Times New Roman"/>
              </w:rPr>
              <w:t>’</w:t>
            </w:r>
            <w:r w:rsidRPr="00083407">
              <w:rPr>
                <w:rFonts w:eastAsia="Times New Roman"/>
              </w:rPr>
              <w:t>éclair</w:t>
            </w:r>
          </w:p>
        </w:tc>
        <w:tc>
          <w:tcPr>
            <w:tcW w:w="2739" w:type="dxa"/>
          </w:tcPr>
          <w:p w14:paraId="5B832A2D" w14:textId="77777777" w:rsidR="00EA4C36" w:rsidRPr="00083407" w:rsidRDefault="00EA4C36" w:rsidP="009805F3">
            <w:pPr>
              <w:kinsoku/>
              <w:overflowPunct/>
              <w:autoSpaceDE/>
              <w:autoSpaceDN/>
              <w:adjustRightInd/>
              <w:snapToGrid/>
              <w:spacing w:before="60" w:after="60"/>
              <w:ind w:left="57" w:right="57"/>
              <w:rPr>
                <w:rFonts w:eastAsia="Times New Roman"/>
              </w:rPr>
            </w:pPr>
            <w:r w:rsidRPr="00083407">
              <w:rPr>
                <w:rFonts w:eastAsia="Times New Roman"/>
              </w:rPr>
              <w:t xml:space="preserve">Acides, transportées à chaud </w:t>
            </w:r>
            <w:r>
              <w:rPr>
                <w:rFonts w:eastAsia="Times New Roman"/>
              </w:rPr>
              <w:br/>
            </w:r>
            <w:r w:rsidRPr="00083407">
              <w:rPr>
                <w:rFonts w:eastAsia="Times New Roman"/>
              </w:rPr>
              <w:t xml:space="preserve">ou inflammables </w:t>
            </w:r>
          </w:p>
        </w:tc>
        <w:tc>
          <w:tcPr>
            <w:tcW w:w="3096" w:type="dxa"/>
          </w:tcPr>
          <w:p w14:paraId="51F5E1FA" w14:textId="77777777" w:rsidR="00EA4C36" w:rsidRPr="00083407" w:rsidRDefault="00EA4C36" w:rsidP="009805F3">
            <w:pPr>
              <w:kinsoku/>
              <w:overflowPunct/>
              <w:autoSpaceDE/>
              <w:autoSpaceDN/>
              <w:adjustRightInd/>
              <w:snapToGrid/>
              <w:spacing w:before="60" w:after="60"/>
              <w:ind w:left="57" w:right="57"/>
              <w:rPr>
                <w:rFonts w:eastAsia="Times New Roman"/>
                <w:lang w:val="en-GB"/>
              </w:rPr>
            </w:pPr>
            <w:r w:rsidRPr="00083407">
              <w:rPr>
                <w:rFonts w:eastAsia="Times New Roman"/>
                <w:lang w:val="en-GB"/>
              </w:rPr>
              <w:t>Avec coupe-</w:t>
            </w:r>
            <w:proofErr w:type="spellStart"/>
            <w:r w:rsidRPr="00083407">
              <w:rPr>
                <w:rFonts w:eastAsia="Times New Roman"/>
                <w:lang w:val="en-GB"/>
              </w:rPr>
              <w:t>flammes</w:t>
            </w:r>
            <w:proofErr w:type="spellEnd"/>
          </w:p>
        </w:tc>
      </w:tr>
      <w:tr w:rsidR="00EA4C36" w:rsidRPr="00083407" w14:paraId="097D46DF" w14:textId="77777777" w:rsidTr="009805F3">
        <w:tc>
          <w:tcPr>
            <w:tcW w:w="4116" w:type="dxa"/>
          </w:tcPr>
          <w:p w14:paraId="385D5131" w14:textId="77777777" w:rsidR="00EA4C36" w:rsidRPr="00083407" w:rsidRDefault="00EA4C36" w:rsidP="009805F3">
            <w:pPr>
              <w:kinsoku/>
              <w:overflowPunct/>
              <w:autoSpaceDE/>
              <w:autoSpaceDN/>
              <w:adjustRightInd/>
              <w:snapToGrid/>
              <w:spacing w:before="60" w:after="60"/>
              <w:ind w:left="57" w:right="57"/>
              <w:rPr>
                <w:rFonts w:eastAsia="Times New Roman"/>
              </w:rPr>
            </w:pPr>
            <w:r w:rsidRPr="00083407">
              <w:rPr>
                <w:rFonts w:eastAsia="Times New Roman"/>
              </w:rPr>
              <w:t>60 °C &lt; point d</w:t>
            </w:r>
            <w:r>
              <w:rPr>
                <w:rFonts w:eastAsia="Times New Roman"/>
              </w:rPr>
              <w:t>’</w:t>
            </w:r>
            <w:r w:rsidRPr="00083407">
              <w:rPr>
                <w:rFonts w:eastAsia="Times New Roman"/>
              </w:rPr>
              <w:t xml:space="preserve">éclair </w:t>
            </w:r>
            <w:r w:rsidRPr="00083407">
              <w:rPr>
                <w:rFonts w:eastAsia="Times New Roman"/>
                <w:u w:val="single"/>
              </w:rPr>
              <w:t>&lt;</w:t>
            </w:r>
            <w:r w:rsidRPr="00083407">
              <w:rPr>
                <w:rFonts w:eastAsia="Times New Roman"/>
              </w:rPr>
              <w:t> 100 °C ou matières transportées à chaud de la classe 9</w:t>
            </w:r>
          </w:p>
        </w:tc>
        <w:tc>
          <w:tcPr>
            <w:tcW w:w="3827" w:type="dxa"/>
          </w:tcPr>
          <w:p w14:paraId="6F00939F" w14:textId="77777777" w:rsidR="00EA4C36" w:rsidRPr="00083407" w:rsidRDefault="00EA4C36" w:rsidP="009805F3">
            <w:pPr>
              <w:kinsoku/>
              <w:overflowPunct/>
              <w:autoSpaceDE/>
              <w:autoSpaceDN/>
              <w:adjustRightInd/>
              <w:snapToGrid/>
              <w:spacing w:before="60" w:after="60"/>
              <w:ind w:left="57" w:right="57"/>
              <w:rPr>
                <w:rFonts w:eastAsia="Times New Roman"/>
              </w:rPr>
            </w:pPr>
          </w:p>
        </w:tc>
        <w:tc>
          <w:tcPr>
            <w:tcW w:w="2739" w:type="dxa"/>
          </w:tcPr>
          <w:p w14:paraId="042C3E44" w14:textId="77777777" w:rsidR="00EA4C36" w:rsidRPr="00083407" w:rsidRDefault="00EA4C36" w:rsidP="009805F3">
            <w:pPr>
              <w:kinsoku/>
              <w:overflowPunct/>
              <w:autoSpaceDE/>
              <w:autoSpaceDN/>
              <w:adjustRightInd/>
              <w:snapToGrid/>
              <w:spacing w:before="60" w:after="60"/>
              <w:ind w:left="57" w:right="57"/>
              <w:rPr>
                <w:rFonts w:eastAsia="Times New Roman"/>
                <w:lang w:val="en-GB"/>
              </w:rPr>
            </w:pPr>
            <w:r w:rsidRPr="00083407">
              <w:rPr>
                <w:rFonts w:eastAsia="Times New Roman"/>
                <w:lang w:val="en-GB"/>
              </w:rPr>
              <w:t>Non inflammables</w:t>
            </w:r>
          </w:p>
        </w:tc>
        <w:tc>
          <w:tcPr>
            <w:tcW w:w="3096" w:type="dxa"/>
          </w:tcPr>
          <w:p w14:paraId="305D61CA" w14:textId="77777777" w:rsidR="00EA4C36" w:rsidRPr="00083407" w:rsidRDefault="00EA4C36" w:rsidP="009805F3">
            <w:pPr>
              <w:kinsoku/>
              <w:overflowPunct/>
              <w:autoSpaceDE/>
              <w:autoSpaceDN/>
              <w:adjustRightInd/>
              <w:snapToGrid/>
              <w:spacing w:before="60" w:after="60"/>
              <w:ind w:left="57" w:right="57"/>
              <w:rPr>
                <w:rFonts w:eastAsia="Times New Roman"/>
                <w:lang w:val="en-GB"/>
              </w:rPr>
            </w:pPr>
            <w:r w:rsidRPr="00083407">
              <w:rPr>
                <w:rFonts w:eastAsia="Times New Roman"/>
                <w:lang w:val="en-GB"/>
              </w:rPr>
              <w:t>Sans coupe-</w:t>
            </w:r>
            <w:proofErr w:type="spellStart"/>
            <w:r w:rsidRPr="00083407">
              <w:rPr>
                <w:rFonts w:eastAsia="Times New Roman"/>
                <w:lang w:val="en-GB"/>
              </w:rPr>
              <w:t>flammes</w:t>
            </w:r>
            <w:proofErr w:type="spellEnd"/>
          </w:p>
        </w:tc>
      </w:tr>
    </w:tbl>
    <w:p w14:paraId="26148D3D" w14:textId="77777777" w:rsidR="00EA4C36" w:rsidRPr="00400A5E" w:rsidRDefault="00EA4C36" w:rsidP="00EA4C36">
      <w:pPr>
        <w:pStyle w:val="SingleTxtG"/>
        <w:spacing w:before="120"/>
        <w:jc w:val="right"/>
      </w:pPr>
      <w:r w:rsidRPr="00400A5E">
        <w:t>. ».</w:t>
      </w:r>
    </w:p>
    <w:p w14:paraId="7D7B27C9" w14:textId="77777777" w:rsidR="002C2756" w:rsidRPr="003F1237" w:rsidRDefault="00EA4C36" w:rsidP="003F1237">
      <w:pPr>
        <w:pStyle w:val="SingleTxtG"/>
        <w:rPr>
          <w:i/>
        </w:rPr>
      </w:pPr>
      <w:r w:rsidRPr="003F1237">
        <w:rPr>
          <w:i/>
        </w:rPr>
        <w:t>(Document de référence : document informel INF.7)</w:t>
      </w:r>
    </w:p>
    <w:p w14:paraId="78B246EC" w14:textId="77777777" w:rsidR="003F1237" w:rsidRDefault="003F1237" w:rsidP="003F1237">
      <w:pPr>
        <w:pStyle w:val="SingleTxtG"/>
      </w:pPr>
    </w:p>
    <w:p w14:paraId="6A57C424" w14:textId="77777777" w:rsidR="000A09A7" w:rsidRDefault="000A09A7" w:rsidP="003F1237">
      <w:pPr>
        <w:pStyle w:val="SingleTxtG"/>
        <w:sectPr w:rsidR="000A09A7" w:rsidSect="00EA4C36">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440C9562" w14:textId="77777777" w:rsidR="000A09A7" w:rsidRPr="000E53B5" w:rsidRDefault="000A09A7" w:rsidP="000A09A7">
      <w:pPr>
        <w:pStyle w:val="H23G"/>
        <w:rPr>
          <w:rStyle w:val="Emphasis"/>
        </w:rPr>
      </w:pPr>
      <w:r w:rsidRPr="000E53B5">
        <w:rPr>
          <w:lang w:val="fr-FR"/>
        </w:rPr>
        <w:lastRenderedPageBreak/>
        <w:tab/>
      </w:r>
      <w:r w:rsidRPr="000E53B5">
        <w:rPr>
          <w:lang w:val="fr-FR"/>
        </w:rPr>
        <w:tab/>
        <w:t>Chapitre 8.1</w:t>
      </w:r>
    </w:p>
    <w:p w14:paraId="31CBB78E" w14:textId="77777777" w:rsidR="000A09A7" w:rsidRPr="000E53B5" w:rsidRDefault="000A09A7" w:rsidP="000A09A7">
      <w:pPr>
        <w:pStyle w:val="SingleTxtG"/>
      </w:pPr>
      <w:r w:rsidRPr="000E53B5">
        <w:rPr>
          <w:lang w:val="fr-FR"/>
        </w:rPr>
        <w:t>8.1.2.1 b)</w:t>
      </w:r>
      <w:r w:rsidRPr="000E53B5">
        <w:rPr>
          <w:lang w:val="fr-FR"/>
        </w:rPr>
        <w:tab/>
      </w:r>
      <w:r w:rsidRPr="00FC0C18">
        <w:rPr>
          <w:iCs/>
          <w:lang w:val="fr-FR"/>
        </w:rPr>
        <w:t xml:space="preserve">Après </w:t>
      </w:r>
      <w:r w:rsidRPr="000E53B5">
        <w:rPr>
          <w:lang w:val="fr-FR"/>
        </w:rPr>
        <w:t>«</w:t>
      </w:r>
      <w:r>
        <w:rPr>
          <w:lang w:val="fr-FR"/>
        </w:rPr>
        <w:t> </w:t>
      </w:r>
      <w:r w:rsidRPr="000E53B5">
        <w:rPr>
          <w:lang w:val="fr-FR"/>
        </w:rPr>
        <w:t>pour toutes les marchandises dangereuses</w:t>
      </w:r>
      <w:r>
        <w:rPr>
          <w:lang w:val="fr-FR"/>
        </w:rPr>
        <w:t> </w:t>
      </w:r>
      <w:r w:rsidRPr="00623D07">
        <w:rPr>
          <w:lang w:val="fr-FR"/>
        </w:rPr>
        <w:t xml:space="preserve">», </w:t>
      </w:r>
      <w:r w:rsidRPr="00FC0C18">
        <w:rPr>
          <w:lang w:val="fr-FR"/>
        </w:rPr>
        <w:t>ajouter</w:t>
      </w:r>
      <w:r w:rsidRPr="000E53B5">
        <w:rPr>
          <w:lang w:val="fr-FR"/>
        </w:rPr>
        <w:t xml:space="preserve"> «</w:t>
      </w:r>
      <w:r>
        <w:rPr>
          <w:lang w:val="fr-FR"/>
        </w:rPr>
        <w:t> </w:t>
      </w:r>
      <w:r w:rsidRPr="000E53B5">
        <w:rPr>
          <w:lang w:val="fr-FR"/>
        </w:rPr>
        <w:t>transportées en tant que cargaison</w:t>
      </w:r>
      <w:r>
        <w:rPr>
          <w:lang w:val="fr-FR"/>
        </w:rPr>
        <w:t> </w:t>
      </w:r>
      <w:r w:rsidRPr="000E53B5">
        <w:rPr>
          <w:lang w:val="fr-FR"/>
        </w:rPr>
        <w:t>».</w:t>
      </w:r>
    </w:p>
    <w:p w14:paraId="6F4D8C17" w14:textId="77777777" w:rsidR="000A09A7" w:rsidRPr="000E53B5" w:rsidRDefault="000A09A7" w:rsidP="000A09A7">
      <w:pPr>
        <w:pStyle w:val="SingleTxtG"/>
      </w:pPr>
      <w:r w:rsidRPr="000E53B5">
        <w:rPr>
          <w:i/>
          <w:iCs/>
          <w:lang w:val="fr-FR"/>
        </w:rPr>
        <w:t>(Document de référence</w:t>
      </w:r>
      <w:r>
        <w:rPr>
          <w:i/>
          <w:iCs/>
          <w:lang w:val="fr-FR"/>
        </w:rPr>
        <w:t> </w:t>
      </w:r>
      <w:r w:rsidRPr="000E53B5">
        <w:rPr>
          <w:i/>
          <w:iCs/>
          <w:lang w:val="fr-FR"/>
        </w:rPr>
        <w:t>: ECE/TRANS/WP.15/AC.2/2019/21)</w:t>
      </w:r>
    </w:p>
    <w:p w14:paraId="0D042F77" w14:textId="77777777" w:rsidR="000A09A7" w:rsidRPr="00623D07" w:rsidRDefault="000A09A7" w:rsidP="000A09A7">
      <w:pPr>
        <w:pStyle w:val="SingleTxtG"/>
      </w:pPr>
      <w:r w:rsidRPr="00623D07">
        <w:rPr>
          <w:lang w:val="fr-FR"/>
        </w:rPr>
        <w:t>8.1.2.3</w:t>
      </w:r>
      <w:r w:rsidRPr="00623D07">
        <w:rPr>
          <w:lang w:val="fr-FR"/>
        </w:rPr>
        <w:tab/>
      </w:r>
      <w:r w:rsidRPr="00623D07">
        <w:rPr>
          <w:lang w:val="fr-FR"/>
        </w:rPr>
        <w:tab/>
        <w:t>Modifier l’</w:t>
      </w:r>
      <w:r w:rsidRPr="00FC0C18">
        <w:rPr>
          <w:lang w:val="fr-FR"/>
        </w:rPr>
        <w:t xml:space="preserve">alinéa f) pour lire comme </w:t>
      </w:r>
      <w:proofErr w:type="gramStart"/>
      <w:r w:rsidRPr="00FC0C18">
        <w:rPr>
          <w:lang w:val="fr-FR"/>
        </w:rPr>
        <w:t>suit</w:t>
      </w:r>
      <w:r w:rsidRPr="00623D07">
        <w:rPr>
          <w:lang w:val="fr-FR"/>
        </w:rPr>
        <w:t>:</w:t>
      </w:r>
      <w:proofErr w:type="gramEnd"/>
    </w:p>
    <w:p w14:paraId="749DAB4A" w14:textId="77777777" w:rsidR="000A09A7" w:rsidRPr="000E53B5" w:rsidRDefault="000A09A7" w:rsidP="000A09A7">
      <w:pPr>
        <w:pStyle w:val="SingleTxtG"/>
      </w:pPr>
      <w:r w:rsidRPr="000E53B5">
        <w:rPr>
          <w:lang w:val="fr-FR"/>
        </w:rPr>
        <w:t>« </w:t>
      </w:r>
      <w:proofErr w:type="gramStart"/>
      <w:r w:rsidRPr="000E53B5">
        <w:rPr>
          <w:lang w:val="fr-FR"/>
        </w:rPr>
        <w:t>f</w:t>
      </w:r>
      <w:proofErr w:type="gramEnd"/>
      <w:r w:rsidRPr="000E53B5">
        <w:rPr>
          <w:lang w:val="fr-FR"/>
        </w:rPr>
        <w:t>)</w:t>
      </w:r>
      <w:r w:rsidRPr="000E53B5">
        <w:rPr>
          <w:lang w:val="fr-FR"/>
        </w:rPr>
        <w:tab/>
        <w:t>Les attestations relatives à l</w:t>
      </w:r>
      <w:r>
        <w:rPr>
          <w:lang w:val="fr-FR"/>
        </w:rPr>
        <w:t>’</w:t>
      </w:r>
      <w:r w:rsidRPr="000E53B5">
        <w:rPr>
          <w:lang w:val="fr-FR"/>
        </w:rPr>
        <w:t>inspection des installations de détection de gaz et de l</w:t>
      </w:r>
      <w:r>
        <w:rPr>
          <w:lang w:val="fr-FR"/>
        </w:rPr>
        <w:t>’</w:t>
      </w:r>
      <w:r w:rsidRPr="000E53B5">
        <w:rPr>
          <w:lang w:val="fr-FR"/>
        </w:rPr>
        <w:t>installation de mesure de l</w:t>
      </w:r>
      <w:r>
        <w:rPr>
          <w:lang w:val="fr-FR"/>
        </w:rPr>
        <w:t>’</w:t>
      </w:r>
      <w:r w:rsidRPr="000E53B5">
        <w:rPr>
          <w:lang w:val="fr-FR"/>
        </w:rPr>
        <w:t>oxygène prescrites au 8.1.6.3 ;</w:t>
      </w:r>
      <w:r>
        <w:rPr>
          <w:lang w:val="fr-FR"/>
        </w:rPr>
        <w:t> </w:t>
      </w:r>
      <w:r w:rsidRPr="000E53B5">
        <w:rPr>
          <w:lang w:val="fr-FR"/>
        </w:rPr>
        <w:t>».</w:t>
      </w:r>
    </w:p>
    <w:p w14:paraId="5FC12586" w14:textId="77777777" w:rsidR="000A09A7" w:rsidRDefault="000A09A7" w:rsidP="000A09A7">
      <w:pPr>
        <w:pStyle w:val="SingleTxtG"/>
        <w:rPr>
          <w:lang w:val="fr-FR"/>
        </w:rPr>
      </w:pPr>
      <w:r w:rsidRPr="000E53B5">
        <w:rPr>
          <w:i/>
          <w:iCs/>
          <w:lang w:val="fr-FR"/>
        </w:rPr>
        <w:t>(Document de référence</w:t>
      </w:r>
      <w:r>
        <w:rPr>
          <w:i/>
          <w:iCs/>
          <w:lang w:val="fr-FR"/>
        </w:rPr>
        <w:t> </w:t>
      </w:r>
      <w:r w:rsidRPr="000E53B5">
        <w:rPr>
          <w:i/>
          <w:iCs/>
          <w:lang w:val="fr-FR"/>
        </w:rPr>
        <w:t>: ECE/TRANS/WP.15/AC.2/2019/18)</w:t>
      </w:r>
    </w:p>
    <w:p w14:paraId="0FC97866" w14:textId="77777777" w:rsidR="000A09A7" w:rsidRPr="00BD1E21" w:rsidRDefault="000A09A7" w:rsidP="000A09A7">
      <w:pPr>
        <w:pStyle w:val="H23G"/>
        <w:rPr>
          <w:rStyle w:val="Emphasis"/>
        </w:rPr>
      </w:pPr>
      <w:r>
        <w:rPr>
          <w:lang w:val="fr-FR"/>
        </w:rPr>
        <w:tab/>
      </w:r>
      <w:r>
        <w:rPr>
          <w:lang w:val="fr-FR"/>
        </w:rPr>
        <w:tab/>
        <w:t>Chapitre 8.2</w:t>
      </w:r>
    </w:p>
    <w:p w14:paraId="3F1C980D" w14:textId="77777777" w:rsidR="000A09A7" w:rsidRPr="00D121F9" w:rsidRDefault="000A09A7" w:rsidP="000A09A7">
      <w:pPr>
        <w:pStyle w:val="SingleTxtG"/>
        <w:rPr>
          <w:rFonts w:eastAsia="MS Mincho"/>
        </w:rPr>
      </w:pPr>
      <w:bookmarkStart w:id="14" w:name="_Hlk5615972"/>
      <w:r>
        <w:rPr>
          <w:lang w:val="fr-FR"/>
        </w:rPr>
        <w:t>8.2.2.3.1</w:t>
      </w:r>
      <w:r>
        <w:rPr>
          <w:lang w:val="fr-FR"/>
        </w:rPr>
        <w:tab/>
        <w:t>Sous « Cours de base “Transport par bateaux-citernes” » :</w:t>
      </w:r>
      <w:bookmarkEnd w:id="14"/>
    </w:p>
    <w:p w14:paraId="47021100" w14:textId="77777777" w:rsidR="000A09A7" w:rsidRDefault="000A09A7" w:rsidP="000A09A7">
      <w:pPr>
        <w:pStyle w:val="SingleTxtG"/>
      </w:pPr>
      <w:r>
        <w:rPr>
          <w:lang w:val="fr-FR"/>
        </w:rPr>
        <w:t>Remplacer « Connaissances : ADN en général, sauf chapitre 3.2, tableaux A et B, chapitres 7.1, 9.1, 9.2 et sections 9.3.1 et 9.3.2 » par « Connaissances : ADN en général, sauf chapitre 3.2, tableau A, chapitres 7.1, 9.1 et 9.2 ».</w:t>
      </w:r>
    </w:p>
    <w:p w14:paraId="35530484" w14:textId="77777777" w:rsidR="000A09A7" w:rsidRPr="00D121F9" w:rsidRDefault="000A09A7" w:rsidP="000A09A7">
      <w:pPr>
        <w:pStyle w:val="SingleTxtG"/>
        <w:rPr>
          <w:rFonts w:eastAsia="MS Mincho"/>
        </w:rPr>
      </w:pPr>
      <w:r>
        <w:rPr>
          <w:lang w:val="fr-FR"/>
        </w:rPr>
        <w:t>(</w:t>
      </w:r>
      <w:r w:rsidRPr="008F732D">
        <w:rPr>
          <w:i/>
          <w:lang w:val="fr-FR"/>
        </w:rPr>
        <w:t>Document de référence</w:t>
      </w:r>
      <w:r>
        <w:rPr>
          <w:i/>
          <w:lang w:val="fr-FR"/>
        </w:rPr>
        <w:t> </w:t>
      </w:r>
      <w:r w:rsidRPr="008F732D">
        <w:rPr>
          <w:i/>
          <w:lang w:val="fr-FR"/>
        </w:rPr>
        <w:t>: ECE/TRANS/WP.15/AC.2/2019/25</w:t>
      </w:r>
      <w:r>
        <w:rPr>
          <w:lang w:val="fr-FR"/>
        </w:rPr>
        <w:t>)</w:t>
      </w:r>
    </w:p>
    <w:p w14:paraId="4CE11BC9" w14:textId="77777777" w:rsidR="000A09A7" w:rsidRPr="00D121F9" w:rsidRDefault="000A09A7" w:rsidP="000A09A7">
      <w:pPr>
        <w:pStyle w:val="SingleTxtG"/>
      </w:pPr>
      <w:r>
        <w:rPr>
          <w:lang w:val="fr-FR"/>
        </w:rPr>
        <w:t>8.2.2.3.1</w:t>
      </w:r>
      <w:r>
        <w:rPr>
          <w:lang w:val="fr-FR"/>
        </w:rPr>
        <w:tab/>
        <w:t>Sous « Cours de base “Combinaison transport de marchandises sèches et transport par bateaux-citernes” » :</w:t>
      </w:r>
    </w:p>
    <w:p w14:paraId="72F3D412" w14:textId="77777777" w:rsidR="000A09A7" w:rsidRDefault="000A09A7" w:rsidP="000A09A7">
      <w:pPr>
        <w:pStyle w:val="SingleTxtG"/>
      </w:pPr>
      <w:bookmarkStart w:id="15" w:name="_Hlk5615915"/>
      <w:r>
        <w:rPr>
          <w:lang w:val="fr-FR"/>
        </w:rPr>
        <w:t>Remplacer « Connaissances : ADN en général, sauf sections 9.3.1 et 9.3.2 » par « Connaissances : ADN en général ».</w:t>
      </w:r>
    </w:p>
    <w:p w14:paraId="0F1B9F84" w14:textId="77777777" w:rsidR="000A09A7" w:rsidRPr="00D121F9" w:rsidRDefault="000A09A7" w:rsidP="000A09A7">
      <w:pPr>
        <w:pStyle w:val="SingleTxtG"/>
        <w:rPr>
          <w:rFonts w:eastAsia="MS Mincho"/>
        </w:rPr>
      </w:pPr>
      <w:r w:rsidRPr="008F732D">
        <w:rPr>
          <w:iCs/>
          <w:lang w:val="fr-FR"/>
        </w:rPr>
        <w:t>(</w:t>
      </w:r>
      <w:r>
        <w:rPr>
          <w:i/>
          <w:iCs/>
          <w:lang w:val="fr-FR"/>
        </w:rPr>
        <w:t>Document de référence : ECE/TRANS/WP.15/AC.2/2019/25</w:t>
      </w:r>
      <w:r w:rsidRPr="008F732D">
        <w:rPr>
          <w:iCs/>
          <w:lang w:val="fr-FR"/>
        </w:rPr>
        <w:t>)</w:t>
      </w:r>
    </w:p>
    <w:p w14:paraId="31C350DD" w14:textId="77777777" w:rsidR="000A09A7" w:rsidRPr="00D121F9" w:rsidRDefault="000A09A7" w:rsidP="000A09A7">
      <w:pPr>
        <w:pStyle w:val="SingleTxtG"/>
      </w:pPr>
      <w:bookmarkStart w:id="16" w:name="_Hlk5616327"/>
      <w:bookmarkEnd w:id="15"/>
      <w:r>
        <w:rPr>
          <w:lang w:val="fr-FR"/>
        </w:rPr>
        <w:t>8.2.2.3.2</w:t>
      </w:r>
      <w:r>
        <w:rPr>
          <w:lang w:val="fr-FR"/>
        </w:rPr>
        <w:tab/>
        <w:t>Sous « Cours de recyclage “Transport par bateaux-citernes” » :</w:t>
      </w:r>
    </w:p>
    <w:bookmarkEnd w:id="16"/>
    <w:p w14:paraId="2D01F3D2" w14:textId="77777777" w:rsidR="000A09A7" w:rsidRDefault="000A09A7" w:rsidP="000A09A7">
      <w:pPr>
        <w:pStyle w:val="SingleTxtG"/>
      </w:pPr>
      <w:r>
        <w:rPr>
          <w:lang w:val="fr-FR"/>
        </w:rPr>
        <w:t>Remplacer « Connaissances : ADN en général, sauf chapitre 3.2, tableaux A et B, chapitres 7.1, 9.1, 9.2 et sections 9.3.1 et 9.3.2 » par « Connaissances : ADN en général, sauf chapitre 3.2, tableau A, chapitres 7.1, 9.1 et 9.2 ».</w:t>
      </w:r>
    </w:p>
    <w:p w14:paraId="3EF38858" w14:textId="77777777" w:rsidR="000A09A7" w:rsidRPr="00D121F9" w:rsidRDefault="000A09A7" w:rsidP="000A09A7">
      <w:pPr>
        <w:pStyle w:val="SingleTxtG"/>
        <w:rPr>
          <w:rFonts w:eastAsia="MS Mincho"/>
        </w:rPr>
      </w:pPr>
      <w:r w:rsidRPr="008F732D">
        <w:rPr>
          <w:iCs/>
          <w:lang w:val="fr-FR"/>
        </w:rPr>
        <w:t>(</w:t>
      </w:r>
      <w:r>
        <w:rPr>
          <w:i/>
          <w:iCs/>
          <w:lang w:val="fr-FR"/>
        </w:rPr>
        <w:t>Document de référence : ECE/TRANS/WP.15/AC.2/2019/25</w:t>
      </w:r>
      <w:r w:rsidRPr="008F732D">
        <w:rPr>
          <w:iCs/>
          <w:lang w:val="fr-FR"/>
        </w:rPr>
        <w:t>)</w:t>
      </w:r>
    </w:p>
    <w:p w14:paraId="1FC275A2" w14:textId="77777777" w:rsidR="000A09A7" w:rsidRPr="00D121F9" w:rsidRDefault="000A09A7" w:rsidP="000A09A7">
      <w:pPr>
        <w:pStyle w:val="SingleTxtG"/>
        <w:rPr>
          <w:rFonts w:eastAsia="MS Mincho"/>
        </w:rPr>
      </w:pPr>
      <w:r>
        <w:rPr>
          <w:lang w:val="fr-FR"/>
        </w:rPr>
        <w:t>8.2.2.3.2</w:t>
      </w:r>
      <w:r>
        <w:rPr>
          <w:lang w:val="fr-FR"/>
        </w:rPr>
        <w:tab/>
        <w:t>Sous « Cours de recyclage “Combinaison transport de marchandises sèches et transport par bateaux-citernes” » :</w:t>
      </w:r>
    </w:p>
    <w:p w14:paraId="02277D48" w14:textId="77777777" w:rsidR="000A09A7" w:rsidRPr="00D121F9" w:rsidRDefault="000A09A7" w:rsidP="000A09A7">
      <w:pPr>
        <w:pStyle w:val="SingleTxtG"/>
      </w:pPr>
      <w:r>
        <w:rPr>
          <w:lang w:val="fr-FR"/>
        </w:rPr>
        <w:t>Remplacer « Connaissances : ADN en général, y compris sections 9.3.1 et 9.3.2 » par « Connaissances : ADN en général ».</w:t>
      </w:r>
    </w:p>
    <w:p w14:paraId="3FFDD3D3" w14:textId="77777777" w:rsidR="000A09A7" w:rsidRPr="006A65DF" w:rsidRDefault="000A09A7" w:rsidP="000A09A7">
      <w:pPr>
        <w:pStyle w:val="SingleTxtG"/>
      </w:pPr>
      <w:r w:rsidRPr="008F732D">
        <w:rPr>
          <w:iCs/>
          <w:lang w:val="fr-FR"/>
        </w:rPr>
        <w:t>(</w:t>
      </w:r>
      <w:r>
        <w:rPr>
          <w:i/>
          <w:iCs/>
          <w:lang w:val="fr-FR"/>
        </w:rPr>
        <w:t>Document de référence : ECE/TRANS/WP.15/AC.2/2019/25</w:t>
      </w:r>
      <w:r w:rsidRPr="008F732D">
        <w:rPr>
          <w:iCs/>
          <w:lang w:val="fr-FR"/>
        </w:rPr>
        <w:t>)</w:t>
      </w:r>
    </w:p>
    <w:p w14:paraId="07B426FE" w14:textId="77777777" w:rsidR="000A09A7" w:rsidRDefault="000A09A7" w:rsidP="000A09A7">
      <w:pPr>
        <w:pStyle w:val="HChG"/>
        <w:rPr>
          <w:lang w:val="fr-FR"/>
        </w:rPr>
      </w:pPr>
      <w:r>
        <w:br w:type="page"/>
      </w:r>
      <w:r w:rsidRPr="005145A0">
        <w:lastRenderedPageBreak/>
        <w:t xml:space="preserve">Annexe </w:t>
      </w:r>
      <w:r w:rsidRPr="00825308">
        <w:rPr>
          <w:lang w:val="fr-FR"/>
        </w:rPr>
        <w:t>II</w:t>
      </w:r>
    </w:p>
    <w:p w14:paraId="25488085" w14:textId="77777777" w:rsidR="000A09A7" w:rsidRDefault="000A09A7" w:rsidP="000A09A7">
      <w:pPr>
        <w:pStyle w:val="SingleTxtG"/>
        <w:jc w:val="right"/>
        <w:rPr>
          <w:lang w:val="fr-FR"/>
        </w:rPr>
      </w:pPr>
      <w:r w:rsidRPr="00754101">
        <w:t>[Original</w:t>
      </w:r>
      <w:r w:rsidR="00347627">
        <w:t> </w:t>
      </w:r>
      <w:r w:rsidRPr="00754101">
        <w:t xml:space="preserve">: </w:t>
      </w:r>
      <w:r>
        <w:t>anglais et français</w:t>
      </w:r>
      <w:r w:rsidRPr="00754101">
        <w:t>]</w:t>
      </w:r>
    </w:p>
    <w:p w14:paraId="6977222A" w14:textId="77777777" w:rsidR="000A09A7" w:rsidRDefault="000A09A7" w:rsidP="000A09A7">
      <w:pPr>
        <w:pStyle w:val="HChG"/>
      </w:pPr>
      <w:r>
        <w:rPr>
          <w:lang w:val="fr-FR"/>
        </w:rPr>
        <w:tab/>
      </w:r>
      <w:r w:rsidRPr="00825308">
        <w:rPr>
          <w:lang w:val="fr-FR"/>
        </w:rPr>
        <w:tab/>
        <w:t>Corrections au document ECE/TRANS/276</w:t>
      </w:r>
      <w:r>
        <w:rPr>
          <w:lang w:val="fr-FR"/>
        </w:rPr>
        <w:t xml:space="preserve"> </w:t>
      </w:r>
      <w:r w:rsidRPr="008F732D">
        <w:rPr>
          <w:b w:val="0"/>
          <w:sz w:val="20"/>
          <w:lang w:val="fr-FR"/>
        </w:rPr>
        <w:t>(</w:t>
      </w:r>
      <w:r>
        <w:rPr>
          <w:b w:val="0"/>
          <w:sz w:val="20"/>
          <w:lang w:val="fr-FR"/>
        </w:rPr>
        <w:t xml:space="preserve">publication </w:t>
      </w:r>
      <w:r w:rsidRPr="008F732D">
        <w:rPr>
          <w:b w:val="0"/>
          <w:sz w:val="20"/>
          <w:lang w:val="fr-FR"/>
        </w:rPr>
        <w:t xml:space="preserve">ADN 2019) </w:t>
      </w:r>
      <w:r w:rsidRPr="00C20492">
        <w:rPr>
          <w:b w:val="0"/>
          <w:sz w:val="22"/>
          <w:szCs w:val="22"/>
        </w:rPr>
        <w:t xml:space="preserve">(ne </w:t>
      </w:r>
      <w:r w:rsidRPr="00C20492">
        <w:rPr>
          <w:b w:val="0"/>
          <w:sz w:val="22"/>
          <w:szCs w:val="22"/>
          <w:lang w:val="fr-FR"/>
        </w:rPr>
        <w:t xml:space="preserve">nécessitant pas </w:t>
      </w:r>
      <w:r>
        <w:rPr>
          <w:b w:val="0"/>
          <w:sz w:val="22"/>
          <w:szCs w:val="22"/>
          <w:lang w:val="fr-FR"/>
        </w:rPr>
        <w:t>l’</w:t>
      </w:r>
      <w:r w:rsidRPr="00C20492">
        <w:rPr>
          <w:b w:val="0"/>
          <w:sz w:val="22"/>
          <w:szCs w:val="22"/>
          <w:lang w:val="fr-FR"/>
        </w:rPr>
        <w:t>acceptation par les Parties contractantes</w:t>
      </w:r>
      <w:r w:rsidRPr="00C20492">
        <w:rPr>
          <w:b w:val="0"/>
          <w:sz w:val="22"/>
          <w:szCs w:val="22"/>
        </w:rPr>
        <w:t>)</w:t>
      </w:r>
    </w:p>
    <w:p w14:paraId="1A6699C6" w14:textId="77777777" w:rsidR="000A09A7" w:rsidRPr="000E53B5" w:rsidRDefault="000A09A7" w:rsidP="000A09A7">
      <w:pPr>
        <w:pStyle w:val="H23G"/>
        <w:rPr>
          <w:i/>
          <w:iCs/>
        </w:rPr>
      </w:pPr>
      <w:r>
        <w:rPr>
          <w:lang w:val="fr-FR"/>
        </w:rPr>
        <w:tab/>
        <w:t>1.</w:t>
      </w:r>
      <w:r>
        <w:rPr>
          <w:lang w:val="fr-FR"/>
        </w:rPr>
        <w:tab/>
      </w:r>
      <w:r w:rsidRPr="000E53B5">
        <w:rPr>
          <w:lang w:val="fr-FR"/>
        </w:rPr>
        <w:t xml:space="preserve">Volume I, Table des matières </w:t>
      </w:r>
    </w:p>
    <w:p w14:paraId="6D2605B6" w14:textId="77777777" w:rsidR="000A09A7" w:rsidRPr="000E53B5" w:rsidRDefault="000A09A7" w:rsidP="000A09A7">
      <w:pPr>
        <w:pStyle w:val="SingleTxtG"/>
      </w:pPr>
      <w:r w:rsidRPr="00FC0C18">
        <w:rPr>
          <w:i/>
          <w:iCs/>
          <w:lang w:val="fr-FR"/>
        </w:rPr>
        <w:t>Insérer </w:t>
      </w:r>
      <w:r w:rsidRPr="000E53B5">
        <w:rPr>
          <w:lang w:val="fr-FR"/>
        </w:rPr>
        <w:t xml:space="preserve">: </w:t>
      </w:r>
      <w:r>
        <w:rPr>
          <w:lang w:val="fr-FR"/>
        </w:rPr>
        <w:t>« </w:t>
      </w:r>
      <w:r w:rsidRPr="000E53B5">
        <w:rPr>
          <w:lang w:val="fr-FR"/>
        </w:rPr>
        <w:t>7.1.7</w:t>
      </w:r>
      <w:r w:rsidRPr="000E53B5">
        <w:rPr>
          <w:lang w:val="fr-FR"/>
        </w:rPr>
        <w:tab/>
        <w:t xml:space="preserve">Dispositions particulières applicables au transport des matières </w:t>
      </w:r>
      <w:proofErr w:type="spellStart"/>
      <w:r w:rsidRPr="000E53B5">
        <w:rPr>
          <w:lang w:val="fr-FR"/>
        </w:rPr>
        <w:t>autoréactives</w:t>
      </w:r>
      <w:proofErr w:type="spellEnd"/>
      <w:r w:rsidRPr="000E53B5">
        <w:rPr>
          <w:lang w:val="fr-FR"/>
        </w:rPr>
        <w:t xml:space="preserve"> de la classe 4.1, des peroxydes organiques de la classe 5.2 et des matières stabilisées par régulation de température (autres que les matières </w:t>
      </w:r>
      <w:proofErr w:type="spellStart"/>
      <w:r w:rsidRPr="000E53B5">
        <w:rPr>
          <w:lang w:val="fr-FR"/>
        </w:rPr>
        <w:t>autoréactives</w:t>
      </w:r>
      <w:proofErr w:type="spellEnd"/>
      <w:r w:rsidRPr="000E53B5">
        <w:rPr>
          <w:lang w:val="fr-FR"/>
        </w:rPr>
        <w:t xml:space="preserve"> ou les peroxydes organiques)</w:t>
      </w:r>
      <w:r>
        <w:rPr>
          <w:lang w:val="fr-FR"/>
        </w:rPr>
        <w:t> »</w:t>
      </w:r>
      <w:r w:rsidRPr="000E53B5">
        <w:rPr>
          <w:lang w:val="fr-FR"/>
        </w:rPr>
        <w:t>.</w:t>
      </w:r>
    </w:p>
    <w:p w14:paraId="66B60D94" w14:textId="77777777" w:rsidR="000A09A7" w:rsidRPr="00784E4F" w:rsidRDefault="000A09A7" w:rsidP="000A09A7">
      <w:pPr>
        <w:pStyle w:val="SingleTxtG"/>
      </w:pPr>
      <w:r w:rsidRPr="000E53B5">
        <w:rPr>
          <w:i/>
          <w:iCs/>
          <w:lang w:val="fr-FR"/>
        </w:rPr>
        <w:t>(Document de référence</w:t>
      </w:r>
      <w:r>
        <w:rPr>
          <w:i/>
          <w:iCs/>
          <w:lang w:val="fr-FR"/>
        </w:rPr>
        <w:t> </w:t>
      </w:r>
      <w:r w:rsidRPr="000E53B5">
        <w:rPr>
          <w:i/>
          <w:iCs/>
          <w:lang w:val="fr-FR"/>
        </w:rPr>
        <w:t>: ECE/TRANS/WP.15/AC.2/2019/21)</w:t>
      </w:r>
    </w:p>
    <w:p w14:paraId="7133C758" w14:textId="77777777" w:rsidR="000A09A7" w:rsidRPr="00E7159C" w:rsidRDefault="000A09A7" w:rsidP="000A09A7">
      <w:pPr>
        <w:pStyle w:val="H23G"/>
      </w:pPr>
      <w:r w:rsidRPr="00334405">
        <w:tab/>
      </w:r>
      <w:r>
        <w:t>2.</w:t>
      </w:r>
      <w:r w:rsidRPr="00334405">
        <w:tab/>
        <w:t>Chapitre</w:t>
      </w:r>
      <w:r w:rsidRPr="00E7159C">
        <w:t xml:space="preserve"> 1.6, 1.6.7.2.2.2, </w:t>
      </w:r>
      <w:r w:rsidRPr="00334405">
        <w:t xml:space="preserve">disposition transitoire pour les paragraphes </w:t>
      </w:r>
      <w:r w:rsidRPr="00E7159C">
        <w:t>9.3.1.17.4</w:t>
      </w:r>
      <w:r w:rsidRPr="00334405">
        <w:t xml:space="preserve"> et</w:t>
      </w:r>
      <w:r w:rsidRPr="00E7159C">
        <w:t xml:space="preserve"> 9.3.3.17.4</w:t>
      </w:r>
      <w:r>
        <w:t> </w:t>
      </w:r>
      <w:r w:rsidRPr="00E7159C">
        <w:t xml:space="preserve">: </w:t>
      </w:r>
      <w:r w:rsidRPr="00334405">
        <w:t>Distance des orifices de la zone</w:t>
      </w:r>
      <w:r>
        <w:t xml:space="preserve"> </w:t>
      </w:r>
      <w:r w:rsidRPr="00334405">
        <w:t>de carg</w:t>
      </w:r>
      <w:r>
        <w:t>aison</w:t>
      </w:r>
      <w:r w:rsidRPr="00E7159C">
        <w:t>, col</w:t>
      </w:r>
      <w:r w:rsidRPr="00334405">
        <w:t>onne Délai et observations</w:t>
      </w:r>
    </w:p>
    <w:p w14:paraId="6A738057" w14:textId="77777777" w:rsidR="000A09A7" w:rsidRDefault="000A09A7" w:rsidP="000A09A7">
      <w:pPr>
        <w:pStyle w:val="SingleTxtG"/>
        <w:rPr>
          <w:lang w:val="fr-FR"/>
        </w:rPr>
      </w:pPr>
      <w:r>
        <w:rPr>
          <w:lang w:val="fr-FR"/>
        </w:rPr>
        <w:t>Sans objet en français</w:t>
      </w:r>
    </w:p>
    <w:p w14:paraId="6C0F6FBB" w14:textId="77777777" w:rsidR="000A09A7" w:rsidRPr="00E7159C" w:rsidRDefault="000A09A7" w:rsidP="000A09A7">
      <w:pPr>
        <w:kinsoku/>
        <w:overflowPunct/>
        <w:autoSpaceDE/>
        <w:autoSpaceDN/>
        <w:adjustRightInd/>
        <w:snapToGrid/>
        <w:spacing w:after="120"/>
        <w:ind w:left="1134" w:right="1134"/>
        <w:jc w:val="both"/>
        <w:rPr>
          <w:rFonts w:eastAsia="Times New Roman"/>
          <w:i/>
          <w:iCs/>
        </w:rPr>
      </w:pPr>
      <w:r w:rsidRPr="00E7159C">
        <w:rPr>
          <w:rFonts w:eastAsia="Times New Roman"/>
          <w:i/>
          <w:iCs/>
        </w:rPr>
        <w:t>(</w:t>
      </w:r>
      <w:r>
        <w:rPr>
          <w:rFonts w:eastAsia="Times New Roman"/>
          <w:i/>
          <w:iCs/>
        </w:rPr>
        <w:t xml:space="preserve">Document de </w:t>
      </w:r>
      <w:proofErr w:type="gramStart"/>
      <w:r>
        <w:rPr>
          <w:rFonts w:eastAsia="Times New Roman"/>
          <w:i/>
          <w:iCs/>
        </w:rPr>
        <w:t>référence</w:t>
      </w:r>
      <w:r w:rsidRPr="00E7159C">
        <w:rPr>
          <w:rFonts w:eastAsia="Times New Roman"/>
          <w:i/>
          <w:iCs/>
        </w:rPr>
        <w:t>:</w:t>
      </w:r>
      <w:proofErr w:type="gramEnd"/>
      <w:r w:rsidRPr="00E7159C">
        <w:rPr>
          <w:rFonts w:eastAsia="Times New Roman"/>
          <w:i/>
          <w:iCs/>
        </w:rPr>
        <w:t xml:space="preserve"> </w:t>
      </w:r>
      <w:r>
        <w:rPr>
          <w:rFonts w:eastAsia="Times New Roman"/>
          <w:i/>
          <w:iCs/>
        </w:rPr>
        <w:t>document informel INF</w:t>
      </w:r>
      <w:r w:rsidRPr="00E7159C">
        <w:rPr>
          <w:rFonts w:eastAsia="Times New Roman"/>
          <w:i/>
          <w:iCs/>
        </w:rPr>
        <w:t>.20)</w:t>
      </w:r>
    </w:p>
    <w:p w14:paraId="273E48E1" w14:textId="77777777" w:rsidR="000A09A7" w:rsidRPr="00DF193A" w:rsidRDefault="000A09A7" w:rsidP="000A09A7">
      <w:pPr>
        <w:pStyle w:val="H23G"/>
      </w:pPr>
      <w:r>
        <w:rPr>
          <w:lang w:val="fr-FR"/>
        </w:rPr>
        <w:tab/>
        <w:t>3.</w:t>
      </w:r>
      <w:r>
        <w:rPr>
          <w:lang w:val="fr-FR"/>
        </w:rPr>
        <w:tab/>
        <w:t>Partie 1, chapitre 1.6, paragraphe 1.6.7.2.2.5</w:t>
      </w:r>
    </w:p>
    <w:p w14:paraId="1B7EA19A" w14:textId="77777777" w:rsidR="000A09A7" w:rsidRDefault="000A09A7" w:rsidP="000A09A7">
      <w:pPr>
        <w:pStyle w:val="SingleTxtG"/>
        <w:rPr>
          <w:lang w:val="fr-FR"/>
        </w:rPr>
      </w:pPr>
      <w:r>
        <w:rPr>
          <w:lang w:val="fr-FR"/>
        </w:rPr>
        <w:t>Sans objet en français</w:t>
      </w:r>
    </w:p>
    <w:p w14:paraId="640A5DD2" w14:textId="77777777" w:rsidR="000A09A7" w:rsidRDefault="000A09A7" w:rsidP="000A09A7">
      <w:pPr>
        <w:pStyle w:val="HChG"/>
        <w:rPr>
          <w:lang w:val="fr-FR"/>
        </w:rPr>
      </w:pPr>
      <w:r>
        <w:rPr>
          <w:lang w:val="fr-FR"/>
        </w:rPr>
        <w:tab/>
      </w:r>
    </w:p>
    <w:p w14:paraId="7CBE2910" w14:textId="77777777" w:rsidR="000A09A7" w:rsidRDefault="000A09A7" w:rsidP="000A09A7">
      <w:pPr>
        <w:pStyle w:val="HChG"/>
        <w:rPr>
          <w:lang w:val="fr-FR"/>
        </w:rPr>
      </w:pPr>
      <w:r>
        <w:rPr>
          <w:lang w:val="fr-FR"/>
        </w:rPr>
        <w:br w:type="page"/>
      </w:r>
      <w:r w:rsidRPr="005145A0">
        <w:lastRenderedPageBreak/>
        <w:t>Annexe</w:t>
      </w:r>
      <w:r w:rsidRPr="000E53B5">
        <w:rPr>
          <w:lang w:val="fr-FR"/>
        </w:rPr>
        <w:t xml:space="preserve"> III</w:t>
      </w:r>
    </w:p>
    <w:p w14:paraId="263A3A9B" w14:textId="77777777" w:rsidR="000A09A7" w:rsidRDefault="000A09A7" w:rsidP="000A09A7">
      <w:pPr>
        <w:pStyle w:val="SingleTxtG"/>
        <w:jc w:val="right"/>
        <w:rPr>
          <w:lang w:val="fr-FR"/>
        </w:rPr>
      </w:pPr>
      <w:r w:rsidRPr="00754101">
        <w:t>[Original</w:t>
      </w:r>
      <w:r w:rsidR="00347627">
        <w:t> </w:t>
      </w:r>
      <w:r w:rsidRPr="00754101">
        <w:t xml:space="preserve">: </w:t>
      </w:r>
      <w:r>
        <w:t>anglais et français</w:t>
      </w:r>
      <w:r w:rsidRPr="00754101">
        <w:t>]</w:t>
      </w:r>
    </w:p>
    <w:p w14:paraId="22E72673" w14:textId="77777777" w:rsidR="000A09A7" w:rsidRPr="000E53B5" w:rsidRDefault="000A09A7" w:rsidP="000A09A7">
      <w:pPr>
        <w:pStyle w:val="HChG"/>
      </w:pPr>
      <w:r w:rsidRPr="000E53B5">
        <w:rPr>
          <w:lang w:val="fr-FR"/>
        </w:rPr>
        <w:tab/>
      </w:r>
      <w:r>
        <w:rPr>
          <w:lang w:val="fr-FR"/>
        </w:rPr>
        <w:tab/>
      </w:r>
      <w:r w:rsidRPr="000E53B5">
        <w:rPr>
          <w:lang w:val="fr-FR"/>
        </w:rPr>
        <w:t>Propositions de corrections au Règlement annexé à l</w:t>
      </w:r>
      <w:r>
        <w:rPr>
          <w:lang w:val="fr-FR"/>
        </w:rPr>
        <w:t>’</w:t>
      </w:r>
      <w:r w:rsidRPr="000E53B5">
        <w:rPr>
          <w:lang w:val="fr-FR"/>
        </w:rPr>
        <w:t xml:space="preserve">ADN </w:t>
      </w:r>
      <w:r w:rsidRPr="00C20492">
        <w:rPr>
          <w:b w:val="0"/>
          <w:sz w:val="22"/>
          <w:szCs w:val="22"/>
        </w:rPr>
        <w:t>(</w:t>
      </w:r>
      <w:bookmarkStart w:id="17" w:name="_Hlk18424115"/>
      <w:r w:rsidRPr="00FD7FE4">
        <w:rPr>
          <w:rFonts w:eastAsia="Times New Roman"/>
          <w:b w:val="0"/>
          <w:sz w:val="22"/>
          <w:szCs w:val="22"/>
        </w:rPr>
        <w:t>sous réserve d’acceptation par les Parties contractantes</w:t>
      </w:r>
      <w:bookmarkEnd w:id="17"/>
      <w:r w:rsidRPr="00C20492">
        <w:rPr>
          <w:b w:val="0"/>
          <w:sz w:val="22"/>
          <w:szCs w:val="22"/>
        </w:rPr>
        <w:t>)</w:t>
      </w:r>
    </w:p>
    <w:p w14:paraId="18BAD0F6" w14:textId="77777777" w:rsidR="000A09A7" w:rsidRPr="00623D07" w:rsidRDefault="000A09A7" w:rsidP="000A09A7">
      <w:pPr>
        <w:pStyle w:val="H23G"/>
      </w:pPr>
      <w:r>
        <w:rPr>
          <w:lang w:val="fr-FR"/>
        </w:rPr>
        <w:tab/>
        <w:t>1.</w:t>
      </w:r>
      <w:r>
        <w:rPr>
          <w:lang w:val="fr-FR"/>
        </w:rPr>
        <w:tab/>
      </w:r>
      <w:r w:rsidRPr="007D7CC1">
        <w:rPr>
          <w:lang w:val="fr-FR"/>
        </w:rPr>
        <w:t>Chapitre 7.2, paragraphe 7.2.3.1.6</w:t>
      </w:r>
    </w:p>
    <w:p w14:paraId="51EF3646" w14:textId="77777777" w:rsidR="000A09A7" w:rsidRDefault="000A09A7" w:rsidP="000A09A7">
      <w:pPr>
        <w:pStyle w:val="SingleTxtG"/>
        <w:rPr>
          <w:lang w:val="fr-FR"/>
        </w:rPr>
      </w:pPr>
      <w:r>
        <w:rPr>
          <w:i/>
          <w:iCs/>
          <w:lang w:val="fr-FR"/>
        </w:rPr>
        <w:t>Remplacer</w:t>
      </w:r>
      <w:r w:rsidRPr="000E53B5">
        <w:rPr>
          <w:lang w:val="fr-FR"/>
        </w:rPr>
        <w:t xml:space="preserve"> </w:t>
      </w:r>
      <w:r>
        <w:rPr>
          <w:lang w:val="fr-FR"/>
        </w:rPr>
        <w:t>« </w:t>
      </w:r>
      <w:r w:rsidRPr="000E53B5">
        <w:rPr>
          <w:lang w:val="fr-FR"/>
        </w:rPr>
        <w:t>On ne doit pénétrer dans une citerne à cargaison</w:t>
      </w:r>
      <w:r>
        <w:rPr>
          <w:lang w:val="fr-FR"/>
        </w:rPr>
        <w:t> »</w:t>
      </w:r>
      <w:r w:rsidRPr="000E53B5">
        <w:rPr>
          <w:lang w:val="fr-FR"/>
        </w:rPr>
        <w:t xml:space="preserve">, </w:t>
      </w:r>
      <w:r>
        <w:rPr>
          <w:i/>
          <w:iCs/>
          <w:lang w:val="fr-FR"/>
        </w:rPr>
        <w:t>par</w:t>
      </w:r>
      <w:r w:rsidRPr="000E53B5">
        <w:rPr>
          <w:i/>
          <w:iCs/>
          <w:lang w:val="fr-FR"/>
        </w:rPr>
        <w:t xml:space="preserve"> </w:t>
      </w:r>
      <w:r>
        <w:rPr>
          <w:i/>
          <w:iCs/>
          <w:lang w:val="fr-FR"/>
        </w:rPr>
        <w:t>« </w:t>
      </w:r>
      <w:r w:rsidRPr="000E53B5">
        <w:rPr>
          <w:lang w:val="fr-FR"/>
        </w:rPr>
        <w:t>On ne doit pénétrer dans une citerne à cargaison vide</w:t>
      </w:r>
      <w:r>
        <w:rPr>
          <w:lang w:val="fr-FR"/>
        </w:rPr>
        <w:t> »</w:t>
      </w:r>
      <w:r w:rsidRPr="000E53B5">
        <w:rPr>
          <w:lang w:val="fr-FR"/>
        </w:rPr>
        <w:t>.</w:t>
      </w:r>
    </w:p>
    <w:p w14:paraId="6101EB27" w14:textId="77777777" w:rsidR="000A09A7" w:rsidRPr="00FC0C18" w:rsidRDefault="000A09A7" w:rsidP="000A09A7">
      <w:pPr>
        <w:pStyle w:val="H23G"/>
      </w:pPr>
      <w:r w:rsidRPr="00334405">
        <w:rPr>
          <w:sz w:val="22"/>
          <w:szCs w:val="22"/>
        </w:rPr>
        <w:tab/>
      </w:r>
      <w:r>
        <w:rPr>
          <w:sz w:val="22"/>
          <w:szCs w:val="22"/>
        </w:rPr>
        <w:t>2.</w:t>
      </w:r>
      <w:r w:rsidRPr="00334405">
        <w:rPr>
          <w:sz w:val="22"/>
          <w:szCs w:val="22"/>
        </w:rPr>
        <w:tab/>
      </w:r>
      <w:r w:rsidRPr="00334405">
        <w:t>Chapitre</w:t>
      </w:r>
      <w:r w:rsidRPr="00E7159C">
        <w:t xml:space="preserve"> 9.3, 9.3.x.12.4 b)</w:t>
      </w:r>
      <w:r>
        <w:t xml:space="preserve"> </w:t>
      </w:r>
      <w:r w:rsidRPr="00E7159C">
        <w:t>i)</w:t>
      </w:r>
    </w:p>
    <w:p w14:paraId="21A71B33" w14:textId="77777777" w:rsidR="000A09A7" w:rsidRPr="00E7159C" w:rsidRDefault="000A09A7" w:rsidP="000A09A7">
      <w:pPr>
        <w:kinsoku/>
        <w:overflowPunct/>
        <w:autoSpaceDE/>
        <w:autoSpaceDN/>
        <w:adjustRightInd/>
        <w:snapToGrid/>
        <w:spacing w:after="120"/>
        <w:ind w:left="1134" w:right="1134"/>
        <w:jc w:val="both"/>
        <w:rPr>
          <w:rFonts w:eastAsia="Times New Roman"/>
        </w:rPr>
      </w:pPr>
      <w:r w:rsidRPr="00334405">
        <w:rPr>
          <w:rFonts w:eastAsia="Times New Roman"/>
          <w:i/>
          <w:iCs/>
        </w:rPr>
        <w:t xml:space="preserve">Remplacer </w:t>
      </w:r>
      <w:r>
        <w:rPr>
          <w:rFonts w:eastAsia="Times New Roman"/>
          <w:iCs/>
        </w:rPr>
        <w:t>z</w:t>
      </w:r>
      <w:r w:rsidRPr="00334405">
        <w:rPr>
          <w:rFonts w:eastAsia="Times New Roman"/>
          <w:iCs/>
        </w:rPr>
        <w:t>one protégée</w:t>
      </w:r>
      <w:r w:rsidRPr="00E7159C">
        <w:rPr>
          <w:rFonts w:eastAsia="Times New Roman"/>
          <w:color w:val="000000"/>
        </w:rPr>
        <w:t xml:space="preserve"> </w:t>
      </w:r>
      <w:r w:rsidRPr="00334405">
        <w:rPr>
          <w:rFonts w:eastAsia="Times New Roman"/>
          <w:i/>
          <w:iCs/>
          <w:color w:val="000000"/>
        </w:rPr>
        <w:t>par</w:t>
      </w:r>
      <w:r w:rsidRPr="00E7159C">
        <w:rPr>
          <w:rFonts w:eastAsia="Times New Roman"/>
          <w:color w:val="000000"/>
        </w:rPr>
        <w:t xml:space="preserve"> </w:t>
      </w:r>
      <w:r w:rsidRPr="00334405">
        <w:rPr>
          <w:rFonts w:eastAsia="Times New Roman"/>
        </w:rPr>
        <w:t>zone de cargaison</w:t>
      </w:r>
    </w:p>
    <w:p w14:paraId="22CB39D0" w14:textId="77777777" w:rsidR="000A09A7" w:rsidRDefault="000A09A7" w:rsidP="000A09A7">
      <w:pPr>
        <w:pStyle w:val="SingleTxtG"/>
        <w:rPr>
          <w:rFonts w:eastAsia="Times New Roman"/>
          <w:i/>
          <w:iCs/>
        </w:rPr>
      </w:pPr>
      <w:r w:rsidRPr="00E7159C">
        <w:rPr>
          <w:rFonts w:eastAsia="Times New Roman"/>
          <w:i/>
          <w:iCs/>
        </w:rPr>
        <w:t>(</w:t>
      </w:r>
      <w:r>
        <w:rPr>
          <w:rFonts w:eastAsia="Times New Roman"/>
          <w:i/>
          <w:iCs/>
        </w:rPr>
        <w:t xml:space="preserve">Document de </w:t>
      </w:r>
      <w:proofErr w:type="gramStart"/>
      <w:r>
        <w:rPr>
          <w:rFonts w:eastAsia="Times New Roman"/>
          <w:i/>
          <w:iCs/>
        </w:rPr>
        <w:t>référence</w:t>
      </w:r>
      <w:r w:rsidRPr="00E7159C">
        <w:rPr>
          <w:rFonts w:eastAsia="Times New Roman"/>
          <w:i/>
          <w:iCs/>
        </w:rPr>
        <w:t>:</w:t>
      </w:r>
      <w:proofErr w:type="gramEnd"/>
      <w:r w:rsidRPr="00E7159C">
        <w:rPr>
          <w:rFonts w:eastAsia="Times New Roman"/>
          <w:i/>
          <w:iCs/>
        </w:rPr>
        <w:t xml:space="preserve"> </w:t>
      </w:r>
      <w:r>
        <w:rPr>
          <w:rFonts w:eastAsia="Times New Roman"/>
          <w:i/>
          <w:iCs/>
        </w:rPr>
        <w:t>document informel INF</w:t>
      </w:r>
      <w:r w:rsidRPr="00E7159C">
        <w:rPr>
          <w:rFonts w:eastAsia="Times New Roman"/>
          <w:i/>
          <w:iCs/>
        </w:rPr>
        <w:t>.18</w:t>
      </w:r>
      <w:r>
        <w:rPr>
          <w:rFonts w:eastAsia="Times New Roman"/>
          <w:i/>
          <w:iCs/>
        </w:rPr>
        <w:t>)</w:t>
      </w:r>
    </w:p>
    <w:p w14:paraId="6975A292" w14:textId="77777777" w:rsidR="000A09A7" w:rsidRPr="000A09A7" w:rsidRDefault="000A09A7" w:rsidP="000A09A7">
      <w:pPr>
        <w:pStyle w:val="SingleTxtG"/>
        <w:spacing w:before="240" w:after="0"/>
        <w:jc w:val="center"/>
        <w:rPr>
          <w:u w:val="single"/>
        </w:rPr>
      </w:pPr>
      <w:r>
        <w:rPr>
          <w:u w:val="single"/>
        </w:rPr>
        <w:tab/>
      </w:r>
      <w:r>
        <w:rPr>
          <w:u w:val="single"/>
        </w:rPr>
        <w:tab/>
      </w:r>
      <w:r>
        <w:rPr>
          <w:u w:val="single"/>
        </w:rPr>
        <w:tab/>
      </w:r>
    </w:p>
    <w:sectPr w:rsidR="000A09A7" w:rsidRPr="000A09A7" w:rsidSect="000A09A7">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BC712" w14:textId="77777777" w:rsidR="009805F3" w:rsidRDefault="009805F3" w:rsidP="00F95C08">
      <w:pPr>
        <w:spacing w:line="240" w:lineRule="auto"/>
      </w:pPr>
    </w:p>
  </w:endnote>
  <w:endnote w:type="continuationSeparator" w:id="0">
    <w:p w14:paraId="4D023CD6" w14:textId="77777777" w:rsidR="009805F3" w:rsidRPr="00AC3823" w:rsidRDefault="009805F3" w:rsidP="00AC3823">
      <w:pPr>
        <w:pStyle w:val="Footer"/>
      </w:pPr>
    </w:p>
  </w:endnote>
  <w:endnote w:type="continuationNotice" w:id="1">
    <w:p w14:paraId="0840CB56" w14:textId="77777777" w:rsidR="009805F3" w:rsidRDefault="009805F3">
      <w:pPr>
        <w:spacing w:line="240" w:lineRule="auto"/>
      </w:pPr>
    </w:p>
  </w:endnote>
  <w:endnote w:id="2">
    <w:p w14:paraId="72591A0F" w14:textId="77777777" w:rsidR="009805F3" w:rsidRPr="00B55439" w:rsidRDefault="009805F3" w:rsidP="000A09A7">
      <w:pPr>
        <w:pStyle w:val="SingleTxt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58F0" w14:textId="77777777" w:rsidR="009805F3" w:rsidRPr="008845EE" w:rsidRDefault="009805F3" w:rsidP="008845EE">
    <w:pPr>
      <w:pStyle w:val="Footer"/>
      <w:tabs>
        <w:tab w:val="right" w:pos="9638"/>
      </w:tabs>
    </w:pPr>
    <w:r w:rsidRPr="008845EE">
      <w:rPr>
        <w:b/>
        <w:sz w:val="18"/>
      </w:rPr>
      <w:fldChar w:fldCharType="begin"/>
    </w:r>
    <w:r w:rsidRPr="008845EE">
      <w:rPr>
        <w:b/>
        <w:sz w:val="18"/>
      </w:rPr>
      <w:instrText xml:space="preserve"> PAGE  \* MERGEFORMAT </w:instrText>
    </w:r>
    <w:r w:rsidRPr="008845EE">
      <w:rPr>
        <w:b/>
        <w:sz w:val="18"/>
      </w:rPr>
      <w:fldChar w:fldCharType="separate"/>
    </w:r>
    <w:r w:rsidRPr="008845EE">
      <w:rPr>
        <w:b/>
        <w:noProof/>
        <w:sz w:val="18"/>
      </w:rPr>
      <w:t>2</w:t>
    </w:r>
    <w:r w:rsidRPr="008845EE">
      <w:rPr>
        <w:b/>
        <w:sz w:val="18"/>
      </w:rPr>
      <w:fldChar w:fldCharType="end"/>
    </w:r>
    <w:r>
      <w:rPr>
        <w:b/>
        <w:sz w:val="18"/>
      </w:rPr>
      <w:tab/>
    </w:r>
    <w:r>
      <w:t>GE.19-15616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7164" w14:textId="77777777" w:rsidR="009805F3" w:rsidRPr="008845EE" w:rsidRDefault="009805F3" w:rsidP="008845EE">
    <w:pPr>
      <w:pStyle w:val="Footer"/>
      <w:tabs>
        <w:tab w:val="right" w:pos="9638"/>
      </w:tabs>
      <w:rPr>
        <w:b/>
        <w:sz w:val="18"/>
      </w:rPr>
    </w:pPr>
    <w:r>
      <w:t>GE.19-15616</w:t>
    </w:r>
    <w:r>
      <w:tab/>
    </w:r>
    <w:r w:rsidRPr="008845EE">
      <w:rPr>
        <w:b/>
        <w:sz w:val="18"/>
      </w:rPr>
      <w:fldChar w:fldCharType="begin"/>
    </w:r>
    <w:r w:rsidRPr="008845EE">
      <w:rPr>
        <w:b/>
        <w:sz w:val="18"/>
      </w:rPr>
      <w:instrText xml:space="preserve"> PAGE  \* MERGEFORMAT </w:instrText>
    </w:r>
    <w:r w:rsidRPr="008845EE">
      <w:rPr>
        <w:b/>
        <w:sz w:val="18"/>
      </w:rPr>
      <w:fldChar w:fldCharType="separate"/>
    </w:r>
    <w:r w:rsidRPr="008845EE">
      <w:rPr>
        <w:b/>
        <w:noProof/>
        <w:sz w:val="18"/>
      </w:rPr>
      <w:t>3</w:t>
    </w:r>
    <w:r w:rsidRPr="008845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00B5" w14:textId="77777777" w:rsidR="009805F3" w:rsidRPr="008845EE" w:rsidRDefault="009805F3" w:rsidP="008845EE">
    <w:pPr>
      <w:pStyle w:val="Footer"/>
      <w:spacing w:before="120"/>
      <w:rPr>
        <w:sz w:val="20"/>
      </w:rPr>
    </w:pPr>
    <w:r>
      <w:rPr>
        <w:sz w:val="20"/>
      </w:rPr>
      <w:t>GE.</w:t>
    </w:r>
    <w:r>
      <w:rPr>
        <w:noProof/>
        <w:lang w:eastAsia="fr-CH"/>
      </w:rPr>
      <w:drawing>
        <wp:anchor distT="0" distB="0" distL="114300" distR="114300" simplePos="0" relativeHeight="251656192" behindDoc="0" locked="0" layoutInCell="1" allowOverlap="0" wp14:anchorId="5C8831B5" wp14:editId="6FE7E4D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15616  (</w:t>
    </w:r>
    <w:proofErr w:type="gramEnd"/>
    <w:r>
      <w:rPr>
        <w:sz w:val="20"/>
      </w:rPr>
      <w:t>F)    111219    121219</w:t>
    </w:r>
    <w:r>
      <w:rPr>
        <w:sz w:val="20"/>
      </w:rPr>
      <w:br/>
    </w:r>
    <w:r w:rsidRPr="008845EE">
      <w:rPr>
        <w:rFonts w:ascii="C39T30Lfz" w:hAnsi="C39T30Lfz"/>
        <w:sz w:val="56"/>
      </w:rPr>
      <w:t></w:t>
    </w:r>
    <w:r w:rsidRPr="008845EE">
      <w:rPr>
        <w:rFonts w:ascii="C39T30Lfz" w:hAnsi="C39T30Lfz"/>
        <w:sz w:val="56"/>
      </w:rPr>
      <w:t></w:t>
    </w:r>
    <w:r w:rsidRPr="008845EE">
      <w:rPr>
        <w:rFonts w:ascii="C39T30Lfz" w:hAnsi="C39T30Lfz"/>
        <w:sz w:val="56"/>
      </w:rPr>
      <w:t></w:t>
    </w:r>
    <w:r w:rsidRPr="008845EE">
      <w:rPr>
        <w:rFonts w:ascii="C39T30Lfz" w:hAnsi="C39T30Lfz"/>
        <w:sz w:val="56"/>
      </w:rPr>
      <w:t></w:t>
    </w:r>
    <w:r w:rsidRPr="008845EE">
      <w:rPr>
        <w:rFonts w:ascii="C39T30Lfz" w:hAnsi="C39T30Lfz"/>
        <w:sz w:val="56"/>
      </w:rPr>
      <w:t></w:t>
    </w:r>
    <w:r w:rsidRPr="008845EE">
      <w:rPr>
        <w:rFonts w:ascii="C39T30Lfz" w:hAnsi="C39T30Lfz"/>
        <w:sz w:val="56"/>
      </w:rPr>
      <w:t></w:t>
    </w:r>
    <w:r w:rsidRPr="008845EE">
      <w:rPr>
        <w:rFonts w:ascii="C39T30Lfz" w:hAnsi="C39T30Lfz"/>
        <w:sz w:val="56"/>
      </w:rPr>
      <w:t></w:t>
    </w:r>
    <w:r w:rsidRPr="008845EE">
      <w:rPr>
        <w:rFonts w:ascii="C39T30Lfz" w:hAnsi="C39T30Lfz"/>
        <w:sz w:val="56"/>
      </w:rPr>
      <w:t></w:t>
    </w:r>
    <w:r w:rsidRPr="008845EE">
      <w:rPr>
        <w:rFonts w:ascii="C39T30Lfz" w:hAnsi="C39T30Lfz"/>
        <w:sz w:val="56"/>
      </w:rPr>
      <w:t></w:t>
    </w:r>
    <w:r>
      <w:rPr>
        <w:noProof/>
        <w:sz w:val="20"/>
      </w:rPr>
      <w:drawing>
        <wp:anchor distT="0" distB="0" distL="114300" distR="114300" simplePos="0" relativeHeight="251655168" behindDoc="0" locked="0" layoutInCell="1" allowOverlap="1" wp14:anchorId="2E43D2A5" wp14:editId="7AF4CE31">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TRANS/WP.15/AC.2/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103" w14:textId="77777777" w:rsidR="009805F3" w:rsidRPr="00EA4C36" w:rsidRDefault="009805F3" w:rsidP="00EA4C36">
    <w:pPr>
      <w:pStyle w:val="Footer"/>
    </w:pPr>
    <w:r>
      <w:rPr>
        <w:noProof/>
      </w:rPr>
      <mc:AlternateContent>
        <mc:Choice Requires="wps">
          <w:drawing>
            <wp:anchor distT="0" distB="0" distL="114300" distR="114300" simplePos="0" relativeHeight="251669504" behindDoc="0" locked="0" layoutInCell="1" allowOverlap="1" wp14:anchorId="3E642AC5" wp14:editId="23C9932C">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3729CF3" w14:textId="77777777" w:rsidR="009805F3" w:rsidRPr="008845EE" w:rsidRDefault="009805F3" w:rsidP="00EA4C36">
                          <w:pPr>
                            <w:pStyle w:val="Footer"/>
                            <w:tabs>
                              <w:tab w:val="right" w:pos="9638"/>
                            </w:tabs>
                          </w:pPr>
                          <w:r w:rsidRPr="008845EE">
                            <w:rPr>
                              <w:b/>
                              <w:sz w:val="18"/>
                            </w:rPr>
                            <w:fldChar w:fldCharType="begin"/>
                          </w:r>
                          <w:r w:rsidRPr="008845EE">
                            <w:rPr>
                              <w:b/>
                              <w:sz w:val="18"/>
                            </w:rPr>
                            <w:instrText xml:space="preserve"> PAGE  \* MERGEFORMAT </w:instrText>
                          </w:r>
                          <w:r w:rsidRPr="008845EE">
                            <w:rPr>
                              <w:b/>
                              <w:sz w:val="18"/>
                            </w:rPr>
                            <w:fldChar w:fldCharType="separate"/>
                          </w:r>
                          <w:r>
                            <w:rPr>
                              <w:b/>
                              <w:sz w:val="18"/>
                            </w:rPr>
                            <w:t>24</w:t>
                          </w:r>
                          <w:r w:rsidRPr="008845EE">
                            <w:rPr>
                              <w:b/>
                              <w:sz w:val="18"/>
                            </w:rPr>
                            <w:fldChar w:fldCharType="end"/>
                          </w:r>
                          <w:r>
                            <w:rPr>
                              <w:b/>
                              <w:sz w:val="18"/>
                            </w:rPr>
                            <w:tab/>
                          </w:r>
                          <w:r>
                            <w:t>GE.19-15616</w:t>
                          </w:r>
                        </w:p>
                        <w:p w14:paraId="3EFBFD27" w14:textId="77777777" w:rsidR="009805F3" w:rsidRDefault="009805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642AC5" id="_x0000_t202" coordsize="21600,21600" o:spt="202" path="m,l,21600r21600,l21600,xe">
              <v:stroke joinstyle="miter"/>
              <v:path gradientshapeok="t" o:connecttype="rect"/>
            </v:shapetype>
            <v:shape id="Text Box 5" o:spid="_x0000_s1028" type="#_x0000_t202" style="position:absolute;margin-left:-34pt;margin-top:0;width:17pt;height:481.9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Os+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6vftcxSF4/oJKvBcFDMGb6oUfIVc/6W&#10;WYweKDFO/Q2WUmqQQ+8lSiptv/1OH+xzGlawCaMMRP26Zhbckp8UZgVc+k6wnbDsBLVuLjV6JovZ&#10;RBEXrJedWFrdPGDKzkIUHDHFkUlOEa0VL307UDGluZjNohGmm2H+St0ZHlwHXoanvd89MGv2He6B&#10;3rXuhhybvGj01jbcVHq29rqs4xQIuLYoAvmwwWSMb7Cf4mH0/rqPVk//mulP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GDq&#10;w6z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63729CF3" w14:textId="77777777" w:rsidR="009805F3" w:rsidRPr="008845EE" w:rsidRDefault="009805F3" w:rsidP="00EA4C36">
                    <w:pPr>
                      <w:pStyle w:val="Footer"/>
                      <w:tabs>
                        <w:tab w:val="right" w:pos="9638"/>
                      </w:tabs>
                    </w:pPr>
                    <w:r w:rsidRPr="008845EE">
                      <w:rPr>
                        <w:b/>
                        <w:sz w:val="18"/>
                      </w:rPr>
                      <w:fldChar w:fldCharType="begin"/>
                    </w:r>
                    <w:r w:rsidRPr="008845EE">
                      <w:rPr>
                        <w:b/>
                        <w:sz w:val="18"/>
                      </w:rPr>
                      <w:instrText xml:space="preserve"> PAGE  \* MERGEFORMAT </w:instrText>
                    </w:r>
                    <w:r w:rsidRPr="008845EE">
                      <w:rPr>
                        <w:b/>
                        <w:sz w:val="18"/>
                      </w:rPr>
                      <w:fldChar w:fldCharType="separate"/>
                    </w:r>
                    <w:r>
                      <w:rPr>
                        <w:b/>
                        <w:sz w:val="18"/>
                      </w:rPr>
                      <w:t>24</w:t>
                    </w:r>
                    <w:r w:rsidRPr="008845EE">
                      <w:rPr>
                        <w:b/>
                        <w:sz w:val="18"/>
                      </w:rPr>
                      <w:fldChar w:fldCharType="end"/>
                    </w:r>
                    <w:r>
                      <w:rPr>
                        <w:b/>
                        <w:sz w:val="18"/>
                      </w:rPr>
                      <w:tab/>
                    </w:r>
                    <w:r>
                      <w:t>GE.19-15616</w:t>
                    </w:r>
                  </w:p>
                  <w:p w14:paraId="3EFBFD27" w14:textId="77777777" w:rsidR="009805F3" w:rsidRDefault="009805F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7DAE" w14:textId="77777777" w:rsidR="009805F3" w:rsidRPr="00EA4C36" w:rsidRDefault="009805F3" w:rsidP="00EA4C36">
    <w:pPr>
      <w:pStyle w:val="Footer"/>
    </w:pPr>
    <w:r>
      <w:rPr>
        <w:noProof/>
      </w:rPr>
      <mc:AlternateContent>
        <mc:Choice Requires="wps">
          <w:drawing>
            <wp:anchor distT="0" distB="0" distL="114300" distR="114300" simplePos="0" relativeHeight="251671552" behindDoc="0" locked="0" layoutInCell="1" allowOverlap="1" wp14:anchorId="071FBD07" wp14:editId="67A3784D">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283367" w14:textId="77777777" w:rsidR="009805F3" w:rsidRPr="008845EE" w:rsidRDefault="009805F3" w:rsidP="00EA4C36">
                          <w:pPr>
                            <w:pStyle w:val="Footer"/>
                            <w:tabs>
                              <w:tab w:val="right" w:pos="9638"/>
                            </w:tabs>
                            <w:rPr>
                              <w:b/>
                              <w:sz w:val="18"/>
                            </w:rPr>
                          </w:pPr>
                          <w:r>
                            <w:t>GE.19-15616</w:t>
                          </w:r>
                          <w:r>
                            <w:tab/>
                          </w:r>
                          <w:r w:rsidRPr="008845EE">
                            <w:rPr>
                              <w:b/>
                              <w:sz w:val="18"/>
                            </w:rPr>
                            <w:fldChar w:fldCharType="begin"/>
                          </w:r>
                          <w:r w:rsidRPr="008845EE">
                            <w:rPr>
                              <w:b/>
                              <w:sz w:val="18"/>
                            </w:rPr>
                            <w:instrText xml:space="preserve"> PAGE  \* MERGEFORMAT </w:instrText>
                          </w:r>
                          <w:r w:rsidRPr="008845EE">
                            <w:rPr>
                              <w:b/>
                              <w:sz w:val="18"/>
                            </w:rPr>
                            <w:fldChar w:fldCharType="separate"/>
                          </w:r>
                          <w:r>
                            <w:rPr>
                              <w:b/>
                              <w:sz w:val="18"/>
                            </w:rPr>
                            <w:t>25</w:t>
                          </w:r>
                          <w:r w:rsidRPr="008845EE">
                            <w:rPr>
                              <w:b/>
                              <w:sz w:val="18"/>
                            </w:rPr>
                            <w:fldChar w:fldCharType="end"/>
                          </w:r>
                        </w:p>
                        <w:p w14:paraId="7348DF77" w14:textId="77777777" w:rsidR="009805F3" w:rsidRDefault="009805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71FBD07" id="_x0000_t202" coordsize="21600,21600" o:spt="202" path="m,l,21600r21600,l21600,xe">
              <v:stroke joinstyle="miter"/>
              <v:path gradientshapeok="t" o:connecttype="rect"/>
            </v:shapetype>
            <v:shape id="Text Box 7" o:spid="_x0000_s1029" type="#_x0000_t202" style="position:absolute;margin-left:-34pt;margin-top:0;width:17pt;height:481.9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Kus&#10;9iL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7A283367" w14:textId="77777777" w:rsidR="009805F3" w:rsidRPr="008845EE" w:rsidRDefault="009805F3" w:rsidP="00EA4C36">
                    <w:pPr>
                      <w:pStyle w:val="Footer"/>
                      <w:tabs>
                        <w:tab w:val="right" w:pos="9638"/>
                      </w:tabs>
                      <w:rPr>
                        <w:b/>
                        <w:sz w:val="18"/>
                      </w:rPr>
                    </w:pPr>
                    <w:r>
                      <w:t>GE.19-15616</w:t>
                    </w:r>
                    <w:r>
                      <w:tab/>
                    </w:r>
                    <w:r w:rsidRPr="008845EE">
                      <w:rPr>
                        <w:b/>
                        <w:sz w:val="18"/>
                      </w:rPr>
                      <w:fldChar w:fldCharType="begin"/>
                    </w:r>
                    <w:r w:rsidRPr="008845EE">
                      <w:rPr>
                        <w:b/>
                        <w:sz w:val="18"/>
                      </w:rPr>
                      <w:instrText xml:space="preserve"> PAGE  \* MERGEFORMAT </w:instrText>
                    </w:r>
                    <w:r w:rsidRPr="008845EE">
                      <w:rPr>
                        <w:b/>
                        <w:sz w:val="18"/>
                      </w:rPr>
                      <w:fldChar w:fldCharType="separate"/>
                    </w:r>
                    <w:r>
                      <w:rPr>
                        <w:b/>
                        <w:sz w:val="18"/>
                      </w:rPr>
                      <w:t>25</w:t>
                    </w:r>
                    <w:r w:rsidRPr="008845EE">
                      <w:rPr>
                        <w:b/>
                        <w:sz w:val="18"/>
                      </w:rPr>
                      <w:fldChar w:fldCharType="end"/>
                    </w:r>
                  </w:p>
                  <w:p w14:paraId="7348DF77" w14:textId="77777777" w:rsidR="009805F3" w:rsidRDefault="009805F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C48F" w14:textId="77777777" w:rsidR="009805F3" w:rsidRPr="000A09A7" w:rsidRDefault="009805F3" w:rsidP="000A09A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0A09A7">
      <w:t>GE.19-15616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CB2C" w14:textId="77777777" w:rsidR="009805F3" w:rsidRPr="000A09A7" w:rsidRDefault="009805F3" w:rsidP="000A09A7">
    <w:pPr>
      <w:pStyle w:val="Footer"/>
      <w:tabs>
        <w:tab w:val="right" w:pos="9638"/>
      </w:tabs>
      <w:rPr>
        <w:b/>
        <w:sz w:val="18"/>
      </w:rPr>
    </w:pPr>
    <w:r>
      <w:t>GE.</w:t>
    </w:r>
    <w:r w:rsidRPr="000A09A7">
      <w:t>19</w:t>
    </w:r>
    <w:r>
      <w:t>-</w:t>
    </w:r>
    <w:r w:rsidRPr="000A09A7">
      <w:t>15616</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C8D4" w14:textId="77777777" w:rsidR="009805F3" w:rsidRPr="00AC3823" w:rsidRDefault="009805F3" w:rsidP="00AC3823">
      <w:pPr>
        <w:pStyle w:val="Footer"/>
        <w:tabs>
          <w:tab w:val="right" w:pos="2155"/>
        </w:tabs>
        <w:spacing w:after="80" w:line="240" w:lineRule="atLeast"/>
        <w:ind w:left="680"/>
        <w:rPr>
          <w:u w:val="single"/>
        </w:rPr>
      </w:pPr>
      <w:r>
        <w:rPr>
          <w:u w:val="single"/>
        </w:rPr>
        <w:tab/>
      </w:r>
    </w:p>
  </w:footnote>
  <w:footnote w:type="continuationSeparator" w:id="0">
    <w:p w14:paraId="3E4658CA" w14:textId="77777777" w:rsidR="009805F3" w:rsidRPr="00AC3823" w:rsidRDefault="009805F3" w:rsidP="00AC3823">
      <w:pPr>
        <w:pStyle w:val="Footer"/>
        <w:tabs>
          <w:tab w:val="right" w:pos="2155"/>
        </w:tabs>
        <w:spacing w:after="80" w:line="240" w:lineRule="atLeast"/>
        <w:ind w:left="680"/>
        <w:rPr>
          <w:u w:val="single"/>
        </w:rPr>
      </w:pPr>
      <w:r>
        <w:rPr>
          <w:u w:val="single"/>
        </w:rPr>
        <w:tab/>
      </w:r>
    </w:p>
  </w:footnote>
  <w:footnote w:type="continuationNotice" w:id="1">
    <w:p w14:paraId="5ABDEC33" w14:textId="77777777" w:rsidR="009805F3" w:rsidRPr="00AC3823" w:rsidRDefault="009805F3">
      <w:pPr>
        <w:spacing w:line="240" w:lineRule="auto"/>
        <w:rPr>
          <w:sz w:val="2"/>
          <w:szCs w:val="2"/>
        </w:rPr>
      </w:pPr>
    </w:p>
  </w:footnote>
  <w:footnote w:id="2">
    <w:p w14:paraId="054B1C1C" w14:textId="77777777" w:rsidR="009805F3" w:rsidRPr="00CB6E16" w:rsidRDefault="009805F3">
      <w:pPr>
        <w:pStyle w:val="FootnoteText"/>
      </w:pPr>
      <w:r>
        <w:rPr>
          <w:rStyle w:val="FootnoteReference"/>
        </w:rPr>
        <w:tab/>
      </w:r>
      <w:r w:rsidRPr="00CB6E16">
        <w:rPr>
          <w:rStyle w:val="FootnoteReference"/>
          <w:sz w:val="20"/>
          <w:vertAlign w:val="baseline"/>
        </w:rPr>
        <w:t>*</w:t>
      </w:r>
      <w:r>
        <w:rPr>
          <w:rStyle w:val="FootnoteReference"/>
          <w:sz w:val="20"/>
          <w:vertAlign w:val="baseline"/>
        </w:rPr>
        <w:tab/>
      </w:r>
      <w:r w:rsidRPr="00CB6E16">
        <w:rPr>
          <w:szCs w:val="18"/>
        </w:rPr>
        <w:t>Diffusé en allemand par la Commission centrale pour la navigation du Rhin sous la cote CCNR/ZKR/ADN/WP.15/AC.2/72.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3B2C" w14:textId="26339326" w:rsidR="009805F3" w:rsidRPr="008845EE" w:rsidRDefault="00D30288">
    <w:pPr>
      <w:pStyle w:val="Header"/>
    </w:pPr>
    <w:r>
      <w:fldChar w:fldCharType="begin"/>
    </w:r>
    <w:r>
      <w:instrText xml:space="preserve"> TITLE  \* MERGEFORMAT </w:instrText>
    </w:r>
    <w:r>
      <w:fldChar w:fldCharType="separate"/>
    </w:r>
    <w:r>
      <w:t>ECE/TRANS/WP.15/AC.2/72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B86A" w14:textId="6E47AF9B" w:rsidR="009805F3" w:rsidRPr="008845EE" w:rsidRDefault="00D30288" w:rsidP="008845EE">
    <w:pPr>
      <w:pStyle w:val="Header"/>
      <w:jc w:val="right"/>
    </w:pPr>
    <w:r>
      <w:fldChar w:fldCharType="begin"/>
    </w:r>
    <w:r>
      <w:instrText xml:space="preserve"> TITLE  \* MERGEFORMAT </w:instrText>
    </w:r>
    <w:r>
      <w:fldChar w:fldCharType="separate"/>
    </w:r>
    <w:r>
      <w:t>ECE/TRANS/WP.15/AC.2/72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3737" w14:textId="77777777" w:rsidR="009805F3" w:rsidRPr="00EA4C36" w:rsidRDefault="009805F3" w:rsidP="00EA4C36">
    <w:r>
      <w:rPr>
        <w:noProof/>
      </w:rPr>
      <mc:AlternateContent>
        <mc:Choice Requires="wps">
          <w:drawing>
            <wp:anchor distT="0" distB="0" distL="114300" distR="114300" simplePos="0" relativeHeight="251668480" behindDoc="0" locked="0" layoutInCell="1" allowOverlap="1" wp14:anchorId="1C972E3B" wp14:editId="6ED54DCB">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A72BA0" w14:textId="41363A66" w:rsidR="009805F3" w:rsidRPr="008845EE" w:rsidRDefault="00D30288" w:rsidP="00EA4C36">
                          <w:pPr>
                            <w:pStyle w:val="Header"/>
                          </w:pPr>
                          <w:r>
                            <w:fldChar w:fldCharType="begin"/>
                          </w:r>
                          <w:r>
                            <w:instrText xml:space="preserve"> TITLE  \* MERGEFORMAT </w:instrText>
                          </w:r>
                          <w:r>
                            <w:fldChar w:fldCharType="separate"/>
                          </w:r>
                          <w:r>
                            <w:t>ECE/TRANS/WP.15/AC.2/72</w:t>
                          </w:r>
                          <w:r>
                            <w:fldChar w:fldCharType="end"/>
                          </w:r>
                        </w:p>
                        <w:p w14:paraId="3041591D" w14:textId="77777777" w:rsidR="009805F3" w:rsidRDefault="009805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972E3B" id="_x0000_t202" coordsize="21600,21600" o:spt="202" path="m,l,21600r21600,l21600,xe">
              <v:stroke joinstyle="miter"/>
              <v:path gradientshapeok="t" o:connecttype="rect"/>
            </v:shapetype>
            <v:shape id="Text Box 4" o:spid="_x0000_s1026" type="#_x0000_t202" style="position:absolute;margin-left:782.35pt;margin-top:0;width:17pt;height:481.9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U9AIAAKw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" fillcolor="#4f81bd [3204]" stroked="f" strokeweight=".5pt">
              <v:fill opacity="0"/>
              <v:stroke joinstyle="round"/>
              <v:textbox style="layout-flow:vertical" inset="0,0,0,0">
                <w:txbxContent>
                  <w:p w14:paraId="28A72BA0" w14:textId="41363A66" w:rsidR="009805F3" w:rsidRPr="008845EE" w:rsidRDefault="00D30288" w:rsidP="00EA4C36">
                    <w:pPr>
                      <w:pStyle w:val="Header"/>
                    </w:pPr>
                    <w:r>
                      <w:fldChar w:fldCharType="begin"/>
                    </w:r>
                    <w:r>
                      <w:instrText xml:space="preserve"> TITLE  \* MERGEFORMAT </w:instrText>
                    </w:r>
                    <w:r>
                      <w:fldChar w:fldCharType="separate"/>
                    </w:r>
                    <w:r>
                      <w:t>ECE/TRANS/WP.15/AC.2/72</w:t>
                    </w:r>
                    <w:r>
                      <w:fldChar w:fldCharType="end"/>
                    </w:r>
                  </w:p>
                  <w:p w14:paraId="3041591D" w14:textId="77777777" w:rsidR="009805F3" w:rsidRDefault="009805F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188B" w14:textId="77777777" w:rsidR="009805F3" w:rsidRPr="00EA4C36" w:rsidRDefault="009805F3" w:rsidP="00EA4C36">
    <w:r>
      <w:rPr>
        <w:noProof/>
      </w:rPr>
      <mc:AlternateContent>
        <mc:Choice Requires="wps">
          <w:drawing>
            <wp:anchor distT="0" distB="0" distL="114300" distR="114300" simplePos="0" relativeHeight="251670528" behindDoc="0" locked="0" layoutInCell="1" allowOverlap="1" wp14:anchorId="08166613" wp14:editId="5E56AE28">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77C7788" w14:textId="220A3BB0" w:rsidR="009805F3" w:rsidRPr="008845EE" w:rsidRDefault="00D30288" w:rsidP="00EA4C36">
                          <w:pPr>
                            <w:pStyle w:val="Header"/>
                            <w:jc w:val="right"/>
                          </w:pPr>
                          <w:r>
                            <w:fldChar w:fldCharType="begin"/>
                          </w:r>
                          <w:r>
                            <w:instrText xml:space="preserve"> TITLE  \* MERGEFORMAT </w:instrText>
                          </w:r>
                          <w:r>
                            <w:fldChar w:fldCharType="separate"/>
                          </w:r>
                          <w:r>
                            <w:t>ECE/TRANS/WP.15/AC.2/72</w:t>
                          </w:r>
                          <w:r>
                            <w:fldChar w:fldCharType="end"/>
                          </w:r>
                        </w:p>
                        <w:p w14:paraId="4D025C78" w14:textId="77777777" w:rsidR="009805F3" w:rsidRDefault="009805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166613" id="_x0000_t202" coordsize="21600,21600" o:spt="202" path="m,l,21600r21600,l21600,xe">
              <v:stroke joinstyle="miter"/>
              <v:path gradientshapeok="t" o:connecttype="rect"/>
            </v:shapetype>
            <v:shape id="Text Box 6" o:spid="_x0000_s1027"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DuXkSe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077C7788" w14:textId="220A3BB0" w:rsidR="009805F3" w:rsidRPr="008845EE" w:rsidRDefault="00D30288" w:rsidP="00EA4C36">
                    <w:pPr>
                      <w:pStyle w:val="Header"/>
                      <w:jc w:val="right"/>
                    </w:pPr>
                    <w:r>
                      <w:fldChar w:fldCharType="begin"/>
                    </w:r>
                    <w:r>
                      <w:instrText xml:space="preserve"> TITLE  \* MERGEFORMAT </w:instrText>
                    </w:r>
                    <w:r>
                      <w:fldChar w:fldCharType="separate"/>
                    </w:r>
                    <w:r>
                      <w:t>ECE/TRANS/WP.15/AC.2/72</w:t>
                    </w:r>
                    <w:r>
                      <w:fldChar w:fldCharType="end"/>
                    </w:r>
                  </w:p>
                  <w:p w14:paraId="4D025C78" w14:textId="77777777" w:rsidR="009805F3" w:rsidRDefault="009805F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81F0" w14:textId="68F6E811" w:rsidR="009805F3" w:rsidRPr="000A09A7" w:rsidRDefault="00D30288" w:rsidP="000A09A7">
    <w:pPr>
      <w:pStyle w:val="Header"/>
    </w:pPr>
    <w:r>
      <w:fldChar w:fldCharType="begin"/>
    </w:r>
    <w:r>
      <w:instrText xml:space="preserve"> TITLE  \* MERGEFORMAT </w:instrText>
    </w:r>
    <w:r>
      <w:fldChar w:fldCharType="separate"/>
    </w:r>
    <w:r>
      <w:t>ECE/TRANS/WP.15/AC.2/72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B4BF" w14:textId="04693B91" w:rsidR="009805F3" w:rsidRPr="000A09A7" w:rsidRDefault="00D30288" w:rsidP="000A09A7">
    <w:pPr>
      <w:pStyle w:val="Header"/>
      <w:jc w:val="right"/>
    </w:pPr>
    <w:r>
      <w:fldChar w:fldCharType="begin"/>
    </w:r>
    <w:r>
      <w:instrText xml:space="preserve"> TITLE  \* MERGEFORMAT </w:instrText>
    </w:r>
    <w:r>
      <w:fldChar w:fldCharType="separate"/>
    </w:r>
    <w:r>
      <w:t>ECE/TRANS/WP.15/AC.2/72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8BF5B99"/>
    <w:multiLevelType w:val="hybridMultilevel"/>
    <w:tmpl w:val="98768E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0263FEA"/>
    <w:multiLevelType w:val="hybridMultilevel"/>
    <w:tmpl w:val="70BE9A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3183F66"/>
    <w:multiLevelType w:val="hybridMultilevel"/>
    <w:tmpl w:val="EC52B1B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4A031F10"/>
    <w:multiLevelType w:val="hybridMultilevel"/>
    <w:tmpl w:val="A86CC1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CF940D4"/>
    <w:multiLevelType w:val="hybridMultilevel"/>
    <w:tmpl w:val="9188B5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6"/>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0"/>
  </w:num>
  <w:num w:numId="17">
    <w:abstractNumId w:val="14"/>
    <w:lvlOverride w:ilvl="0">
      <w:lvl w:ilvl="0" w:tplc="08090001">
        <w:start w:val="1"/>
        <w:numFmt w:val="bullet"/>
        <w:lvlText w:val=""/>
        <w:lvlJc w:val="left"/>
        <w:pPr>
          <w:ind w:left="2421" w:hanging="360"/>
        </w:pPr>
        <w:rPr>
          <w:rFonts w:ascii="Symbol" w:hAnsi="Symbol" w:hint="default"/>
        </w:rPr>
      </w:lvl>
    </w:lvlOverride>
  </w:num>
  <w:num w:numId="18">
    <w:abstractNumId w:val="11"/>
    <w:lvlOverride w:ilvl="0">
      <w:lvl w:ilvl="0" w:tplc="08090001">
        <w:start w:val="1"/>
        <w:numFmt w:val="bullet"/>
        <w:lvlText w:val=""/>
        <w:lvlJc w:val="left"/>
        <w:pPr>
          <w:ind w:left="1854" w:hanging="360"/>
        </w:pPr>
        <w:rPr>
          <w:rFonts w:ascii="Symbol" w:hAnsi="Symbol" w:hint="default"/>
        </w:rPr>
      </w:lvl>
    </w:lvlOverride>
  </w:num>
  <w:num w:numId="19">
    <w:abstractNumId w:val="17"/>
    <w:lvlOverride w:ilvl="0">
      <w:lvl w:ilvl="0" w:tplc="08090001">
        <w:start w:val="1"/>
        <w:numFmt w:val="bullet"/>
        <w:lvlText w:val=""/>
        <w:lvlJc w:val="left"/>
        <w:pPr>
          <w:ind w:left="1854" w:hanging="360"/>
        </w:pPr>
        <w:rPr>
          <w:rFonts w:ascii="Symbol" w:hAnsi="Symbol" w:hint="default"/>
        </w:rPr>
      </w:lvl>
    </w:lvlOverride>
  </w:num>
  <w:num w:numId="20">
    <w:abstractNumId w:val="13"/>
    <w:lvlOverride w:ilvl="0">
      <w:lvl w:ilvl="0" w:tplc="08090001">
        <w:start w:val="1"/>
        <w:numFmt w:val="bullet"/>
        <w:lvlText w:val=""/>
        <w:lvlJc w:val="left"/>
        <w:pPr>
          <w:ind w:left="1854" w:hanging="360"/>
        </w:pPr>
        <w:rPr>
          <w:rFonts w:ascii="Symbol" w:hAnsi="Symbol" w:hint="default"/>
        </w:rPr>
      </w:lvl>
    </w:lvlOverride>
  </w:num>
  <w:num w:numId="21">
    <w:abstractNumId w:val="15"/>
    <w:lvlOverride w:ilvl="0">
      <w:lvl w:ilvl="0" w:tplc="08090001">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3A"/>
    <w:rsid w:val="00017F94"/>
    <w:rsid w:val="00023842"/>
    <w:rsid w:val="000334F9"/>
    <w:rsid w:val="00045FEB"/>
    <w:rsid w:val="0007796D"/>
    <w:rsid w:val="000A09A7"/>
    <w:rsid w:val="000B00A2"/>
    <w:rsid w:val="000B2F0A"/>
    <w:rsid w:val="000B7790"/>
    <w:rsid w:val="00111F2F"/>
    <w:rsid w:val="0014365E"/>
    <w:rsid w:val="00143C66"/>
    <w:rsid w:val="001602A8"/>
    <w:rsid w:val="00162425"/>
    <w:rsid w:val="00171FAF"/>
    <w:rsid w:val="00176178"/>
    <w:rsid w:val="001F525A"/>
    <w:rsid w:val="00223272"/>
    <w:rsid w:val="00236D3A"/>
    <w:rsid w:val="0024779E"/>
    <w:rsid w:val="00257168"/>
    <w:rsid w:val="002744B8"/>
    <w:rsid w:val="002832AC"/>
    <w:rsid w:val="002B3B8D"/>
    <w:rsid w:val="002C2756"/>
    <w:rsid w:val="002D7C93"/>
    <w:rsid w:val="00305801"/>
    <w:rsid w:val="00340143"/>
    <w:rsid w:val="00347627"/>
    <w:rsid w:val="00351250"/>
    <w:rsid w:val="003916DE"/>
    <w:rsid w:val="003A3B8F"/>
    <w:rsid w:val="003F1237"/>
    <w:rsid w:val="00406E27"/>
    <w:rsid w:val="00421996"/>
    <w:rsid w:val="00441C3B"/>
    <w:rsid w:val="00446FE5"/>
    <w:rsid w:val="00452396"/>
    <w:rsid w:val="00455B93"/>
    <w:rsid w:val="004837D8"/>
    <w:rsid w:val="004E2EED"/>
    <w:rsid w:val="004E468C"/>
    <w:rsid w:val="00511159"/>
    <w:rsid w:val="005505B7"/>
    <w:rsid w:val="00554809"/>
    <w:rsid w:val="00573BE5"/>
    <w:rsid w:val="00582426"/>
    <w:rsid w:val="00586ED3"/>
    <w:rsid w:val="00596AA9"/>
    <w:rsid w:val="006713D2"/>
    <w:rsid w:val="00705A4D"/>
    <w:rsid w:val="0071601D"/>
    <w:rsid w:val="00744B13"/>
    <w:rsid w:val="007A62E6"/>
    <w:rsid w:val="007C084F"/>
    <w:rsid w:val="007F20FA"/>
    <w:rsid w:val="0080684C"/>
    <w:rsid w:val="00854088"/>
    <w:rsid w:val="00871C75"/>
    <w:rsid w:val="008776DC"/>
    <w:rsid w:val="008845EE"/>
    <w:rsid w:val="0092743C"/>
    <w:rsid w:val="009446C0"/>
    <w:rsid w:val="009705C8"/>
    <w:rsid w:val="00974977"/>
    <w:rsid w:val="009805F3"/>
    <w:rsid w:val="009C1CF4"/>
    <w:rsid w:val="009C5E3D"/>
    <w:rsid w:val="009F08BB"/>
    <w:rsid w:val="009F6B74"/>
    <w:rsid w:val="00A3029F"/>
    <w:rsid w:val="00A30353"/>
    <w:rsid w:val="00A55F77"/>
    <w:rsid w:val="00AC3823"/>
    <w:rsid w:val="00AE323C"/>
    <w:rsid w:val="00AF0CB5"/>
    <w:rsid w:val="00B00181"/>
    <w:rsid w:val="00B00B0D"/>
    <w:rsid w:val="00B07475"/>
    <w:rsid w:val="00B40FDA"/>
    <w:rsid w:val="00B45F2E"/>
    <w:rsid w:val="00B765F7"/>
    <w:rsid w:val="00BA0CA9"/>
    <w:rsid w:val="00BB0ADF"/>
    <w:rsid w:val="00C02897"/>
    <w:rsid w:val="00C26384"/>
    <w:rsid w:val="00C32BB2"/>
    <w:rsid w:val="00C74B0C"/>
    <w:rsid w:val="00C97039"/>
    <w:rsid w:val="00CA2031"/>
    <w:rsid w:val="00CB6E16"/>
    <w:rsid w:val="00D30288"/>
    <w:rsid w:val="00D3439C"/>
    <w:rsid w:val="00D45306"/>
    <w:rsid w:val="00DB1831"/>
    <w:rsid w:val="00DD3BFD"/>
    <w:rsid w:val="00DF6678"/>
    <w:rsid w:val="00E0299A"/>
    <w:rsid w:val="00E44F21"/>
    <w:rsid w:val="00E85C74"/>
    <w:rsid w:val="00EA4C36"/>
    <w:rsid w:val="00EA6547"/>
    <w:rsid w:val="00ED454E"/>
    <w:rsid w:val="00ED7A24"/>
    <w:rsid w:val="00EF2E22"/>
    <w:rsid w:val="00F35BAF"/>
    <w:rsid w:val="00F660DF"/>
    <w:rsid w:val="00F94664"/>
    <w:rsid w:val="00F9573C"/>
    <w:rsid w:val="00F95C08"/>
    <w:rsid w:val="00FD6D3D"/>
    <w:rsid w:val="00FE087C"/>
    <w:rsid w:val="00FF77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3AB4C9"/>
  <w15:docId w15:val="{4F98D7BC-3C54-4B40-B8BA-787EA47C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E44F21"/>
    <w:rPr>
      <w:rFonts w:ascii="Times New Roman" w:eastAsiaTheme="minorHAnsi" w:hAnsi="Times New Roman" w:cs="Times New Roman"/>
      <w:b/>
      <w:sz w:val="28"/>
      <w:szCs w:val="20"/>
      <w:lang w:eastAsia="en-US"/>
    </w:rPr>
  </w:style>
  <w:style w:type="character" w:customStyle="1" w:styleId="SingleTxtGChar">
    <w:name w:val="_ Single Txt_G Char"/>
    <w:basedOn w:val="DefaultParagraphFont"/>
    <w:link w:val="SingleTxtG"/>
    <w:qFormat/>
    <w:rsid w:val="00E44F21"/>
    <w:rPr>
      <w:rFonts w:ascii="Times New Roman" w:eastAsiaTheme="minorHAnsi" w:hAnsi="Times New Roman" w:cs="Times New Roman"/>
      <w:sz w:val="20"/>
      <w:szCs w:val="20"/>
      <w:lang w:eastAsia="en-US"/>
    </w:rPr>
  </w:style>
  <w:style w:type="character" w:customStyle="1" w:styleId="H1GChar">
    <w:name w:val="_ H_1_G Char"/>
    <w:link w:val="H1G"/>
    <w:rsid w:val="00E44F21"/>
    <w:rPr>
      <w:rFonts w:ascii="Times New Roman" w:eastAsiaTheme="minorHAnsi" w:hAnsi="Times New Roman" w:cs="Times New Roman"/>
      <w:b/>
      <w:sz w:val="24"/>
      <w:szCs w:val="20"/>
      <w:lang w:eastAsia="en-US"/>
    </w:rPr>
  </w:style>
  <w:style w:type="character" w:customStyle="1" w:styleId="H23GChar">
    <w:name w:val="_ H_2/3_G Char"/>
    <w:link w:val="H23G"/>
    <w:rsid w:val="00E44F21"/>
    <w:rPr>
      <w:rFonts w:ascii="Times New Roman" w:eastAsiaTheme="minorHAnsi" w:hAnsi="Times New Roman" w:cs="Times New Roman"/>
      <w:b/>
      <w:sz w:val="20"/>
      <w:szCs w:val="20"/>
      <w:lang w:eastAsia="en-US"/>
    </w:rPr>
  </w:style>
  <w:style w:type="character" w:styleId="Emphasis">
    <w:name w:val="Emphasis"/>
    <w:qFormat/>
    <w:rsid w:val="00FD6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9477</Words>
  <Characters>54024</Characters>
  <Application>Microsoft Office Word</Application>
  <DocSecurity>0</DocSecurity>
  <Lines>450</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ECE/TRANS/WP.15/AC.2/72</vt:lpstr>
      <vt:lpstr/>
    </vt:vector>
  </TitlesOfParts>
  <Company>DCM</Company>
  <LinksUpToDate>false</LinksUpToDate>
  <CharactersWithSpaces>63375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ECE/TRANS/WP.15/AC.2/72</dc:title>
  <dc:subject/>
  <dc:creator>Thi Kim Thao VU</dc:creator>
  <cp:keywords/>
  <cp:lastModifiedBy>Marie-Claude Collet</cp:lastModifiedBy>
  <cp:revision>3</cp:revision>
  <cp:lastPrinted>2019-12-17T10:55:00Z</cp:lastPrinted>
  <dcterms:created xsi:type="dcterms:W3CDTF">2019-12-17T10:55:00Z</dcterms:created>
  <dcterms:modified xsi:type="dcterms:W3CDTF">2019-12-17T10:57:00Z</dcterms:modified>
</cp:coreProperties>
</file>