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6D68D3" w14:paraId="7D8855A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45DA98" w14:textId="77777777" w:rsidR="002D5AAC" w:rsidRDefault="002D5AAC" w:rsidP="00AE15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DFB44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6134D47" w14:textId="77777777" w:rsidR="002D5AAC" w:rsidRPr="00AE151D" w:rsidRDefault="00AE151D" w:rsidP="00AE151D">
            <w:pPr>
              <w:jc w:val="right"/>
              <w:rPr>
                <w:lang w:val="en-US"/>
              </w:rPr>
            </w:pPr>
            <w:r w:rsidRPr="00AE151D">
              <w:rPr>
                <w:sz w:val="40"/>
                <w:lang w:val="en-US"/>
              </w:rPr>
              <w:t>ECE</w:t>
            </w:r>
            <w:r w:rsidRPr="00AE151D">
              <w:rPr>
                <w:lang w:val="en-US"/>
              </w:rPr>
              <w:t>/TRANS/WP.15/AC.2/70/Corr.1</w:t>
            </w:r>
          </w:p>
        </w:tc>
      </w:tr>
      <w:tr w:rsidR="002D5AAC" w:rsidRPr="006D68D3" w14:paraId="1A3A0DB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4B2F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2A27DA" wp14:editId="1C47BBB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674C5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AE8035E" w14:textId="77777777" w:rsidR="002D5AAC" w:rsidRDefault="00AE151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D5E040" w14:textId="77777777" w:rsidR="00AE151D" w:rsidRDefault="00AE151D" w:rsidP="00AE15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May 2019</w:t>
            </w:r>
          </w:p>
          <w:p w14:paraId="1508CC72" w14:textId="77777777" w:rsidR="00AE151D" w:rsidRDefault="00AE151D" w:rsidP="00AE15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97F90D" w14:textId="77777777" w:rsidR="00AE151D" w:rsidRPr="008D53B6" w:rsidRDefault="00AE151D" w:rsidP="00AE151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402CDC7A" w14:textId="77777777" w:rsidR="00AE151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131A9A" w14:textId="77777777" w:rsidR="00AE151D" w:rsidRPr="00AD5E67" w:rsidRDefault="00AE151D" w:rsidP="00AE151D">
      <w:pPr>
        <w:spacing w:before="120"/>
        <w:rPr>
          <w:sz w:val="28"/>
          <w:szCs w:val="28"/>
        </w:rPr>
      </w:pPr>
      <w:r w:rsidRPr="0057016F">
        <w:rPr>
          <w:sz w:val="28"/>
          <w:szCs w:val="28"/>
        </w:rPr>
        <w:t>Комитет по внутреннему транспорту</w:t>
      </w:r>
    </w:p>
    <w:p w14:paraId="3BF03719" w14:textId="77777777" w:rsidR="00AE151D" w:rsidRPr="00AD5E67" w:rsidRDefault="00AE151D" w:rsidP="00AE151D">
      <w:pPr>
        <w:spacing w:before="120"/>
        <w:rPr>
          <w:b/>
          <w:sz w:val="24"/>
          <w:szCs w:val="24"/>
        </w:rPr>
      </w:pPr>
      <w:r w:rsidRPr="0057016F">
        <w:rPr>
          <w:b/>
          <w:bCs/>
          <w:sz w:val="24"/>
          <w:szCs w:val="24"/>
        </w:rPr>
        <w:t>Рабочая группа по перевозкам опасных грузов</w:t>
      </w:r>
    </w:p>
    <w:p w14:paraId="097E99EB" w14:textId="77777777" w:rsidR="00AE151D" w:rsidRPr="00AD5E67" w:rsidRDefault="00AE151D" w:rsidP="00AE151D">
      <w:pPr>
        <w:spacing w:before="120"/>
        <w:rPr>
          <w:b/>
        </w:rPr>
      </w:pPr>
      <w:r w:rsidRPr="0057016F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57016F">
        <w:rPr>
          <w:b/>
          <w:bCs/>
        </w:rPr>
        <w:t>прилагаемым</w:t>
      </w:r>
      <w:r w:rsidRPr="00AE151D">
        <w:rPr>
          <w:b/>
          <w:bCs/>
        </w:rPr>
        <w:t xml:space="preserve"> </w:t>
      </w:r>
      <w:r>
        <w:rPr>
          <w:b/>
          <w:bCs/>
        </w:rPr>
        <w:t xml:space="preserve">к Европейскому соглашению </w:t>
      </w:r>
      <w:r>
        <w:rPr>
          <w:b/>
          <w:bCs/>
        </w:rPr>
        <w:br/>
        <w:t>о международной перевозке</w:t>
      </w:r>
      <w:r w:rsidRPr="00AE151D">
        <w:rPr>
          <w:b/>
          <w:bCs/>
        </w:rPr>
        <w:t xml:space="preserve"> </w:t>
      </w:r>
      <w:r>
        <w:rPr>
          <w:b/>
          <w:bCs/>
        </w:rPr>
        <w:t xml:space="preserve">опасных грузов 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14:paraId="58E38C0F" w14:textId="77777777" w:rsidR="00AE151D" w:rsidRPr="00AD5E67" w:rsidRDefault="00AE151D" w:rsidP="00AE151D">
      <w:pPr>
        <w:spacing w:before="120"/>
        <w:rPr>
          <w:b/>
          <w:bCs/>
        </w:rPr>
      </w:pPr>
      <w:r>
        <w:rPr>
          <w:b/>
          <w:bCs/>
        </w:rPr>
        <w:t>Тридцать четвертая сессия</w:t>
      </w:r>
    </w:p>
    <w:p w14:paraId="2C81046D" w14:textId="77777777" w:rsidR="00AE151D" w:rsidRPr="00AD5E67" w:rsidRDefault="00AE151D" w:rsidP="00AE151D">
      <w:r>
        <w:t>Женева, 21–25 января 2019 года</w:t>
      </w:r>
    </w:p>
    <w:p w14:paraId="6C938F6E" w14:textId="77777777" w:rsidR="00AE151D" w:rsidRPr="00AD5E67" w:rsidRDefault="00AE151D" w:rsidP="00AE151D">
      <w:pPr>
        <w:pStyle w:val="HChG"/>
      </w:pPr>
      <w:r>
        <w:tab/>
      </w:r>
      <w:r>
        <w:tab/>
      </w:r>
      <w:r>
        <w:rPr>
          <w:bCs/>
        </w:rPr>
        <w:t xml:space="preserve">Доклад Совместного совещания экспертов </w:t>
      </w:r>
      <w:r>
        <w:rPr>
          <w:bCs/>
        </w:rPr>
        <w:br/>
        <w:t>по Правилам, прилагаемым к Европейскому соглашению о международной перевозке опасных грузов по внутренним водным путям (Комитета по вопросам безопасности ВОПОГ), о работе его тридцать четвертой сессии</w:t>
      </w:r>
      <w:bookmarkStart w:id="1" w:name="_Toc397351280"/>
    </w:p>
    <w:p w14:paraId="73F253E3" w14:textId="77777777" w:rsidR="00AE151D" w:rsidRPr="00AD5E67" w:rsidRDefault="00AE151D" w:rsidP="00AE151D">
      <w:pPr>
        <w:pStyle w:val="H1G"/>
      </w:pPr>
      <w:r>
        <w:tab/>
      </w:r>
      <w:r>
        <w:tab/>
      </w:r>
      <w:r>
        <w:rPr>
          <w:bCs/>
        </w:rPr>
        <w:t>Исправление</w:t>
      </w:r>
    </w:p>
    <w:p w14:paraId="32891F15" w14:textId="77777777" w:rsidR="00AE151D" w:rsidRPr="00AD5E67" w:rsidRDefault="00AE151D" w:rsidP="00AE151D">
      <w:pPr>
        <w:spacing w:after="120"/>
        <w:ind w:left="1134" w:right="1134"/>
        <w:jc w:val="both"/>
        <w:rPr>
          <w:b/>
        </w:rPr>
      </w:pPr>
      <w:r w:rsidRPr="0057016F">
        <w:rPr>
          <w:b/>
          <w:bCs/>
        </w:rPr>
        <w:t>1.</w:t>
      </w:r>
      <w:r w:rsidRPr="0057016F">
        <w:rPr>
          <w:b/>
          <w:bCs/>
        </w:rPr>
        <w:tab/>
      </w:r>
      <w:r>
        <w:rPr>
          <w:b/>
          <w:bCs/>
        </w:rPr>
        <w:t>Стр. 9, пункт 29, второй абзац, обозначенный жирной точкой</w:t>
      </w:r>
    </w:p>
    <w:p w14:paraId="517A2698" w14:textId="77777777" w:rsidR="00AE151D" w:rsidRPr="00AD5E67" w:rsidRDefault="00AE151D" w:rsidP="00AE151D">
      <w:pPr>
        <w:spacing w:after="120"/>
        <w:ind w:left="1134" w:right="1134"/>
        <w:jc w:val="both"/>
        <w:rPr>
          <w:b/>
        </w:rPr>
      </w:pPr>
      <w:bookmarkStart w:id="2" w:name="_Hlk9587489"/>
      <w:r w:rsidRPr="0057016F">
        <w:rPr>
          <w:i/>
          <w:iCs/>
        </w:rPr>
        <w:t>Вместо</w:t>
      </w:r>
      <w:r>
        <w:t xml:space="preserve"> 9.3.x.24 </w:t>
      </w:r>
      <w:r w:rsidRPr="0057016F">
        <w:rPr>
          <w:i/>
          <w:iCs/>
        </w:rPr>
        <w:t>читать</w:t>
      </w:r>
      <w:r>
        <w:t xml:space="preserve"> 9.3.x.20.4.</w:t>
      </w:r>
      <w:bookmarkEnd w:id="2"/>
    </w:p>
    <w:p w14:paraId="56277760" w14:textId="77777777" w:rsidR="00AE151D" w:rsidRPr="00AD5E67" w:rsidRDefault="00AE151D" w:rsidP="00AE151D">
      <w:pPr>
        <w:spacing w:after="120"/>
        <w:ind w:left="1134" w:right="1134"/>
        <w:jc w:val="both"/>
        <w:rPr>
          <w:b/>
        </w:rPr>
      </w:pPr>
      <w:r w:rsidRPr="0057016F">
        <w:rPr>
          <w:b/>
          <w:bCs/>
        </w:rPr>
        <w:t>2.</w:t>
      </w:r>
      <w:r>
        <w:tab/>
      </w:r>
      <w:r>
        <w:rPr>
          <w:b/>
          <w:bCs/>
        </w:rPr>
        <w:t>Приложение I, глава 1.1, 1.1.3.6</w:t>
      </w:r>
      <w:bookmarkStart w:id="3" w:name="_Hlk9520694"/>
      <w:bookmarkEnd w:id="3"/>
    </w:p>
    <w:p w14:paraId="431B75C4" w14:textId="77777777" w:rsidR="00AE151D" w:rsidRPr="00AD5E67" w:rsidRDefault="00AE151D" w:rsidP="00AE151D">
      <w:pPr>
        <w:spacing w:after="120"/>
        <w:ind w:left="1134" w:right="1134"/>
        <w:jc w:val="both"/>
        <w:rPr>
          <w:i/>
          <w:iCs/>
        </w:rPr>
      </w:pPr>
      <w:r w:rsidRPr="0057016F">
        <w:rPr>
          <w:i/>
          <w:iCs/>
        </w:rPr>
        <w:t xml:space="preserve">Вместо </w:t>
      </w:r>
    </w:p>
    <w:p w14:paraId="0F81BC85" w14:textId="77777777" w:rsidR="00AE151D" w:rsidRPr="00AD5E67" w:rsidRDefault="00AE151D" w:rsidP="00AE151D">
      <w:pPr>
        <w:spacing w:after="120"/>
        <w:ind w:left="1701" w:right="1134"/>
        <w:jc w:val="both"/>
      </w:pPr>
      <w:r>
        <w:t>1.1.3.6</w:t>
      </w:r>
      <w:r>
        <w:tab/>
      </w:r>
      <w:r>
        <w:tab/>
        <w:t>Изменить следующим образом:</w:t>
      </w:r>
    </w:p>
    <w:p w14:paraId="7F29E566" w14:textId="77777777" w:rsidR="00AE151D" w:rsidRPr="00AD5E67" w:rsidRDefault="00AE151D" w:rsidP="00AE151D">
      <w:pPr>
        <w:pStyle w:val="SingleTxtG"/>
        <w:ind w:left="1701"/>
        <w:rPr>
          <w:b/>
          <w:bCs/>
          <w:i/>
          <w:iCs/>
        </w:rPr>
      </w:pPr>
      <w:r>
        <w:t>«</w:t>
      </w:r>
      <w:r w:rsidRPr="00C744F2">
        <w:rPr>
          <w:b/>
          <w:bCs/>
        </w:rPr>
        <w:t>1.1.3.6</w:t>
      </w:r>
      <w:r>
        <w:tab/>
      </w:r>
      <w:r>
        <w:rPr>
          <w:b/>
          <w:bCs/>
          <w:i/>
          <w:iCs/>
        </w:rPr>
        <w:t>Изъятия, связанные с количествами, перевозимыми судами</w:t>
      </w:r>
      <w:r w:rsidRPr="0057016F">
        <w:t>»</w:t>
      </w:r>
    </w:p>
    <w:p w14:paraId="055264E8" w14:textId="77777777" w:rsidR="00AE151D" w:rsidRPr="00AE151D" w:rsidRDefault="00AE151D" w:rsidP="00AE151D">
      <w:pPr>
        <w:spacing w:after="120"/>
        <w:ind w:left="1134" w:right="1134"/>
        <w:jc w:val="both"/>
        <w:rPr>
          <w:i/>
        </w:rPr>
      </w:pPr>
      <w:r w:rsidRPr="00AE151D">
        <w:rPr>
          <w:i/>
        </w:rPr>
        <w:t xml:space="preserve">читать </w:t>
      </w:r>
    </w:p>
    <w:p w14:paraId="44F5CCA8" w14:textId="77777777" w:rsidR="00AE151D" w:rsidRPr="00AD5E67" w:rsidRDefault="006D68D3" w:rsidP="006D68D3">
      <w:pPr>
        <w:spacing w:after="120"/>
        <w:ind w:left="1701" w:right="1134"/>
        <w:jc w:val="both"/>
      </w:pPr>
      <w:r>
        <w:tab/>
      </w:r>
      <w:r w:rsidR="00AE151D">
        <w:t>1.1.3.6.1</w:t>
      </w:r>
      <w:r w:rsidR="00AE151D">
        <w:tab/>
        <w:t>Изменить следующим образом:</w:t>
      </w:r>
    </w:p>
    <w:p w14:paraId="24B92199" w14:textId="77777777" w:rsidR="00AE151D" w:rsidRPr="00AD5E67" w:rsidRDefault="006D68D3" w:rsidP="006D68D3">
      <w:pPr>
        <w:spacing w:after="120"/>
        <w:ind w:left="1701" w:right="1134"/>
        <w:jc w:val="both"/>
      </w:pPr>
      <w:r>
        <w:tab/>
      </w:r>
      <w:r w:rsidR="00AE151D">
        <w:t>«.</w:t>
      </w:r>
    </w:p>
    <w:p w14:paraId="6D4AB8E1" w14:textId="77777777" w:rsidR="00AE151D" w:rsidRPr="00AD5E67" w:rsidRDefault="00AE151D" w:rsidP="00AE151D">
      <w:pPr>
        <w:pageBreakBefore/>
        <w:spacing w:after="120"/>
        <w:ind w:left="1134" w:right="1134"/>
        <w:jc w:val="both"/>
        <w:rPr>
          <w:b/>
        </w:rPr>
      </w:pPr>
      <w:r w:rsidRPr="0057016F">
        <w:rPr>
          <w:b/>
          <w:bCs/>
        </w:rPr>
        <w:lastRenderedPageBreak/>
        <w:t>3.</w:t>
      </w:r>
      <w:r>
        <w:tab/>
      </w:r>
      <w:r>
        <w:rPr>
          <w:b/>
          <w:bCs/>
        </w:rPr>
        <w:t>Приложение I, глава 8.1, 8.1.7.2</w:t>
      </w:r>
    </w:p>
    <w:p w14:paraId="66A388D2" w14:textId="77777777" w:rsidR="00AE151D" w:rsidRPr="00AD5E67" w:rsidRDefault="00AE151D" w:rsidP="00AE151D">
      <w:pPr>
        <w:spacing w:after="120"/>
        <w:ind w:left="1134" w:right="1134"/>
        <w:jc w:val="both"/>
        <w:rPr>
          <w:i/>
          <w:iCs/>
        </w:rPr>
      </w:pPr>
      <w:r w:rsidRPr="0057016F">
        <w:rPr>
          <w:i/>
          <w:iCs/>
        </w:rPr>
        <w:t xml:space="preserve">Вместо </w:t>
      </w:r>
    </w:p>
    <w:p w14:paraId="2AC4CE83" w14:textId="77777777" w:rsidR="00AE151D" w:rsidRPr="00AD5E67" w:rsidRDefault="00AE151D" w:rsidP="00AE151D">
      <w:pPr>
        <w:spacing w:after="120"/>
        <w:ind w:left="1701" w:right="1134"/>
        <w:jc w:val="both"/>
      </w:pPr>
      <w:r>
        <w:t>8.1.7.2</w:t>
      </w:r>
      <w:r>
        <w:tab/>
      </w:r>
      <w:r>
        <w:tab/>
        <w:t>Изменить конец второго абзаца следующим образом:</w:t>
      </w:r>
    </w:p>
    <w:p w14:paraId="5B33327B" w14:textId="77777777" w:rsidR="00AE151D" w:rsidRPr="00AD5E67" w:rsidRDefault="00AE151D" w:rsidP="00AE151D">
      <w:pPr>
        <w:spacing w:after="120"/>
        <w:ind w:left="1134" w:right="1134"/>
        <w:jc w:val="both"/>
        <w:rPr>
          <w:i/>
          <w:iCs/>
        </w:rPr>
      </w:pPr>
      <w:r w:rsidRPr="0057016F">
        <w:rPr>
          <w:i/>
          <w:iCs/>
        </w:rPr>
        <w:t xml:space="preserve">читать </w:t>
      </w:r>
    </w:p>
    <w:p w14:paraId="5624900B" w14:textId="77777777" w:rsidR="00AE151D" w:rsidRPr="00AD5E67" w:rsidRDefault="00AE151D" w:rsidP="00AE151D">
      <w:pPr>
        <w:spacing w:after="120"/>
        <w:ind w:left="1701" w:right="1134"/>
        <w:jc w:val="both"/>
      </w:pPr>
      <w:r>
        <w:t>8.1.7.2</w:t>
      </w:r>
      <w:r>
        <w:tab/>
      </w:r>
      <w:r>
        <w:tab/>
        <w:t>Изменить конец первого абзаца следующим образом:.</w:t>
      </w:r>
    </w:p>
    <w:p w14:paraId="53B6DD65" w14:textId="77777777" w:rsidR="00AE151D" w:rsidRPr="00AD5E67" w:rsidRDefault="00AE151D" w:rsidP="00AE151D">
      <w:pPr>
        <w:spacing w:after="120"/>
        <w:ind w:left="1134" w:right="1134"/>
        <w:jc w:val="both"/>
        <w:rPr>
          <w:b/>
        </w:rPr>
      </w:pPr>
      <w:r w:rsidRPr="0057016F">
        <w:rPr>
          <w:b/>
          <w:bCs/>
        </w:rPr>
        <w:t>4.</w:t>
      </w:r>
      <w:r>
        <w:tab/>
      </w:r>
      <w:r>
        <w:rPr>
          <w:b/>
          <w:bCs/>
        </w:rPr>
        <w:t>Приложение III, заголовок</w:t>
      </w:r>
    </w:p>
    <w:p w14:paraId="29585F02" w14:textId="77777777" w:rsidR="00AE151D" w:rsidRPr="00AD5E67" w:rsidRDefault="00AE151D" w:rsidP="00AE151D">
      <w:pPr>
        <w:pStyle w:val="SingleTxtG"/>
        <w:rPr>
          <w:bCs/>
          <w:i/>
          <w:iCs/>
        </w:rPr>
      </w:pPr>
      <w:r>
        <w:t>Данное исправление не касается текста на русском языке.</w:t>
      </w:r>
    </w:p>
    <w:p w14:paraId="3E41981C" w14:textId="77777777" w:rsidR="00AE151D" w:rsidRPr="00AD5E67" w:rsidRDefault="00AE151D" w:rsidP="00AE151D">
      <w:pPr>
        <w:spacing w:after="120"/>
        <w:ind w:left="1134" w:right="1134"/>
        <w:jc w:val="both"/>
        <w:rPr>
          <w:b/>
        </w:rPr>
      </w:pPr>
      <w:r w:rsidRPr="0057016F">
        <w:rPr>
          <w:b/>
          <w:bCs/>
        </w:rPr>
        <w:t>5.</w:t>
      </w:r>
      <w:r>
        <w:tab/>
      </w:r>
      <w:r>
        <w:rPr>
          <w:b/>
          <w:bCs/>
        </w:rPr>
        <w:t>Приложение III, исправление 1</w:t>
      </w:r>
    </w:p>
    <w:p w14:paraId="75752F7A" w14:textId="77777777" w:rsidR="00AE151D" w:rsidRPr="00AD5E67" w:rsidRDefault="00AE151D" w:rsidP="00AE151D">
      <w:pPr>
        <w:pStyle w:val="SingleTxtG"/>
        <w:tabs>
          <w:tab w:val="left" w:pos="1985"/>
          <w:tab w:val="left" w:pos="2268"/>
        </w:tabs>
        <w:rPr>
          <w:i/>
          <w:iCs/>
        </w:rPr>
      </w:pPr>
      <w:r w:rsidRPr="0057016F">
        <w:rPr>
          <w:i/>
          <w:iCs/>
        </w:rPr>
        <w:t>Заменить существующий текст следующим текстом:</w:t>
      </w:r>
    </w:p>
    <w:p w14:paraId="2BAB5C33" w14:textId="77777777" w:rsidR="00AE151D" w:rsidRPr="00AD5E67" w:rsidRDefault="00AE151D" w:rsidP="00AE151D">
      <w:pPr>
        <w:pStyle w:val="H23G"/>
        <w:ind w:left="1701" w:firstLine="0"/>
      </w:pPr>
      <w:r>
        <w:t>1.</w:t>
      </w:r>
      <w:r>
        <w:tab/>
      </w:r>
      <w:r>
        <w:rPr>
          <w:bCs/>
        </w:rPr>
        <w:t>Глава 1.2, определение «Электрооборудование с ограниченной опасностью взрыва»</w:t>
      </w:r>
    </w:p>
    <w:p w14:paraId="67FCD42F" w14:textId="77777777" w:rsidR="00AE151D" w:rsidRPr="00AD5E67" w:rsidRDefault="00AE151D" w:rsidP="00AE151D">
      <w:pPr>
        <w:pStyle w:val="SingleTxtG"/>
        <w:ind w:left="1701"/>
        <w:rPr>
          <w:i/>
          <w:iCs/>
        </w:rPr>
      </w:pPr>
      <w:r w:rsidRPr="00C744F2">
        <w:rPr>
          <w:i/>
          <w:iCs/>
        </w:rPr>
        <w:t>Заменить</w:t>
      </w:r>
      <w:r>
        <w:t xml:space="preserve"> существующее определение </w:t>
      </w:r>
      <w:r w:rsidRPr="00C744F2">
        <w:rPr>
          <w:i/>
          <w:iCs/>
        </w:rPr>
        <w:t>следующим текстом</w:t>
      </w:r>
      <w:r>
        <w:t>:</w:t>
      </w:r>
    </w:p>
    <w:p w14:paraId="69651019" w14:textId="77777777" w:rsidR="00AE151D" w:rsidRPr="00AD5E67" w:rsidRDefault="00AE151D" w:rsidP="00AE151D">
      <w:pPr>
        <w:spacing w:after="240"/>
        <w:ind w:left="1843" w:right="1134"/>
        <w:jc w:val="both"/>
      </w:pPr>
      <w:r w:rsidRPr="00AE151D">
        <w:t>«</w:t>
      </w:r>
      <w:r w:rsidRPr="00AE151D">
        <w:rPr>
          <w:iCs/>
        </w:rPr>
        <w:t>"</w:t>
      </w:r>
      <w:r>
        <w:rPr>
          <w:i/>
          <w:iCs/>
        </w:rPr>
        <w:t>Электрические установки и оборудование с ограниченной опасностью взрыва</w:t>
      </w:r>
      <w:r w:rsidRPr="00AE151D">
        <w:rPr>
          <w:iCs/>
        </w:rPr>
        <w:t>"</w:t>
      </w:r>
      <w:r>
        <w:t xml:space="preserve"> означает либо электрические установки и оборудование, при нормальном функционировании которых не возникает искр и температура их поверхности не превышает 200 °C, включая, например:</w:t>
      </w:r>
    </w:p>
    <w:p w14:paraId="6527870A" w14:textId="77777777" w:rsidR="00AE151D" w:rsidRPr="00AD5E67" w:rsidRDefault="00AE151D" w:rsidP="00AE151D">
      <w:pPr>
        <w:spacing w:after="120"/>
        <w:ind w:left="1843" w:right="1134"/>
        <w:jc w:val="both"/>
      </w:pPr>
      <w:r>
        <w:t>–</w:t>
      </w:r>
      <w:r>
        <w:tab/>
        <w:t>трехфазные асинхронные двигатели с беличьей клеткой ротора;</w:t>
      </w:r>
    </w:p>
    <w:p w14:paraId="3874836B" w14:textId="77777777" w:rsidR="00AE151D" w:rsidRPr="00AD5E67" w:rsidRDefault="00AE151D" w:rsidP="00AE151D">
      <w:pPr>
        <w:spacing w:after="120"/>
        <w:ind w:left="1843" w:right="1134"/>
        <w:jc w:val="both"/>
      </w:pPr>
      <w:r>
        <w:t>–</w:t>
      </w:r>
      <w:r>
        <w:tab/>
        <w:t>бесщеточные генераторы с бесконтактным возбуждением;</w:t>
      </w:r>
    </w:p>
    <w:p w14:paraId="68E27237" w14:textId="77777777" w:rsidR="00AE151D" w:rsidRPr="00AD5E67" w:rsidRDefault="00AE151D" w:rsidP="00AE151D">
      <w:pPr>
        <w:spacing w:after="120"/>
        <w:ind w:left="1843" w:right="1134"/>
        <w:jc w:val="both"/>
      </w:pPr>
      <w:r>
        <w:t>–</w:t>
      </w:r>
      <w:r>
        <w:tab/>
        <w:t>предохранители с закрытой плавкой вставкой;</w:t>
      </w:r>
    </w:p>
    <w:p w14:paraId="524499B9" w14:textId="77777777" w:rsidR="00AE151D" w:rsidRPr="00AD5E67" w:rsidRDefault="00AE151D" w:rsidP="00AE151D">
      <w:pPr>
        <w:spacing w:after="240"/>
        <w:ind w:left="1843" w:right="1134"/>
        <w:jc w:val="both"/>
      </w:pPr>
      <w:r>
        <w:t>–</w:t>
      </w:r>
      <w:r>
        <w:tab/>
        <w:t>бесконтактное электронное оборудование</w:t>
      </w:r>
      <w:r w:rsidR="00565C16" w:rsidRPr="006D68D3">
        <w:t>;</w:t>
      </w:r>
    </w:p>
    <w:p w14:paraId="2CCA1DB5" w14:textId="77777777" w:rsidR="00AE151D" w:rsidRPr="00AD5E67" w:rsidRDefault="00AE151D" w:rsidP="00AE151D">
      <w:pPr>
        <w:spacing w:after="240"/>
        <w:ind w:left="1843" w:right="1134"/>
        <w:jc w:val="both"/>
      </w:pPr>
      <w:r>
        <w:t>либо электрические установки и оборудование, защищенные от водяных струй по крайней мере кожухом (степень защиты IP55 или выше) и сконструированные таким образом, что температура их поверхности при нормальном функционировании не превышает 200 °C.».</w:t>
      </w:r>
    </w:p>
    <w:p w14:paraId="60E277E0" w14:textId="77777777" w:rsidR="00AE151D" w:rsidRPr="00AD5E67" w:rsidRDefault="00AE151D" w:rsidP="00AE151D">
      <w:pPr>
        <w:pStyle w:val="SingleTxtG"/>
        <w:tabs>
          <w:tab w:val="left" w:pos="1985"/>
          <w:tab w:val="left" w:pos="2268"/>
        </w:tabs>
        <w:ind w:left="1843"/>
        <w:rPr>
          <w:i/>
        </w:rPr>
      </w:pPr>
      <w:r>
        <w:rPr>
          <w:i/>
          <w:iCs/>
        </w:rPr>
        <w:t>(Справочный документ: ECE/TRANS/WP.15/AC.2/2019/4)</w:t>
      </w:r>
    </w:p>
    <w:p w14:paraId="6B1DC562" w14:textId="77777777" w:rsidR="00E12C5F" w:rsidRPr="008D53B6" w:rsidRDefault="00AE151D" w:rsidP="00565C16">
      <w:pPr>
        <w:spacing w:before="240"/>
        <w:ind w:left="1134" w:right="1134"/>
        <w:jc w:val="center"/>
      </w:pPr>
      <w:r w:rsidRPr="00AD5E67">
        <w:rPr>
          <w:u w:val="single"/>
        </w:rPr>
        <w:tab/>
      </w:r>
      <w:r w:rsidRPr="00AD5E67">
        <w:rPr>
          <w:u w:val="single"/>
        </w:rPr>
        <w:tab/>
      </w:r>
      <w:r w:rsidRPr="00AD5E67">
        <w:rPr>
          <w:u w:val="single"/>
        </w:rPr>
        <w:tab/>
      </w:r>
      <w:bookmarkEnd w:id="1"/>
      <w:r>
        <w:rPr>
          <w:u w:val="single"/>
        </w:rPr>
        <w:tab/>
      </w:r>
    </w:p>
    <w:sectPr w:rsidR="00E12C5F" w:rsidRPr="008D53B6" w:rsidSect="00AE15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261C" w14:textId="77777777" w:rsidR="009074C4" w:rsidRPr="00A312BC" w:rsidRDefault="009074C4" w:rsidP="00A312BC"/>
  </w:endnote>
  <w:endnote w:type="continuationSeparator" w:id="0">
    <w:p w14:paraId="7949652C" w14:textId="77777777" w:rsidR="009074C4" w:rsidRPr="00A312BC" w:rsidRDefault="009074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B18F" w14:textId="77777777" w:rsidR="00AE151D" w:rsidRPr="00AE151D" w:rsidRDefault="00AE151D">
    <w:pPr>
      <w:pStyle w:val="Footer"/>
    </w:pPr>
    <w:r w:rsidRPr="00AE151D">
      <w:rPr>
        <w:b/>
        <w:sz w:val="18"/>
      </w:rPr>
      <w:fldChar w:fldCharType="begin"/>
    </w:r>
    <w:r w:rsidRPr="00AE151D">
      <w:rPr>
        <w:b/>
        <w:sz w:val="18"/>
      </w:rPr>
      <w:instrText xml:space="preserve"> PAGE  \* MERGEFORMAT </w:instrText>
    </w:r>
    <w:r w:rsidRPr="00AE151D">
      <w:rPr>
        <w:b/>
        <w:sz w:val="18"/>
      </w:rPr>
      <w:fldChar w:fldCharType="separate"/>
    </w:r>
    <w:r w:rsidR="00F61991">
      <w:rPr>
        <w:b/>
        <w:noProof/>
        <w:sz w:val="18"/>
      </w:rPr>
      <w:t>2</w:t>
    </w:r>
    <w:r w:rsidRPr="00AE151D">
      <w:rPr>
        <w:b/>
        <w:sz w:val="18"/>
      </w:rPr>
      <w:fldChar w:fldCharType="end"/>
    </w:r>
    <w:r>
      <w:rPr>
        <w:b/>
        <w:sz w:val="18"/>
      </w:rPr>
      <w:tab/>
    </w:r>
    <w:r>
      <w:t>GE.19-08627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F0F3" w14:textId="77777777" w:rsidR="00AE151D" w:rsidRPr="00AE151D" w:rsidRDefault="00AE151D" w:rsidP="00AE151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GE.19-08627</w:t>
    </w:r>
    <w:r>
      <w:tab/>
    </w:r>
    <w:r w:rsidRPr="00AE151D">
      <w:rPr>
        <w:b/>
        <w:sz w:val="18"/>
      </w:rPr>
      <w:fldChar w:fldCharType="begin"/>
    </w:r>
    <w:r w:rsidRPr="00AE151D">
      <w:rPr>
        <w:b/>
        <w:sz w:val="18"/>
      </w:rPr>
      <w:instrText xml:space="preserve"> PAGE  \* MERGEFORMAT </w:instrText>
    </w:r>
    <w:r w:rsidRPr="00AE151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E15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A77E1" w14:textId="77777777" w:rsidR="00042B72" w:rsidRPr="00AE151D" w:rsidRDefault="00AE151D" w:rsidP="00AE151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42D68E1" wp14:editId="0D1D73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19-08627  (R)</w:t>
    </w:r>
    <w:r>
      <w:rPr>
        <w:lang w:val="en-US"/>
      </w:rPr>
      <w:t xml:space="preserve">  280519  280519</w:t>
    </w:r>
    <w:r>
      <w:br/>
    </w:r>
    <w:r w:rsidRPr="00AE151D">
      <w:rPr>
        <w:rFonts w:ascii="C39T30Lfz" w:hAnsi="C39T30Lfz"/>
        <w:kern w:val="14"/>
        <w:sz w:val="56"/>
      </w:rPr>
      <w:t></w:t>
    </w:r>
    <w:r w:rsidRPr="00AE151D">
      <w:rPr>
        <w:rFonts w:ascii="C39T30Lfz" w:hAnsi="C39T30Lfz"/>
        <w:kern w:val="14"/>
        <w:sz w:val="56"/>
      </w:rPr>
      <w:t></w:t>
    </w:r>
    <w:r w:rsidRPr="00AE151D">
      <w:rPr>
        <w:rFonts w:ascii="C39T30Lfz" w:hAnsi="C39T30Lfz"/>
        <w:kern w:val="14"/>
        <w:sz w:val="56"/>
      </w:rPr>
      <w:t></w:t>
    </w:r>
    <w:r w:rsidRPr="00AE151D">
      <w:rPr>
        <w:rFonts w:ascii="C39T30Lfz" w:hAnsi="C39T30Lfz"/>
        <w:kern w:val="14"/>
        <w:sz w:val="56"/>
      </w:rPr>
      <w:t></w:t>
    </w:r>
    <w:r w:rsidRPr="00AE151D">
      <w:rPr>
        <w:rFonts w:ascii="C39T30Lfz" w:hAnsi="C39T30Lfz"/>
        <w:kern w:val="14"/>
        <w:sz w:val="56"/>
      </w:rPr>
      <w:t></w:t>
    </w:r>
    <w:r w:rsidRPr="00AE151D">
      <w:rPr>
        <w:rFonts w:ascii="C39T30Lfz" w:hAnsi="C39T30Lfz"/>
        <w:kern w:val="14"/>
        <w:sz w:val="56"/>
      </w:rPr>
      <w:t></w:t>
    </w:r>
    <w:r w:rsidRPr="00AE151D">
      <w:rPr>
        <w:rFonts w:ascii="C39T30Lfz" w:hAnsi="C39T30Lfz"/>
        <w:kern w:val="14"/>
        <w:sz w:val="56"/>
      </w:rPr>
      <w:t></w:t>
    </w:r>
    <w:r w:rsidRPr="00AE151D">
      <w:rPr>
        <w:rFonts w:ascii="C39T30Lfz" w:hAnsi="C39T30Lfz"/>
        <w:kern w:val="14"/>
        <w:sz w:val="56"/>
      </w:rPr>
      <w:t></w:t>
    </w:r>
    <w:r w:rsidRPr="00AE151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DEAA782" wp14:editId="6E28F7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70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70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986D8" w14:textId="77777777" w:rsidR="009074C4" w:rsidRPr="001075E9" w:rsidRDefault="009074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4CFD4C" w14:textId="77777777" w:rsidR="009074C4" w:rsidRDefault="009074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17150" w14:textId="7184C04F" w:rsidR="00AE151D" w:rsidRPr="00AE151D" w:rsidRDefault="0055055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ECE/TRANS/WP.15/AC.2/70/Corr.1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F2F2" w14:textId="019E7684" w:rsidR="00AE151D" w:rsidRPr="00AE151D" w:rsidRDefault="0055055B" w:rsidP="00AE151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ECE/TRANS/WP.15/AC.2/70/Corr.1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C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FF0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E96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45C1"/>
    <w:rsid w:val="00513081"/>
    <w:rsid w:val="00517901"/>
    <w:rsid w:val="00526683"/>
    <w:rsid w:val="0055055B"/>
    <w:rsid w:val="005639C1"/>
    <w:rsid w:val="00565C16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1411"/>
    <w:rsid w:val="00680D03"/>
    <w:rsid w:val="00681A10"/>
    <w:rsid w:val="006A1ED8"/>
    <w:rsid w:val="006C2031"/>
    <w:rsid w:val="006D461A"/>
    <w:rsid w:val="006D68D3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238B"/>
    <w:rsid w:val="00894693"/>
    <w:rsid w:val="008A08D7"/>
    <w:rsid w:val="008A37C8"/>
    <w:rsid w:val="008B6909"/>
    <w:rsid w:val="008D0260"/>
    <w:rsid w:val="008D53B6"/>
    <w:rsid w:val="008F7609"/>
    <w:rsid w:val="009042F7"/>
    <w:rsid w:val="00906890"/>
    <w:rsid w:val="009074C4"/>
    <w:rsid w:val="00911BE4"/>
    <w:rsid w:val="00951972"/>
    <w:rsid w:val="009608F3"/>
    <w:rsid w:val="009A24AC"/>
    <w:rsid w:val="009C59D7"/>
    <w:rsid w:val="009C6FE6"/>
    <w:rsid w:val="009D7E7D"/>
    <w:rsid w:val="00A14DA8"/>
    <w:rsid w:val="00A20890"/>
    <w:rsid w:val="00A312BC"/>
    <w:rsid w:val="00A84021"/>
    <w:rsid w:val="00A84D35"/>
    <w:rsid w:val="00A917B3"/>
    <w:rsid w:val="00AB4B51"/>
    <w:rsid w:val="00AE151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58CE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199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61138"/>
  <w15:docId w15:val="{05DF9623-E267-4011-BE00-860C64AE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E151D"/>
    <w:rPr>
      <w:lang w:val="ru-RU" w:eastAsia="en-US"/>
    </w:rPr>
  </w:style>
  <w:style w:type="character" w:customStyle="1" w:styleId="HChGChar">
    <w:name w:val="_ H _Ch_G Char"/>
    <w:link w:val="HChG"/>
    <w:rsid w:val="00AE151D"/>
    <w:rPr>
      <w:b/>
      <w:sz w:val="28"/>
      <w:lang w:val="ru-RU" w:eastAsia="ru-RU"/>
    </w:rPr>
  </w:style>
  <w:style w:type="character" w:customStyle="1" w:styleId="H23GChar">
    <w:name w:val="_ H_2/3_G Char"/>
    <w:link w:val="H23G"/>
    <w:rsid w:val="00AE151D"/>
    <w:rPr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ECE/TRANS/WP.15/AC.2/70/Corr.1</vt:lpstr>
      <vt:lpstr>ECE/TRANS/WP.15/AC.2/70/Corr.1</vt:lpstr>
      <vt:lpstr>A/</vt:lpstr>
    </vt:vector>
  </TitlesOfParts>
  <Company>DCM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ECE/TRANS/WP.15/AC.2/70/Corr.1</dc:title>
  <dc:subject/>
  <dc:creator>Elena IZOTOVA</dc:creator>
  <cp:keywords/>
  <cp:lastModifiedBy>Marie-Claude Collet</cp:lastModifiedBy>
  <cp:revision>3</cp:revision>
  <cp:lastPrinted>2019-06-06T17:00:00Z</cp:lastPrinted>
  <dcterms:created xsi:type="dcterms:W3CDTF">2019-06-06T17:00:00Z</dcterms:created>
  <dcterms:modified xsi:type="dcterms:W3CDTF">2019-06-06T17:00:00Z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