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5" w:rsidRPr="00340180" w:rsidRDefault="004F60A5" w:rsidP="004F60A5">
      <w:pPr>
        <w:widowControl/>
        <w:overflowPunct/>
        <w:autoSpaceDE/>
        <w:autoSpaceDN/>
        <w:adjustRightInd/>
        <w:ind w:left="5387" w:right="-286" w:firstLine="0"/>
        <w:jc w:val="left"/>
        <w:textAlignment w:val="auto"/>
        <w:outlineLvl w:val="0"/>
        <w:rPr>
          <w:rFonts w:ascii="Arial" w:eastAsia="Arial" w:hAnsi="Arial" w:cs="Arial"/>
          <w:bCs/>
          <w:szCs w:val="24"/>
          <w:lang w:eastAsia="de-DE"/>
        </w:rPr>
      </w:pPr>
      <w:bookmarkStart w:id="0" w:name="_GoBack"/>
      <w:bookmarkEnd w:id="0"/>
      <w:r w:rsidRPr="00340180">
        <w:rPr>
          <w:rFonts w:ascii="Arial" w:eastAsia="Arial" w:hAnsi="Arial" w:cs="Arial"/>
          <w:bCs/>
          <w:noProof/>
          <w:szCs w:val="24"/>
          <w:lang w:val="fr-FR"/>
        </w:rPr>
        <w:drawing>
          <wp:anchor distT="0" distB="0" distL="114300" distR="114300" simplePos="0" relativeHeight="251659264" behindDoc="0" locked="0" layoutInCell="1" allowOverlap="1" wp14:anchorId="2735BC4B" wp14:editId="53855227">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180">
        <w:rPr>
          <w:rFonts w:ascii="Arial" w:eastAsia="Arial" w:hAnsi="Arial" w:cs="Arial"/>
          <w:bCs/>
          <w:szCs w:val="24"/>
          <w:lang w:eastAsia="de-DE"/>
        </w:rPr>
        <w:t>CCNR-ZKR/ADN/WP.15/AC.2/2019/</w:t>
      </w:r>
      <w:r w:rsidR="008048EC" w:rsidRPr="00340180">
        <w:rPr>
          <w:rFonts w:ascii="Arial" w:eastAsia="Arial" w:hAnsi="Arial" w:cs="Arial"/>
          <w:bCs/>
          <w:szCs w:val="24"/>
          <w:lang w:eastAsia="de-DE"/>
        </w:rPr>
        <w:t>13</w:t>
      </w:r>
    </w:p>
    <w:p w:rsidR="007363C1" w:rsidRPr="00340180"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340180">
        <w:rPr>
          <w:rFonts w:ascii="Arial" w:eastAsia="Arial" w:hAnsi="Arial" w:cs="Arial"/>
          <w:bCs/>
          <w:szCs w:val="24"/>
          <w:lang w:eastAsia="de-DE"/>
        </w:rPr>
        <w:t>Allgemeine Verteilung</w:t>
      </w:r>
    </w:p>
    <w:p w:rsidR="004F60A5" w:rsidRPr="00340180" w:rsidRDefault="008048EC"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340180">
        <w:rPr>
          <w:rFonts w:ascii="Arial" w:eastAsia="Arial" w:hAnsi="Arial" w:cs="Arial"/>
          <w:szCs w:val="24"/>
          <w:lang w:eastAsia="de-DE"/>
        </w:rPr>
        <w:t>6</w:t>
      </w:r>
      <w:r w:rsidR="004F60A5" w:rsidRPr="00340180">
        <w:rPr>
          <w:rFonts w:ascii="Arial" w:eastAsia="Arial" w:hAnsi="Arial" w:cs="Arial"/>
          <w:szCs w:val="24"/>
          <w:lang w:eastAsia="de-DE"/>
        </w:rPr>
        <w:t xml:space="preserve">. </w:t>
      </w:r>
      <w:r w:rsidRPr="00340180">
        <w:rPr>
          <w:rFonts w:ascii="Arial" w:eastAsia="Arial" w:hAnsi="Arial" w:cs="Arial"/>
          <w:szCs w:val="24"/>
          <w:lang w:eastAsia="de-DE"/>
        </w:rPr>
        <w:t>November</w:t>
      </w:r>
      <w:r w:rsidR="004F60A5" w:rsidRPr="00340180">
        <w:rPr>
          <w:rFonts w:ascii="Arial" w:eastAsia="Arial" w:hAnsi="Arial" w:cs="Arial"/>
          <w:szCs w:val="24"/>
          <w:lang w:eastAsia="de-DE"/>
        </w:rPr>
        <w:t xml:space="preserve"> 2018</w:t>
      </w:r>
    </w:p>
    <w:p w:rsidR="004F60A5" w:rsidRPr="00340180"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sidRPr="00340180">
        <w:rPr>
          <w:rFonts w:ascii="Arial" w:eastAsia="Arial" w:hAnsi="Arial" w:cs="Arial"/>
          <w:sz w:val="16"/>
          <w:szCs w:val="24"/>
        </w:rPr>
        <w:t>Or</w:t>
      </w:r>
      <w:proofErr w:type="spellEnd"/>
      <w:r w:rsidRPr="00340180">
        <w:rPr>
          <w:rFonts w:ascii="Arial" w:eastAsia="Arial" w:hAnsi="Arial" w:cs="Arial"/>
          <w:sz w:val="16"/>
          <w:szCs w:val="24"/>
        </w:rPr>
        <w:t>. ENGLISCH</w:t>
      </w:r>
    </w:p>
    <w:p w:rsidR="004F60A5" w:rsidRPr="00340180"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340180"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340180"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340180">
        <w:rPr>
          <w:rFonts w:ascii="Arial" w:hAnsi="Arial"/>
          <w:noProof/>
          <w:snapToGrid w:val="0"/>
          <w:sz w:val="16"/>
          <w:szCs w:val="24"/>
        </w:rPr>
        <w:t>GEMEINSAME EXPERTENTAGUNG FÜR DIE DEM</w:t>
      </w:r>
    </w:p>
    <w:p w:rsidR="004F60A5" w:rsidRPr="00340180"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340180">
        <w:rPr>
          <w:rFonts w:ascii="Arial" w:hAnsi="Arial"/>
          <w:noProof/>
          <w:snapToGrid w:val="0"/>
          <w:sz w:val="16"/>
          <w:szCs w:val="24"/>
        </w:rPr>
        <w:t>ÜBEREINKOMMEN ÜBER DIE INTERNATIONALE BEFÖRDERUNG</w:t>
      </w:r>
    </w:p>
    <w:p w:rsidR="004F60A5" w:rsidRPr="00340180"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340180">
        <w:rPr>
          <w:rFonts w:ascii="Arial" w:hAnsi="Arial"/>
          <w:noProof/>
          <w:snapToGrid w:val="0"/>
          <w:sz w:val="16"/>
          <w:szCs w:val="24"/>
        </w:rPr>
        <w:t>VON GEFÄHRLICHEN GÜTERN AUF BINNENWASSERSTRASSEN</w:t>
      </w:r>
    </w:p>
    <w:p w:rsidR="004F60A5" w:rsidRPr="00340180"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340180">
        <w:rPr>
          <w:rFonts w:ascii="Arial" w:hAnsi="Arial"/>
          <w:noProof/>
          <w:snapToGrid w:val="0"/>
          <w:sz w:val="16"/>
          <w:szCs w:val="24"/>
        </w:rPr>
        <w:t>BEIGEFÜGTE VERORDNUNG (ADN)</w:t>
      </w:r>
    </w:p>
    <w:p w:rsidR="004F60A5" w:rsidRPr="00340180"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340180">
        <w:rPr>
          <w:rFonts w:ascii="Arial" w:hAnsi="Arial"/>
          <w:noProof/>
          <w:snapToGrid w:val="0"/>
          <w:sz w:val="16"/>
          <w:szCs w:val="24"/>
        </w:rPr>
        <w:t>(SICHERHEITSAUSSCHUSS)</w:t>
      </w:r>
    </w:p>
    <w:p w:rsidR="004F60A5" w:rsidRPr="00340180" w:rsidRDefault="004F60A5" w:rsidP="004F60A5">
      <w:pPr>
        <w:widowControl/>
        <w:tabs>
          <w:tab w:val="left" w:pos="2977"/>
        </w:tabs>
        <w:overflowPunct/>
        <w:autoSpaceDE/>
        <w:autoSpaceDN/>
        <w:adjustRightInd/>
        <w:ind w:left="3960" w:firstLine="0"/>
        <w:jc w:val="left"/>
        <w:textAlignment w:val="auto"/>
        <w:rPr>
          <w:rFonts w:ascii="Arial" w:hAnsi="Arial"/>
          <w:snapToGrid w:val="0"/>
          <w:sz w:val="16"/>
          <w:szCs w:val="24"/>
        </w:rPr>
      </w:pPr>
      <w:r w:rsidRPr="00340180">
        <w:rPr>
          <w:rFonts w:ascii="Arial" w:hAnsi="Arial"/>
          <w:snapToGrid w:val="0"/>
          <w:sz w:val="16"/>
          <w:szCs w:val="24"/>
        </w:rPr>
        <w:t>(34. Tagung, Genf, 21. bis 25. Januar 2019)</w:t>
      </w:r>
    </w:p>
    <w:p w:rsidR="004F60A5" w:rsidRPr="00340180" w:rsidRDefault="004F60A5" w:rsidP="004F60A5">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340180">
        <w:rPr>
          <w:rFonts w:ascii="Arial" w:hAnsi="Arial" w:cs="Arial"/>
          <w:sz w:val="16"/>
          <w:szCs w:val="16"/>
          <w:lang w:eastAsia="en-US"/>
        </w:rPr>
        <w:t xml:space="preserve">Punkt </w:t>
      </w:r>
      <w:r w:rsidR="007363C1" w:rsidRPr="00340180">
        <w:rPr>
          <w:rFonts w:ascii="Arial" w:hAnsi="Arial" w:cs="Arial"/>
          <w:sz w:val="16"/>
          <w:szCs w:val="16"/>
          <w:lang w:eastAsia="en-US"/>
        </w:rPr>
        <w:t>5 b</w:t>
      </w:r>
      <w:r w:rsidRPr="00340180">
        <w:rPr>
          <w:rFonts w:ascii="Arial" w:hAnsi="Arial" w:cs="Arial"/>
          <w:sz w:val="16"/>
          <w:szCs w:val="16"/>
          <w:lang w:eastAsia="en-US"/>
        </w:rPr>
        <w:t>) zur vorläufigen Tagesordnung</w:t>
      </w:r>
    </w:p>
    <w:p w:rsidR="004F60A5" w:rsidRPr="00340180" w:rsidRDefault="004F60A5" w:rsidP="004F60A5">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340180">
        <w:rPr>
          <w:rFonts w:ascii="Arial" w:hAnsi="Arial" w:cs="Arial"/>
          <w:b/>
          <w:sz w:val="16"/>
          <w:szCs w:val="16"/>
          <w:lang w:eastAsia="en-US"/>
        </w:rPr>
        <w:t>Vorschläge für Änderungen der dem ADN beigefügten Verordnung: Weitere Vorschläge</w:t>
      </w:r>
    </w:p>
    <w:p w:rsidR="008048EC" w:rsidRPr="00340180" w:rsidRDefault="008048EC" w:rsidP="00450DFE">
      <w:pPr>
        <w:keepNext/>
        <w:keepLines/>
        <w:widowControl/>
        <w:tabs>
          <w:tab w:val="right" w:pos="851"/>
        </w:tabs>
        <w:suppressAutoHyphens/>
        <w:overflowPunct/>
        <w:autoSpaceDE/>
        <w:autoSpaceDN/>
        <w:adjustRightInd/>
        <w:spacing w:before="360" w:after="240" w:line="240" w:lineRule="atLeast"/>
        <w:ind w:right="567"/>
        <w:jc w:val="left"/>
        <w:textAlignment w:val="auto"/>
        <w:rPr>
          <w:b/>
          <w:sz w:val="28"/>
          <w:lang w:eastAsia="en-US"/>
        </w:rPr>
      </w:pPr>
      <w:r w:rsidRPr="00340180">
        <w:rPr>
          <w:b/>
          <w:sz w:val="28"/>
          <w:lang w:eastAsia="en-US"/>
        </w:rPr>
        <w:tab/>
      </w:r>
      <w:r w:rsidRPr="00340180">
        <w:rPr>
          <w:b/>
          <w:sz w:val="28"/>
          <w:lang w:eastAsia="en-US"/>
        </w:rPr>
        <w:tab/>
      </w:r>
      <w:r w:rsidR="009647DB" w:rsidRPr="00340180">
        <w:rPr>
          <w:b/>
          <w:sz w:val="28"/>
          <w:lang w:eastAsia="en-US"/>
        </w:rPr>
        <w:t>Redaktionelle Verbesserung der Lesbarkeit und Benutzerfreundlichkeit des ADN: Kopfzeile der Tabelle C</w:t>
      </w:r>
    </w:p>
    <w:p w:rsidR="008048EC" w:rsidRPr="00340180" w:rsidRDefault="008048EC" w:rsidP="008048EC">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340180">
        <w:rPr>
          <w:b/>
          <w:sz w:val="24"/>
          <w:lang w:eastAsia="en-US"/>
        </w:rPr>
        <w:tab/>
      </w:r>
      <w:r w:rsidRPr="00340180">
        <w:rPr>
          <w:b/>
          <w:sz w:val="24"/>
          <w:lang w:eastAsia="en-US"/>
        </w:rPr>
        <w:tab/>
      </w:r>
      <w:r w:rsidR="001765A8" w:rsidRPr="00340180">
        <w:rPr>
          <w:b/>
          <w:sz w:val="24"/>
          <w:lang w:eastAsia="en-US"/>
        </w:rPr>
        <w:t>Eingereicht von der Europäischen Binnenschifffahrts-Union (EBU) und der Europäischen Schifferorganisation (ESO)</w:t>
      </w:r>
      <w:r w:rsidRPr="00340180">
        <w:rPr>
          <w:b/>
          <w:sz w:val="18"/>
          <w:vertAlign w:val="superscript"/>
          <w:lang w:eastAsia="en-US"/>
        </w:rPr>
        <w:footnoteReference w:customMarkFollows="1" w:id="1"/>
        <w:t>*</w:t>
      </w:r>
      <w:r w:rsidRPr="00340180">
        <w:rPr>
          <w:b/>
          <w:sz w:val="18"/>
          <w:vertAlign w:val="superscript"/>
        </w:rPr>
        <w:t>,</w:t>
      </w:r>
      <w:r w:rsidRPr="00340180">
        <w:rPr>
          <w:rFonts w:eastAsia="Calibri"/>
          <w:b/>
          <w:sz w:val="12"/>
          <w:vertAlign w:val="superscript"/>
          <w:lang w:eastAsia="en-US"/>
        </w:rPr>
        <w:footnoteReference w:id="2"/>
      </w:r>
      <w:r w:rsidRPr="00340180">
        <w:rPr>
          <w:rFonts w:eastAsia="Calibri"/>
          <w:b/>
          <w:sz w:val="18"/>
          <w:vertAlign w:val="superscript"/>
          <w:lang w:eastAsia="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048EC" w:rsidRPr="00340180" w:rsidTr="00B73726">
        <w:trPr>
          <w:jc w:val="center"/>
        </w:trPr>
        <w:tc>
          <w:tcPr>
            <w:tcW w:w="2552" w:type="dxa"/>
            <w:tcBorders>
              <w:bottom w:val="single" w:sz="4" w:space="0" w:color="auto"/>
            </w:tcBorders>
          </w:tcPr>
          <w:p w:rsidR="008048EC" w:rsidRPr="00340180" w:rsidRDefault="008048EC" w:rsidP="008048EC">
            <w:pPr>
              <w:widowControl/>
              <w:tabs>
                <w:tab w:val="left" w:pos="284"/>
              </w:tabs>
              <w:suppressAutoHyphens/>
              <w:overflowPunct/>
              <w:autoSpaceDE/>
              <w:autoSpaceDN/>
              <w:adjustRightInd/>
              <w:spacing w:before="120" w:after="120" w:line="240" w:lineRule="atLeast"/>
              <w:ind w:left="0" w:firstLine="0"/>
              <w:jc w:val="left"/>
              <w:textAlignment w:val="auto"/>
              <w:rPr>
                <w:b/>
                <w:lang w:eastAsia="en-US"/>
              </w:rPr>
            </w:pPr>
            <w:r w:rsidRPr="00340180">
              <w:rPr>
                <w:b/>
                <w:lang w:eastAsia="en-US"/>
              </w:rPr>
              <w:t>Verbundene Dokumente:</w:t>
            </w:r>
          </w:p>
        </w:tc>
        <w:tc>
          <w:tcPr>
            <w:tcW w:w="5953" w:type="dxa"/>
            <w:tcBorders>
              <w:bottom w:val="single" w:sz="4" w:space="0" w:color="auto"/>
            </w:tcBorders>
          </w:tcPr>
          <w:p w:rsidR="008048EC" w:rsidRPr="00450DFE" w:rsidRDefault="008048EC" w:rsidP="008048EC">
            <w:pPr>
              <w:widowControl/>
              <w:suppressAutoHyphens/>
              <w:overflowPunct/>
              <w:autoSpaceDE/>
              <w:autoSpaceDN/>
              <w:adjustRightInd/>
              <w:spacing w:line="240" w:lineRule="atLeast"/>
              <w:ind w:left="0" w:firstLine="0"/>
              <w:jc w:val="left"/>
              <w:textAlignment w:val="auto"/>
              <w:rPr>
                <w:lang w:val="fr-FR" w:eastAsia="en-US"/>
              </w:rPr>
            </w:pPr>
            <w:r w:rsidRPr="00450DFE">
              <w:rPr>
                <w:lang w:val="fr-FR" w:eastAsia="en-US"/>
              </w:rPr>
              <w:t>ECE/TRANS/WP.15/AC.2/2018/38</w:t>
            </w:r>
          </w:p>
          <w:p w:rsidR="008048EC" w:rsidRPr="00450DFE" w:rsidRDefault="008048EC" w:rsidP="008048EC">
            <w:pPr>
              <w:widowControl/>
              <w:suppressAutoHyphens/>
              <w:overflowPunct/>
              <w:autoSpaceDE/>
              <w:autoSpaceDN/>
              <w:adjustRightInd/>
              <w:spacing w:line="240" w:lineRule="atLeast"/>
              <w:ind w:left="0" w:firstLine="0"/>
              <w:jc w:val="left"/>
              <w:textAlignment w:val="auto"/>
              <w:rPr>
                <w:lang w:val="fr-FR" w:eastAsia="en-US"/>
              </w:rPr>
            </w:pPr>
            <w:r w:rsidRPr="00450DFE">
              <w:rPr>
                <w:lang w:val="fr-FR" w:eastAsia="en-US"/>
              </w:rPr>
              <w:t>ECE/TRANS/WP.15/AC.2/66</w:t>
            </w:r>
          </w:p>
          <w:p w:rsidR="008048EC" w:rsidRPr="00340180" w:rsidRDefault="001765A8" w:rsidP="008048EC">
            <w:pPr>
              <w:widowControl/>
              <w:suppressAutoHyphens/>
              <w:overflowPunct/>
              <w:autoSpaceDE/>
              <w:autoSpaceDN/>
              <w:adjustRightInd/>
              <w:spacing w:after="120" w:line="240" w:lineRule="atLeast"/>
              <w:ind w:left="0" w:firstLine="0"/>
              <w:jc w:val="left"/>
              <w:textAlignment w:val="auto"/>
              <w:rPr>
                <w:lang w:eastAsia="en-US"/>
              </w:rPr>
            </w:pPr>
            <w:r w:rsidRPr="00340180">
              <w:rPr>
                <w:lang w:eastAsia="en-US"/>
              </w:rPr>
              <w:t>Informelles Dokument INF.20 der zweiunddreißigsten Sitzung (Unterabschnitt B)</w:t>
            </w:r>
          </w:p>
        </w:tc>
      </w:tr>
    </w:tbl>
    <w:p w:rsidR="008048EC" w:rsidRPr="00340180" w:rsidRDefault="008048EC" w:rsidP="008048E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340180">
        <w:rPr>
          <w:b/>
          <w:sz w:val="28"/>
          <w:lang w:eastAsia="en-US"/>
        </w:rPr>
        <w:tab/>
        <w:t>I.</w:t>
      </w:r>
      <w:r w:rsidRPr="00340180">
        <w:rPr>
          <w:b/>
          <w:sz w:val="28"/>
          <w:lang w:eastAsia="en-US"/>
        </w:rPr>
        <w:tab/>
        <w:t>Einleitung</w:t>
      </w:r>
    </w:p>
    <w:p w:rsidR="008048EC" w:rsidRPr="00340180" w:rsidRDefault="008048EC" w:rsidP="00FD3B38">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1.</w:t>
      </w:r>
      <w:r w:rsidRPr="00340180">
        <w:rPr>
          <w:lang w:eastAsia="en-US"/>
        </w:rPr>
        <w:tab/>
      </w:r>
      <w:r w:rsidR="0094521D" w:rsidRPr="00340180">
        <w:rPr>
          <w:lang w:eastAsia="en-US"/>
        </w:rPr>
        <w:t xml:space="preserve">EBU und ESO haben einige Verbesserungsvorschläge von den EBU/ESO-Gefahrengutsitzungen sowie den an der informellen Arbeitsgruppe „IAG </w:t>
      </w:r>
      <w:proofErr w:type="spellStart"/>
      <w:r w:rsidR="0094521D" w:rsidRPr="00340180">
        <w:rPr>
          <w:lang w:eastAsia="en-US"/>
        </w:rPr>
        <w:t>Sachkundigenausbildung</w:t>
      </w:r>
      <w:proofErr w:type="spellEnd"/>
      <w:r w:rsidR="0094521D" w:rsidRPr="00340180">
        <w:rPr>
          <w:lang w:eastAsia="en-US"/>
        </w:rPr>
        <w:t>“ teilnehmenden ADN-Ausbildern erhalten.</w:t>
      </w:r>
      <w:r w:rsidRPr="00340180">
        <w:rPr>
          <w:lang w:eastAsia="en-US"/>
        </w:rPr>
        <w:t xml:space="preserve"> </w:t>
      </w:r>
      <w:r w:rsidR="007343D3" w:rsidRPr="00340180">
        <w:rPr>
          <w:lang w:eastAsia="en-US"/>
        </w:rPr>
        <w:t>Diese Vorschläge sind hauptsächlich redaktioneller Art und zielen darauf ab, die Lesbarkeit und Benutzerfreundlichkeit des ADN im Allgemeinen und für die Schiffsbesatzungsmitglieder im Besonderen als spezifische praktische Nutzer des ADN, die ADN-Sachkundigen an Bord von Binnenschiffen, zu verbessern.</w:t>
      </w:r>
      <w:r w:rsidRPr="00340180">
        <w:rPr>
          <w:lang w:eastAsia="en-US"/>
        </w:rPr>
        <w:t xml:space="preserve"> </w:t>
      </w:r>
    </w:p>
    <w:p w:rsidR="003B73CC" w:rsidRPr="00340180" w:rsidRDefault="003B73CC">
      <w:pPr>
        <w:widowControl/>
        <w:overflowPunct/>
        <w:autoSpaceDE/>
        <w:autoSpaceDN/>
        <w:adjustRightInd/>
        <w:ind w:left="0" w:firstLine="0"/>
        <w:jc w:val="left"/>
        <w:textAlignment w:val="auto"/>
        <w:rPr>
          <w:lang w:eastAsia="en-US"/>
        </w:rPr>
      </w:pPr>
      <w:r w:rsidRPr="00340180">
        <w:rPr>
          <w:lang w:eastAsia="en-US"/>
        </w:rPr>
        <w:br w:type="page"/>
      </w:r>
    </w:p>
    <w:p w:rsidR="009647DB" w:rsidRPr="00340180" w:rsidRDefault="009647DB" w:rsidP="007343D3">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lastRenderedPageBreak/>
        <w:t>2.</w:t>
      </w:r>
      <w:r w:rsidRPr="00340180">
        <w:rPr>
          <w:lang w:eastAsia="en-US"/>
        </w:rPr>
        <w:tab/>
        <w:t xml:space="preserve">Während der zweiunddreißigsten und dreiunddreißigsten Sitzung des ADN-Sicherheitsausschusses wurde dieser Vorschlag im Namen von EBU und ESO vorgelegt. Der ADN Sicherheitsausschuss bat die Vertreter von EBU und ESO, die geäußerten Bemerkungen zu berücksichtigen und für die vierunddreißigste Sitzung einen überarbeiteten Vorschlag in einem offiziellen Dokument vorzulegen. </w:t>
      </w:r>
      <w:r w:rsidR="007343D3" w:rsidRPr="00340180">
        <w:rPr>
          <w:lang w:eastAsia="en-US"/>
        </w:rPr>
        <w:t>Unser Vorschlag ist unten aufgeführt.</w:t>
      </w:r>
    </w:p>
    <w:p w:rsidR="008048EC" w:rsidRPr="00340180" w:rsidRDefault="008048EC" w:rsidP="00523934">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3.</w:t>
      </w:r>
      <w:r w:rsidRPr="00340180">
        <w:rPr>
          <w:lang w:eastAsia="en-US"/>
        </w:rPr>
        <w:tab/>
      </w:r>
      <w:r w:rsidR="007343D3" w:rsidRPr="00340180">
        <w:rPr>
          <w:lang w:eastAsia="en-US"/>
        </w:rPr>
        <w:t xml:space="preserve">EBU und ESO ersuchen den ADN-Sicherheitsausschuss, die Aufnahme erläuternder </w:t>
      </w:r>
      <w:r w:rsidR="00523934" w:rsidRPr="00340180">
        <w:rPr>
          <w:lang w:eastAsia="en-US"/>
        </w:rPr>
        <w:t>Ver</w:t>
      </w:r>
      <w:r w:rsidR="007343D3" w:rsidRPr="00340180">
        <w:rPr>
          <w:lang w:eastAsia="en-US"/>
        </w:rPr>
        <w:t>weise in die Kopfzeile der Tabelle C von Kapitel 3.2 zu prüfen.</w:t>
      </w:r>
    </w:p>
    <w:p w:rsidR="00766F2D" w:rsidRPr="00340180" w:rsidRDefault="008048EC" w:rsidP="00766F2D">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4.</w:t>
      </w:r>
      <w:r w:rsidRPr="00340180">
        <w:rPr>
          <w:lang w:eastAsia="en-US"/>
        </w:rPr>
        <w:tab/>
      </w:r>
      <w:r w:rsidR="00766F2D" w:rsidRPr="00340180">
        <w:rPr>
          <w:lang w:eastAsia="en-US"/>
        </w:rPr>
        <w:t>Die Tabellen A und C sind uneinheitlich strukturiert</w:t>
      </w:r>
      <w:r w:rsidRPr="00340180">
        <w:rPr>
          <w:lang w:eastAsia="en-US"/>
        </w:rPr>
        <w:t xml:space="preserve">. </w:t>
      </w:r>
      <w:r w:rsidR="00766F2D" w:rsidRPr="00340180">
        <w:rPr>
          <w:lang w:eastAsia="en-US"/>
        </w:rPr>
        <w:t>In der Kopfzeile der Tabelle C fehlen erläuternde Verweise, sie stimmt daher mit der Kopfzeile der Tabelle A nicht überein. Es wäre zweckmäßig, in d</w:t>
      </w:r>
      <w:r w:rsidR="00B63D15" w:rsidRPr="00340180">
        <w:rPr>
          <w:lang w:eastAsia="en-US"/>
        </w:rPr>
        <w:t>i</w:t>
      </w:r>
      <w:r w:rsidR="00766F2D" w:rsidRPr="00340180">
        <w:rPr>
          <w:lang w:eastAsia="en-US"/>
        </w:rPr>
        <w:t>e Kopfzeile der Tabelle C erläuternde Verweise einzufügen.</w:t>
      </w:r>
    </w:p>
    <w:p w:rsidR="008048EC" w:rsidRPr="00340180" w:rsidRDefault="008048EC" w:rsidP="008048E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340180">
        <w:rPr>
          <w:b/>
          <w:sz w:val="28"/>
          <w:lang w:eastAsia="en-US"/>
        </w:rPr>
        <w:tab/>
        <w:t>II.</w:t>
      </w:r>
      <w:r w:rsidRPr="00340180">
        <w:rPr>
          <w:b/>
          <w:sz w:val="28"/>
          <w:lang w:eastAsia="en-US"/>
        </w:rPr>
        <w:tab/>
        <w:t>Vorschlag</w:t>
      </w:r>
    </w:p>
    <w:p w:rsidR="008048EC" w:rsidRPr="00340180" w:rsidRDefault="008048EC" w:rsidP="00B63D15">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5.</w:t>
      </w:r>
      <w:r w:rsidRPr="00340180">
        <w:rPr>
          <w:lang w:eastAsia="en-US"/>
        </w:rPr>
        <w:tab/>
      </w:r>
      <w:r w:rsidR="00B63D15" w:rsidRPr="00340180">
        <w:rPr>
          <w:lang w:eastAsia="en-US"/>
        </w:rPr>
        <w:t>In die Kopfzeile der Tabelle C entsprechende erläuternde Verweise einfügen:</w:t>
      </w:r>
    </w:p>
    <w:tbl>
      <w:tblPr>
        <w:tblW w:w="5140" w:type="pct"/>
        <w:jc w:val="center"/>
        <w:tblLayout w:type="fixed"/>
        <w:tblCellMar>
          <w:top w:w="28" w:type="dxa"/>
          <w:left w:w="28" w:type="dxa"/>
          <w:bottom w:w="28" w:type="dxa"/>
          <w:right w:w="28" w:type="dxa"/>
        </w:tblCellMar>
        <w:tblLook w:val="0000" w:firstRow="0" w:lastRow="0" w:firstColumn="0" w:lastColumn="0" w:noHBand="0" w:noVBand="0"/>
      </w:tblPr>
      <w:tblGrid>
        <w:gridCol w:w="717"/>
        <w:gridCol w:w="1153"/>
        <w:gridCol w:w="402"/>
        <w:gridCol w:w="398"/>
        <w:gridCol w:w="263"/>
        <w:gridCol w:w="266"/>
        <w:gridCol w:w="397"/>
        <w:gridCol w:w="266"/>
        <w:gridCol w:w="264"/>
        <w:gridCol w:w="397"/>
        <w:gridCol w:w="622"/>
        <w:gridCol w:w="380"/>
        <w:gridCol w:w="449"/>
        <w:gridCol w:w="397"/>
        <w:gridCol w:w="397"/>
        <w:gridCol w:w="397"/>
        <w:gridCol w:w="398"/>
        <w:gridCol w:w="529"/>
        <w:gridCol w:w="361"/>
        <w:gridCol w:w="421"/>
        <w:gridCol w:w="436"/>
      </w:tblGrid>
      <w:tr w:rsidR="008048EC" w:rsidRPr="00340180" w:rsidTr="001765A8">
        <w:trPr>
          <w:cantSplit/>
          <w:trHeight w:val="2325"/>
          <w:tblHeader/>
          <w:jc w:val="center"/>
        </w:trPr>
        <w:tc>
          <w:tcPr>
            <w:tcW w:w="385"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spacing w:before="10" w:after="10" w:line="240" w:lineRule="atLeast"/>
              <w:ind w:left="113" w:right="113" w:firstLine="0"/>
              <w:jc w:val="center"/>
              <w:textAlignment w:val="auto"/>
              <w:rPr>
                <w:color w:val="000000"/>
                <w:sz w:val="16"/>
                <w:szCs w:val="16"/>
                <w:lang w:eastAsia="en-US" w:bidi="th-TH"/>
              </w:rPr>
            </w:pPr>
            <w:r w:rsidRPr="00340180">
              <w:rPr>
                <w:color w:val="000000"/>
                <w:sz w:val="16"/>
                <w:szCs w:val="16"/>
                <w:lang w:eastAsia="en-US" w:bidi="th-TH"/>
              </w:rPr>
              <w:t>UN-Nummer oder Stoffnummer</w:t>
            </w:r>
          </w:p>
        </w:tc>
        <w:tc>
          <w:tcPr>
            <w:tcW w:w="619" w:type="pct"/>
            <w:tcBorders>
              <w:top w:val="single" w:sz="6" w:space="0" w:color="auto"/>
              <w:left w:val="single" w:sz="6" w:space="0" w:color="auto"/>
              <w:bottom w:val="single" w:sz="6" w:space="0" w:color="auto"/>
              <w:right w:val="single" w:sz="6" w:space="0" w:color="auto"/>
            </w:tcBorders>
          </w:tcPr>
          <w:p w:rsidR="008048EC" w:rsidRPr="00340180" w:rsidRDefault="008048EC" w:rsidP="008048EC">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Benennung und Beschreibung</w:t>
            </w:r>
          </w:p>
        </w:tc>
        <w:tc>
          <w:tcPr>
            <w:tcW w:w="216" w:type="pct"/>
            <w:tcBorders>
              <w:top w:val="single" w:sz="6" w:space="0" w:color="auto"/>
              <w:left w:val="single" w:sz="6" w:space="0" w:color="auto"/>
              <w:bottom w:val="single" w:sz="6" w:space="0" w:color="auto"/>
              <w:right w:val="single" w:sz="4"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Klasse</w:t>
            </w:r>
          </w:p>
        </w:tc>
        <w:tc>
          <w:tcPr>
            <w:tcW w:w="214" w:type="pct"/>
            <w:tcBorders>
              <w:top w:val="single" w:sz="6" w:space="0" w:color="auto"/>
              <w:left w:val="single" w:sz="4"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Klassifizierungscode</w:t>
            </w:r>
          </w:p>
        </w:tc>
        <w:tc>
          <w:tcPr>
            <w:tcW w:w="141"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Verpackungsgruppe</w:t>
            </w:r>
          </w:p>
        </w:tc>
        <w:tc>
          <w:tcPr>
            <w:tcW w:w="143" w:type="pct"/>
            <w:tcBorders>
              <w:top w:val="single" w:sz="6" w:space="0" w:color="auto"/>
              <w:left w:val="single" w:sz="6" w:space="0" w:color="auto"/>
              <w:bottom w:val="single" w:sz="6" w:space="0" w:color="auto"/>
              <w:right w:val="single" w:sz="6" w:space="0" w:color="auto"/>
            </w:tcBorders>
            <w:noWrap/>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Gefahren</w:t>
            </w:r>
          </w:p>
        </w:tc>
        <w:tc>
          <w:tcPr>
            <w:tcW w:w="213"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Tankschiffstyp</w:t>
            </w:r>
          </w:p>
        </w:tc>
        <w:tc>
          <w:tcPr>
            <w:tcW w:w="143"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Ladetankzustand</w:t>
            </w:r>
          </w:p>
        </w:tc>
        <w:tc>
          <w:tcPr>
            <w:tcW w:w="142"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Ladetanktyp</w:t>
            </w:r>
          </w:p>
        </w:tc>
        <w:tc>
          <w:tcPr>
            <w:tcW w:w="213"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Ladetankausrüstung</w:t>
            </w:r>
          </w:p>
        </w:tc>
        <w:tc>
          <w:tcPr>
            <w:tcW w:w="334"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Öffnungsdruck des Überdruck-/Hochgeschwindigkeitsventils in kPa</w:t>
            </w:r>
          </w:p>
        </w:tc>
        <w:tc>
          <w:tcPr>
            <w:tcW w:w="204"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max. zul. Tankfüllungsgrad in %</w:t>
            </w:r>
          </w:p>
        </w:tc>
        <w:tc>
          <w:tcPr>
            <w:tcW w:w="241"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relative Dichte bei 20 ºC</w:t>
            </w:r>
          </w:p>
        </w:tc>
        <w:tc>
          <w:tcPr>
            <w:tcW w:w="213"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Art der Probeentnahmeeinrichtung</w:t>
            </w:r>
          </w:p>
        </w:tc>
        <w:tc>
          <w:tcPr>
            <w:tcW w:w="213"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Pumpenraum unter Deck erlaubt</w:t>
            </w:r>
          </w:p>
        </w:tc>
        <w:tc>
          <w:tcPr>
            <w:tcW w:w="213"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Temperaturklasse</w:t>
            </w:r>
          </w:p>
        </w:tc>
        <w:tc>
          <w:tcPr>
            <w:tcW w:w="214"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Explosionsgruppe</w:t>
            </w:r>
          </w:p>
        </w:tc>
        <w:tc>
          <w:tcPr>
            <w:tcW w:w="284"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Explosionsschutz erforderlich</w:t>
            </w:r>
          </w:p>
        </w:tc>
        <w:tc>
          <w:tcPr>
            <w:tcW w:w="194"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Ausrüstung erforderlich</w:t>
            </w:r>
          </w:p>
        </w:tc>
        <w:tc>
          <w:tcPr>
            <w:tcW w:w="226"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Anzahl der Kegel/Lichter</w:t>
            </w:r>
          </w:p>
        </w:tc>
        <w:tc>
          <w:tcPr>
            <w:tcW w:w="234" w:type="pct"/>
            <w:tcBorders>
              <w:top w:val="single" w:sz="6" w:space="0" w:color="auto"/>
              <w:left w:val="single" w:sz="6" w:space="0" w:color="auto"/>
              <w:bottom w:val="single" w:sz="6" w:space="0" w:color="auto"/>
              <w:right w:val="single" w:sz="6" w:space="0" w:color="auto"/>
            </w:tcBorders>
            <w:textDirection w:val="tbRl"/>
          </w:tcPr>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zusätzliche Anforderungen</w:t>
            </w:r>
          </w:p>
          <w:p w:rsidR="008048EC" w:rsidRPr="00340180" w:rsidRDefault="008048EC" w:rsidP="008048EC">
            <w:pPr>
              <w:widowControl/>
              <w:suppressAutoHyphens/>
              <w:overflowPunct/>
              <w:ind w:left="113" w:right="113" w:firstLine="0"/>
              <w:jc w:val="center"/>
              <w:textAlignment w:val="auto"/>
              <w:rPr>
                <w:color w:val="000000"/>
                <w:sz w:val="16"/>
                <w:szCs w:val="16"/>
                <w:lang w:eastAsia="en-US" w:bidi="th-TH"/>
              </w:rPr>
            </w:pPr>
            <w:r w:rsidRPr="00340180">
              <w:rPr>
                <w:color w:val="000000"/>
                <w:sz w:val="16"/>
                <w:szCs w:val="16"/>
                <w:lang w:eastAsia="en-US" w:bidi="th-TH"/>
              </w:rPr>
              <w:t>oder Bemerkungen</w:t>
            </w:r>
          </w:p>
        </w:tc>
      </w:tr>
      <w:tr w:rsidR="001765A8" w:rsidRPr="00340180" w:rsidTr="001765A8">
        <w:trPr>
          <w:cantSplit/>
          <w:trHeight w:val="37"/>
          <w:tblHeader/>
          <w:jc w:val="center"/>
        </w:trPr>
        <w:tc>
          <w:tcPr>
            <w:tcW w:w="385"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w:t>
            </w:r>
          </w:p>
        </w:tc>
        <w:tc>
          <w:tcPr>
            <w:tcW w:w="619"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(2)</w:t>
            </w:r>
          </w:p>
        </w:tc>
        <w:tc>
          <w:tcPr>
            <w:tcW w:w="216" w:type="pct"/>
            <w:tcBorders>
              <w:top w:val="single" w:sz="6" w:space="0" w:color="auto"/>
              <w:left w:val="single" w:sz="6" w:space="0" w:color="auto"/>
              <w:bottom w:val="single" w:sz="6" w:space="0" w:color="auto"/>
              <w:right w:val="single" w:sz="4"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(3a)</w:t>
            </w:r>
          </w:p>
        </w:tc>
        <w:tc>
          <w:tcPr>
            <w:tcW w:w="214" w:type="pct"/>
            <w:tcBorders>
              <w:top w:val="single" w:sz="6" w:space="0" w:color="auto"/>
              <w:left w:val="single" w:sz="4"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(3b)</w:t>
            </w:r>
          </w:p>
        </w:tc>
        <w:tc>
          <w:tcPr>
            <w:tcW w:w="141"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(4)</w:t>
            </w:r>
          </w:p>
        </w:tc>
        <w:tc>
          <w:tcPr>
            <w:tcW w:w="143" w:type="pct"/>
            <w:tcBorders>
              <w:top w:val="single" w:sz="6" w:space="0" w:color="auto"/>
              <w:left w:val="single" w:sz="6" w:space="0" w:color="auto"/>
              <w:bottom w:val="single" w:sz="6" w:space="0" w:color="auto"/>
              <w:right w:val="single" w:sz="6" w:space="0" w:color="auto"/>
            </w:tcBorders>
            <w:noWrap/>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(5)</w:t>
            </w:r>
          </w:p>
        </w:tc>
        <w:tc>
          <w:tcPr>
            <w:tcW w:w="213"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(6)</w:t>
            </w:r>
          </w:p>
        </w:tc>
        <w:tc>
          <w:tcPr>
            <w:tcW w:w="143"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(7)</w:t>
            </w:r>
          </w:p>
        </w:tc>
        <w:tc>
          <w:tcPr>
            <w:tcW w:w="142"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(8)</w:t>
            </w:r>
          </w:p>
        </w:tc>
        <w:tc>
          <w:tcPr>
            <w:tcW w:w="213"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(9)</w:t>
            </w:r>
          </w:p>
        </w:tc>
        <w:tc>
          <w:tcPr>
            <w:tcW w:w="334"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(10)</w:t>
            </w:r>
          </w:p>
        </w:tc>
        <w:tc>
          <w:tcPr>
            <w:tcW w:w="204"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(11)</w:t>
            </w:r>
          </w:p>
        </w:tc>
        <w:tc>
          <w:tcPr>
            <w:tcW w:w="241"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(12)</w:t>
            </w:r>
          </w:p>
        </w:tc>
        <w:tc>
          <w:tcPr>
            <w:tcW w:w="213"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(13)</w:t>
            </w:r>
          </w:p>
        </w:tc>
        <w:tc>
          <w:tcPr>
            <w:tcW w:w="213"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(14)</w:t>
            </w:r>
          </w:p>
        </w:tc>
        <w:tc>
          <w:tcPr>
            <w:tcW w:w="213"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(15)</w:t>
            </w:r>
          </w:p>
        </w:tc>
        <w:tc>
          <w:tcPr>
            <w:tcW w:w="214"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(16)</w:t>
            </w:r>
          </w:p>
        </w:tc>
        <w:tc>
          <w:tcPr>
            <w:tcW w:w="284"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(17)</w:t>
            </w:r>
          </w:p>
        </w:tc>
        <w:tc>
          <w:tcPr>
            <w:tcW w:w="194"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(18)</w:t>
            </w:r>
          </w:p>
        </w:tc>
        <w:tc>
          <w:tcPr>
            <w:tcW w:w="226"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(19)</w:t>
            </w:r>
          </w:p>
        </w:tc>
        <w:tc>
          <w:tcPr>
            <w:tcW w:w="234" w:type="pct"/>
            <w:tcBorders>
              <w:top w:val="single" w:sz="6" w:space="0" w:color="auto"/>
              <w:left w:val="single" w:sz="6" w:space="0" w:color="auto"/>
              <w:bottom w:val="single" w:sz="6" w:space="0" w:color="auto"/>
              <w:right w:val="single" w:sz="6" w:space="0" w:color="auto"/>
            </w:tcBorders>
          </w:tcPr>
          <w:p w:rsidR="008048EC" w:rsidRPr="00340180" w:rsidRDefault="008048EC" w:rsidP="00B73726">
            <w:pPr>
              <w:widowControl/>
              <w:suppressAutoHyphens/>
              <w:overflowPunct/>
              <w:spacing w:before="10" w:after="10" w:line="240" w:lineRule="atLeast"/>
              <w:ind w:left="0" w:firstLine="0"/>
              <w:jc w:val="center"/>
              <w:textAlignment w:val="auto"/>
              <w:rPr>
                <w:color w:val="000000"/>
                <w:sz w:val="16"/>
                <w:szCs w:val="16"/>
                <w:lang w:eastAsia="en-US" w:bidi="th-TH"/>
              </w:rPr>
            </w:pPr>
            <w:r w:rsidRPr="00340180">
              <w:rPr>
                <w:color w:val="000000"/>
                <w:sz w:val="16"/>
                <w:szCs w:val="16"/>
                <w:lang w:eastAsia="en-US" w:bidi="th-TH"/>
              </w:rPr>
              <w:t>(20)</w:t>
            </w:r>
          </w:p>
        </w:tc>
      </w:tr>
    </w:tbl>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 xml:space="preserve">Spalte 2: </w:t>
      </w:r>
      <w:r w:rsidRPr="00340180">
        <w:rPr>
          <w:lang w:eastAsia="en-US"/>
        </w:rPr>
        <w:tab/>
      </w:r>
      <w:r w:rsidRPr="00340180">
        <w:rPr>
          <w:lang w:eastAsia="en-US"/>
        </w:rPr>
        <w:tab/>
        <w:t>3.1.2</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 xml:space="preserve">Spalte 3a: </w:t>
      </w:r>
      <w:r w:rsidRPr="00340180">
        <w:rPr>
          <w:lang w:eastAsia="en-US"/>
        </w:rPr>
        <w:tab/>
      </w:r>
      <w:r w:rsidRPr="00340180">
        <w:rPr>
          <w:lang w:eastAsia="en-US"/>
        </w:rPr>
        <w:tab/>
        <w:t>2.2</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3b:</w:t>
      </w:r>
      <w:r w:rsidRPr="00340180">
        <w:rPr>
          <w:lang w:eastAsia="en-US"/>
        </w:rPr>
        <w:tab/>
      </w:r>
      <w:r w:rsidRPr="00340180">
        <w:rPr>
          <w:lang w:eastAsia="en-US"/>
        </w:rPr>
        <w:tab/>
        <w:t>2.2.</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4:</w:t>
      </w:r>
      <w:r w:rsidRPr="00340180">
        <w:rPr>
          <w:lang w:eastAsia="en-US"/>
        </w:rPr>
        <w:tab/>
      </w:r>
      <w:r w:rsidRPr="00340180">
        <w:rPr>
          <w:lang w:eastAsia="en-US"/>
        </w:rPr>
        <w:tab/>
        <w:t>2.1.1.3</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5:</w:t>
      </w:r>
      <w:r w:rsidRPr="00340180">
        <w:rPr>
          <w:lang w:eastAsia="en-US"/>
        </w:rPr>
        <w:tab/>
      </w:r>
      <w:r w:rsidRPr="00340180">
        <w:rPr>
          <w:lang w:eastAsia="en-US"/>
        </w:rPr>
        <w:tab/>
        <w:t>5.2.2/3.2.3.1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6:</w:t>
      </w:r>
      <w:r w:rsidRPr="00340180">
        <w:rPr>
          <w:lang w:eastAsia="en-US"/>
        </w:rPr>
        <w:tab/>
      </w:r>
      <w:r w:rsidRPr="00340180">
        <w:rPr>
          <w:lang w:eastAsia="en-US"/>
        </w:rPr>
        <w:tab/>
        <w:t>1.2.1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7-10:</w:t>
      </w:r>
      <w:r w:rsidRPr="00340180">
        <w:rPr>
          <w:lang w:eastAsia="en-US"/>
        </w:rPr>
        <w:tab/>
      </w:r>
      <w:r w:rsidRPr="00340180">
        <w:rPr>
          <w:lang w:eastAsia="en-US"/>
        </w:rPr>
        <w:tab/>
        <w:t>3.2.3.1/1.2.1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11:</w:t>
      </w:r>
      <w:r w:rsidRPr="00340180">
        <w:rPr>
          <w:lang w:eastAsia="en-US"/>
        </w:rPr>
        <w:tab/>
      </w:r>
      <w:r w:rsidRPr="00340180">
        <w:rPr>
          <w:lang w:eastAsia="en-US"/>
        </w:rPr>
        <w:tab/>
        <w:t>7.2.4.21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12:</w:t>
      </w:r>
      <w:r w:rsidRPr="00340180">
        <w:rPr>
          <w:lang w:eastAsia="en-US"/>
        </w:rPr>
        <w:tab/>
      </w:r>
      <w:r w:rsidRPr="00340180">
        <w:rPr>
          <w:lang w:eastAsia="en-US"/>
        </w:rPr>
        <w:tab/>
        <w:t>3.2.3.1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13:</w:t>
      </w:r>
      <w:r w:rsidRPr="00340180">
        <w:rPr>
          <w:lang w:eastAsia="en-US"/>
        </w:rPr>
        <w:tab/>
      </w:r>
      <w:r w:rsidRPr="00340180">
        <w:rPr>
          <w:lang w:eastAsia="en-US"/>
        </w:rPr>
        <w:tab/>
        <w:t>3.2.3.1/1.2.1*: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14:</w:t>
      </w:r>
      <w:r w:rsidRPr="00340180">
        <w:rPr>
          <w:lang w:eastAsia="en-US"/>
        </w:rPr>
        <w:tab/>
      </w:r>
      <w:r w:rsidRPr="00340180">
        <w:rPr>
          <w:lang w:eastAsia="en-US"/>
        </w:rPr>
        <w:tab/>
        <w:t>3.2.3.1/1.2.1**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 xml:space="preserve">Spalte 15: </w:t>
      </w:r>
      <w:r w:rsidRPr="00340180">
        <w:rPr>
          <w:lang w:eastAsia="en-US"/>
        </w:rPr>
        <w:tab/>
      </w:r>
      <w:r w:rsidRPr="00340180">
        <w:rPr>
          <w:lang w:eastAsia="en-US"/>
        </w:rPr>
        <w:tab/>
        <w:t>1.2.1</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16:</w:t>
      </w:r>
      <w:r w:rsidRPr="00340180">
        <w:rPr>
          <w:lang w:eastAsia="en-US"/>
        </w:rPr>
        <w:tab/>
      </w:r>
      <w:r w:rsidRPr="00340180">
        <w:rPr>
          <w:lang w:eastAsia="en-US"/>
        </w:rPr>
        <w:tab/>
        <w:t xml:space="preserve">1.2.1/3.2.3.3 </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 xml:space="preserve">Spalte 17: </w:t>
      </w:r>
      <w:r w:rsidRPr="00340180">
        <w:rPr>
          <w:lang w:eastAsia="en-US"/>
        </w:rPr>
        <w:tab/>
      </w:r>
      <w:r w:rsidRPr="00340180">
        <w:rPr>
          <w:lang w:eastAsia="en-US"/>
        </w:rPr>
        <w:tab/>
        <w:t>1.2.1/3.2.3.3</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18:</w:t>
      </w:r>
      <w:r w:rsidRPr="00340180">
        <w:rPr>
          <w:lang w:eastAsia="en-US"/>
        </w:rPr>
        <w:tab/>
      </w:r>
      <w:r w:rsidRPr="00340180">
        <w:rPr>
          <w:lang w:eastAsia="en-US"/>
        </w:rPr>
        <w:tab/>
        <w:t>8.1.5</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19:</w:t>
      </w:r>
      <w:r w:rsidRPr="00340180">
        <w:rPr>
          <w:lang w:eastAsia="en-US"/>
        </w:rPr>
        <w:tab/>
      </w:r>
      <w:r w:rsidRPr="00340180">
        <w:rPr>
          <w:lang w:eastAsia="en-US"/>
        </w:rPr>
        <w:tab/>
        <w:t>7.2.5</w:t>
      </w:r>
    </w:p>
    <w:p w:rsidR="008048EC" w:rsidRPr="00340180" w:rsidRDefault="008048EC" w:rsidP="008048EC">
      <w:pPr>
        <w:widowControl/>
        <w:suppressAutoHyphens/>
        <w:overflowPunct/>
        <w:autoSpaceDE/>
        <w:autoSpaceDN/>
        <w:adjustRightInd/>
        <w:spacing w:after="120" w:line="240" w:lineRule="atLeast"/>
        <w:ind w:right="1134" w:firstLine="0"/>
        <w:textAlignment w:val="auto"/>
        <w:rPr>
          <w:lang w:eastAsia="en-US"/>
        </w:rPr>
      </w:pPr>
      <w:r w:rsidRPr="00340180">
        <w:rPr>
          <w:lang w:eastAsia="en-US"/>
        </w:rPr>
        <w:t>Spalte 20:</w:t>
      </w:r>
      <w:r w:rsidRPr="00340180">
        <w:rPr>
          <w:lang w:eastAsia="en-US"/>
        </w:rPr>
        <w:tab/>
      </w:r>
      <w:r w:rsidRPr="00340180">
        <w:rPr>
          <w:lang w:eastAsia="en-US"/>
        </w:rPr>
        <w:tab/>
        <w:t>3.2.3.1</w:t>
      </w:r>
    </w:p>
    <w:p w:rsidR="003B73CC" w:rsidRPr="00340180" w:rsidRDefault="003B73CC">
      <w:pPr>
        <w:widowControl/>
        <w:overflowPunct/>
        <w:autoSpaceDE/>
        <w:autoSpaceDN/>
        <w:adjustRightInd/>
        <w:ind w:left="0" w:firstLine="0"/>
        <w:jc w:val="left"/>
        <w:textAlignment w:val="auto"/>
        <w:rPr>
          <w:lang w:eastAsia="en-US"/>
        </w:rPr>
      </w:pPr>
      <w:r w:rsidRPr="00340180">
        <w:rPr>
          <w:lang w:eastAsia="en-US"/>
        </w:rPr>
        <w:br w:type="page"/>
      </w:r>
    </w:p>
    <w:p w:rsidR="008048EC" w:rsidRPr="00340180" w:rsidRDefault="008048EC" w:rsidP="00456326">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lastRenderedPageBreak/>
        <w:t>6.</w:t>
      </w:r>
      <w:r w:rsidRPr="00340180">
        <w:rPr>
          <w:lang w:eastAsia="en-US"/>
        </w:rPr>
        <w:tab/>
      </w:r>
      <w:r w:rsidR="00456326" w:rsidRPr="00340180">
        <w:rPr>
          <w:lang w:eastAsia="en-US"/>
        </w:rPr>
        <w:t>Darüber hinaus schlagen EBU und ESO kleinere Änderungen an den Überschriften der Spalten 13 und 14 vor:</w:t>
      </w:r>
    </w:p>
    <w:p w:rsidR="008048EC" w:rsidRPr="00340180" w:rsidRDefault="008048EC" w:rsidP="00456326">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 xml:space="preserve">* </w:t>
      </w:r>
      <w:r w:rsidRPr="00340180">
        <w:rPr>
          <w:lang w:eastAsia="en-US"/>
        </w:rPr>
        <w:tab/>
      </w:r>
      <w:r w:rsidR="00456326" w:rsidRPr="00340180">
        <w:rPr>
          <w:lang w:eastAsia="en-US"/>
        </w:rPr>
        <w:t>Vorschlag zu Spalte 13: Überschrift wie folgt ändern:</w:t>
      </w:r>
      <w:r w:rsidRPr="00340180">
        <w:rPr>
          <w:lang w:eastAsia="en-US"/>
        </w:rPr>
        <w:t xml:space="preserve"> </w:t>
      </w:r>
      <w:r w:rsidR="00456326" w:rsidRPr="00340180">
        <w:rPr>
          <w:lang w:eastAsia="en-US"/>
        </w:rPr>
        <w:t>„Explosionsgruppe/Untergruppe“.</w:t>
      </w:r>
    </w:p>
    <w:p w:rsidR="00340180" w:rsidRPr="00340180" w:rsidRDefault="00340180" w:rsidP="004E0BC3">
      <w:pPr>
        <w:widowControl/>
        <w:tabs>
          <w:tab w:val="left" w:pos="1701"/>
        </w:tabs>
        <w:suppressAutoHyphens/>
        <w:overflowPunct/>
        <w:autoSpaceDE/>
        <w:autoSpaceDN/>
        <w:adjustRightInd/>
        <w:spacing w:after="120" w:line="240" w:lineRule="atLeast"/>
        <w:ind w:right="1134" w:firstLine="0"/>
        <w:textAlignment w:val="auto"/>
        <w:rPr>
          <w:lang w:eastAsia="en-US"/>
        </w:rPr>
      </w:pPr>
    </w:p>
    <w:p w:rsidR="00340180" w:rsidRPr="00340180" w:rsidRDefault="008048EC" w:rsidP="004E0BC3">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w:t>
      </w:r>
      <w:r w:rsidRPr="00340180">
        <w:rPr>
          <w:lang w:eastAsia="en-US"/>
        </w:rPr>
        <w:tab/>
      </w:r>
      <w:r w:rsidR="00456326" w:rsidRPr="00340180">
        <w:rPr>
          <w:lang w:eastAsia="en-US"/>
        </w:rPr>
        <w:t>Vorschlag zu Spalte 14: Überschrift wie folgt ändern:</w:t>
      </w:r>
      <w:r w:rsidRPr="00340180">
        <w:rPr>
          <w:lang w:eastAsia="en-US"/>
        </w:rPr>
        <w:t xml:space="preserve"> </w:t>
      </w:r>
      <w:r w:rsidR="004E0BC3" w:rsidRPr="00340180">
        <w:rPr>
          <w:lang w:eastAsia="en-US"/>
        </w:rPr>
        <w:t>„</w:t>
      </w:r>
      <w:r w:rsidRPr="00340180">
        <w:rPr>
          <w:lang w:eastAsia="en-US"/>
        </w:rPr>
        <w:t xml:space="preserve">Cargo pump </w:t>
      </w:r>
      <w:proofErr w:type="spellStart"/>
      <w:r w:rsidRPr="00340180">
        <w:rPr>
          <w:lang w:eastAsia="en-US"/>
        </w:rPr>
        <w:t>room</w:t>
      </w:r>
      <w:proofErr w:type="spellEnd"/>
      <w:r w:rsidRPr="00340180">
        <w:rPr>
          <w:lang w:eastAsia="en-US"/>
        </w:rPr>
        <w:t xml:space="preserve"> </w:t>
      </w:r>
      <w:proofErr w:type="spellStart"/>
      <w:r w:rsidRPr="00340180">
        <w:rPr>
          <w:lang w:eastAsia="en-US"/>
        </w:rPr>
        <w:t>below</w:t>
      </w:r>
      <w:proofErr w:type="spellEnd"/>
      <w:r w:rsidRPr="00340180">
        <w:rPr>
          <w:lang w:eastAsia="en-US"/>
        </w:rPr>
        <w:t xml:space="preserve"> deck </w:t>
      </w:r>
      <w:proofErr w:type="spellStart"/>
      <w:r w:rsidRPr="00340180">
        <w:rPr>
          <w:lang w:eastAsia="en-US"/>
        </w:rPr>
        <w:t>permitted</w:t>
      </w:r>
      <w:proofErr w:type="spellEnd"/>
      <w:r w:rsidR="004E0BC3" w:rsidRPr="00340180">
        <w:rPr>
          <w:lang w:eastAsia="en-US"/>
        </w:rPr>
        <w:t>“</w:t>
      </w:r>
      <w:r w:rsidRPr="00340180">
        <w:rPr>
          <w:lang w:eastAsia="en-US"/>
        </w:rPr>
        <w:t>.</w:t>
      </w:r>
    </w:p>
    <w:p w:rsidR="008048EC" w:rsidRPr="00340180" w:rsidRDefault="00340180" w:rsidP="004E0BC3">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[Betrifft nicht die deutsche Fassung]</w:t>
      </w:r>
      <w:r w:rsidR="004D26CB" w:rsidRPr="00340180">
        <w:rPr>
          <w:rStyle w:val="FootnoteReference"/>
          <w:lang w:eastAsia="en-US"/>
        </w:rPr>
        <w:footnoteReference w:id="3"/>
      </w:r>
    </w:p>
    <w:p w:rsidR="008048EC" w:rsidRPr="00340180" w:rsidRDefault="00D06429" w:rsidP="004E0BC3">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Begründung:</w:t>
      </w:r>
      <w:r w:rsidR="008048EC" w:rsidRPr="00340180">
        <w:rPr>
          <w:lang w:eastAsia="en-US"/>
        </w:rPr>
        <w:t xml:space="preserve"> </w:t>
      </w:r>
      <w:r w:rsidR="004E0BC3" w:rsidRPr="00340180">
        <w:rPr>
          <w:lang w:eastAsia="en-US"/>
        </w:rPr>
        <w:t xml:space="preserve">„Cargo pump </w:t>
      </w:r>
      <w:proofErr w:type="spellStart"/>
      <w:r w:rsidR="004E0BC3" w:rsidRPr="00340180">
        <w:rPr>
          <w:lang w:eastAsia="en-US"/>
        </w:rPr>
        <w:t>room</w:t>
      </w:r>
      <w:proofErr w:type="spellEnd"/>
      <w:r w:rsidR="004E0BC3" w:rsidRPr="00340180">
        <w:rPr>
          <w:lang w:eastAsia="en-US"/>
        </w:rPr>
        <w:t xml:space="preserve">“ [bzw. </w:t>
      </w:r>
      <w:r w:rsidRPr="00340180">
        <w:rPr>
          <w:lang w:eastAsia="en-US"/>
        </w:rPr>
        <w:t>„Pumpenraum“</w:t>
      </w:r>
      <w:r w:rsidR="004E0BC3" w:rsidRPr="00340180">
        <w:rPr>
          <w:lang w:eastAsia="en-US"/>
        </w:rPr>
        <w:t>]</w:t>
      </w:r>
      <w:r w:rsidRPr="00340180">
        <w:rPr>
          <w:lang w:eastAsia="en-US"/>
        </w:rPr>
        <w:t xml:space="preserve"> ist der in der Begriffsbestimmung in Abschnitt 1.2.1 verwendete Ausdruck.</w:t>
      </w:r>
    </w:p>
    <w:p w:rsidR="008048EC" w:rsidRPr="00340180" w:rsidRDefault="008048EC" w:rsidP="008048E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340180">
        <w:rPr>
          <w:b/>
          <w:sz w:val="28"/>
          <w:lang w:eastAsia="en-US"/>
        </w:rPr>
        <w:tab/>
        <w:t>III.</w:t>
      </w:r>
      <w:r w:rsidRPr="00340180">
        <w:rPr>
          <w:b/>
          <w:sz w:val="28"/>
          <w:lang w:eastAsia="en-US"/>
        </w:rPr>
        <w:tab/>
      </w:r>
      <w:r w:rsidR="00766F2D" w:rsidRPr="00340180">
        <w:rPr>
          <w:b/>
          <w:sz w:val="28"/>
          <w:lang w:eastAsia="en-US"/>
        </w:rPr>
        <w:t>Auswirkung auf die Sicherheit</w:t>
      </w:r>
    </w:p>
    <w:p w:rsidR="008048EC" w:rsidRPr="00340180" w:rsidRDefault="008048EC" w:rsidP="00875A3B">
      <w:pPr>
        <w:widowControl/>
        <w:tabs>
          <w:tab w:val="left" w:pos="1701"/>
        </w:tabs>
        <w:suppressAutoHyphens/>
        <w:overflowPunct/>
        <w:autoSpaceDE/>
        <w:autoSpaceDN/>
        <w:adjustRightInd/>
        <w:spacing w:after="120" w:line="240" w:lineRule="atLeast"/>
        <w:ind w:right="1134" w:firstLine="0"/>
        <w:textAlignment w:val="auto"/>
        <w:rPr>
          <w:lang w:eastAsia="en-US"/>
        </w:rPr>
      </w:pPr>
      <w:r w:rsidRPr="00340180">
        <w:rPr>
          <w:lang w:eastAsia="en-US"/>
        </w:rPr>
        <w:t>7.</w:t>
      </w:r>
      <w:r w:rsidRPr="00340180">
        <w:rPr>
          <w:lang w:eastAsia="en-US"/>
        </w:rPr>
        <w:tab/>
      </w:r>
      <w:r w:rsidR="00D06429" w:rsidRPr="00340180">
        <w:rPr>
          <w:lang w:eastAsia="en-US"/>
        </w:rPr>
        <w:t xml:space="preserve">Der </w:t>
      </w:r>
      <w:r w:rsidR="004B5AAD" w:rsidRPr="00340180">
        <w:rPr>
          <w:lang w:eastAsia="en-US"/>
        </w:rPr>
        <w:t xml:space="preserve">Vorschlag lässt den </w:t>
      </w:r>
      <w:r w:rsidR="00D06429" w:rsidRPr="00340180">
        <w:rPr>
          <w:lang w:eastAsia="en-US"/>
        </w:rPr>
        <w:t>Zweck diese</w:t>
      </w:r>
      <w:r w:rsidR="00875A3B" w:rsidRPr="00340180">
        <w:rPr>
          <w:lang w:eastAsia="en-US"/>
        </w:rPr>
        <w:t>r</w:t>
      </w:r>
      <w:r w:rsidR="00D06429" w:rsidRPr="00340180">
        <w:rPr>
          <w:lang w:eastAsia="en-US"/>
        </w:rPr>
        <w:t xml:space="preserve"> </w:t>
      </w:r>
      <w:r w:rsidR="00875A3B" w:rsidRPr="00340180">
        <w:rPr>
          <w:lang w:eastAsia="en-US"/>
        </w:rPr>
        <w:t>Absätze</w:t>
      </w:r>
      <w:r w:rsidR="00D06429" w:rsidRPr="00340180">
        <w:rPr>
          <w:lang w:eastAsia="en-US"/>
        </w:rPr>
        <w:t xml:space="preserve"> grundsätzlich </w:t>
      </w:r>
      <w:r w:rsidR="00875A3B" w:rsidRPr="00340180">
        <w:rPr>
          <w:lang w:eastAsia="en-US"/>
        </w:rPr>
        <w:t>un</w:t>
      </w:r>
      <w:r w:rsidR="00D06429" w:rsidRPr="00340180">
        <w:rPr>
          <w:lang w:eastAsia="en-US"/>
        </w:rPr>
        <w:t>berührt</w:t>
      </w:r>
      <w:r w:rsidR="004B5AAD" w:rsidRPr="00340180">
        <w:rPr>
          <w:lang w:eastAsia="en-US"/>
        </w:rPr>
        <w:t xml:space="preserve"> und hat keine Auswirkungen auf die Sicherheit.</w:t>
      </w:r>
      <w:r w:rsidRPr="00340180">
        <w:rPr>
          <w:lang w:eastAsia="en-US"/>
        </w:rPr>
        <w:t xml:space="preserve"> </w:t>
      </w:r>
      <w:r w:rsidR="00875A3B" w:rsidRPr="00340180">
        <w:rPr>
          <w:lang w:eastAsia="en-US"/>
        </w:rPr>
        <w:t>Als positiver Effekt wird erwartet, dass Tabelle C von den Personen an Bord besser verstanden wird und die Arbeit mit dieser Tabelle erleichtert wird.</w:t>
      </w:r>
    </w:p>
    <w:p w:rsidR="00CE5EB3" w:rsidRPr="00340180" w:rsidRDefault="004F60A5" w:rsidP="004F60A5">
      <w:pPr>
        <w:spacing w:before="120"/>
        <w:ind w:left="0" w:firstLine="0"/>
        <w:jc w:val="center"/>
        <w:rPr>
          <w:lang w:eastAsia="en-US"/>
        </w:rPr>
      </w:pPr>
      <w:r w:rsidRPr="00340180">
        <w:rPr>
          <w:lang w:eastAsia="en-US"/>
        </w:rPr>
        <w:t>***</w:t>
      </w:r>
    </w:p>
    <w:sectPr w:rsidR="00CE5EB3" w:rsidRPr="00340180" w:rsidSect="004F60A5">
      <w:headerReference w:type="even" r:id="rId9"/>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01E" w:rsidRDefault="0012501E" w:rsidP="004221FE">
      <w:r>
        <w:separator/>
      </w:r>
    </w:p>
  </w:endnote>
  <w:endnote w:type="continuationSeparator" w:id="0">
    <w:p w:rsidR="0012501E" w:rsidRDefault="0012501E"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FE" w:rsidRPr="004F60A5" w:rsidRDefault="003B73CC"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Pr>
        <w:rFonts w:ascii="Arial" w:hAnsi="Arial"/>
        <w:noProof/>
        <w:snapToGrid w:val="0"/>
        <w:sz w:val="12"/>
        <w:szCs w:val="24"/>
        <w:lang w:val="en-US"/>
      </w:rPr>
      <w:t>m</w:t>
    </w:r>
    <w:r w:rsidR="004221FE" w:rsidRPr="004F60A5">
      <w:rPr>
        <w:rFonts w:ascii="Arial" w:hAnsi="Arial"/>
        <w:noProof/>
        <w:snapToGrid w:val="0"/>
        <w:sz w:val="12"/>
        <w:szCs w:val="24"/>
        <w:lang w:val="en-US"/>
      </w:rPr>
      <w:t>m</w:t>
    </w:r>
    <w:r>
      <w:rPr>
        <w:rFonts w:ascii="Arial" w:hAnsi="Arial"/>
        <w:noProof/>
        <w:snapToGrid w:val="0"/>
        <w:sz w:val="12"/>
        <w:szCs w:val="24"/>
        <w:lang w:val="en-US"/>
      </w:rPr>
      <w:t>_ba</w:t>
    </w:r>
    <w:r w:rsidR="004221FE" w:rsidRPr="004F60A5">
      <w:rPr>
        <w:rFonts w:ascii="Arial" w:hAnsi="Arial"/>
        <w:noProof/>
        <w:snapToGrid w:val="0"/>
        <w:sz w:val="12"/>
        <w:szCs w:val="24"/>
        <w:lang w:val="en-US"/>
      </w:rPr>
      <w:t>/adn_wp15_ac2_2019_</w:t>
    </w:r>
    <w:r>
      <w:rPr>
        <w:rFonts w:ascii="Arial" w:hAnsi="Arial"/>
        <w:noProof/>
        <w:snapToGrid w:val="0"/>
        <w:sz w:val="12"/>
        <w:szCs w:val="24"/>
        <w:lang w:val="en-US"/>
      </w:rPr>
      <w:t>13</w:t>
    </w:r>
    <w:r w:rsidR="004221FE"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01E" w:rsidRDefault="0012501E" w:rsidP="004221FE">
      <w:r>
        <w:separator/>
      </w:r>
    </w:p>
  </w:footnote>
  <w:footnote w:type="continuationSeparator" w:id="0">
    <w:p w:rsidR="0012501E" w:rsidRDefault="0012501E" w:rsidP="004221FE">
      <w:r>
        <w:continuationSeparator/>
      </w:r>
    </w:p>
  </w:footnote>
  <w:footnote w:id="1">
    <w:p w:rsidR="008048EC" w:rsidRPr="004F60A5" w:rsidRDefault="008048EC" w:rsidP="008048EC">
      <w:pPr>
        <w:pStyle w:val="FootnoteText"/>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Von der UN-ECE in Englisch, Französisch und Russisch unter dem Aktenzeichen ECE/TRANS/WP.15/AC.2/2019/</w:t>
      </w:r>
      <w:r>
        <w:rPr>
          <w:rFonts w:ascii="Times New Roman" w:hAnsi="Times New Roman" w:cs="Times New Roman"/>
          <w:sz w:val="16"/>
          <w:szCs w:val="16"/>
        </w:rPr>
        <w:t>13</w:t>
      </w:r>
      <w:r w:rsidRPr="004F60A5">
        <w:rPr>
          <w:rFonts w:ascii="Times New Roman" w:hAnsi="Times New Roman" w:cs="Times New Roman"/>
          <w:sz w:val="16"/>
          <w:szCs w:val="16"/>
        </w:rPr>
        <w:t xml:space="preserve"> verteilt.</w:t>
      </w:r>
    </w:p>
  </w:footnote>
  <w:footnote w:id="2">
    <w:p w:rsidR="008048EC" w:rsidRPr="004F60A5" w:rsidRDefault="008048EC" w:rsidP="008048EC">
      <w:pPr>
        <w:pStyle w:val="FootnoteText"/>
        <w:tabs>
          <w:tab w:val="left" w:pos="284"/>
        </w:tabs>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Entsprechend dem Arbeitsprogramm des Binnenverkehrsausschusses für 2018-2019 (ECE/TRANS/2018/21/Add.1, (9.3.)).</w:t>
      </w:r>
    </w:p>
  </w:footnote>
  <w:footnote w:id="3">
    <w:p w:rsidR="004D26CB" w:rsidRPr="00450DFE" w:rsidRDefault="004D26CB" w:rsidP="004D6D89">
      <w:pPr>
        <w:pStyle w:val="FootnoteText"/>
        <w:tabs>
          <w:tab w:val="left" w:pos="2977"/>
        </w:tabs>
        <w:ind w:left="2977" w:hanging="2977"/>
        <w:rPr>
          <w:rFonts w:ascii="Times New Roman" w:hAnsi="Times New Roman" w:cs="Times New Roman"/>
          <w:sz w:val="18"/>
          <w:szCs w:val="18"/>
        </w:rPr>
      </w:pPr>
      <w:r w:rsidRPr="004D26CB">
        <w:rPr>
          <w:rStyle w:val="FootnoteReference"/>
          <w:sz w:val="20"/>
          <w:szCs w:val="20"/>
        </w:rPr>
        <w:footnoteRef/>
      </w:r>
      <w:r w:rsidRPr="004D26CB">
        <w:rPr>
          <w:rFonts w:ascii="Times New Roman" w:hAnsi="Times New Roman" w:cs="Times New Roman"/>
        </w:rPr>
        <w:t xml:space="preserve"> </w:t>
      </w:r>
      <w:r w:rsidRPr="00450DFE">
        <w:rPr>
          <w:rFonts w:ascii="Times New Roman" w:hAnsi="Times New Roman" w:cs="Times New Roman"/>
          <w:sz w:val="18"/>
          <w:szCs w:val="18"/>
        </w:rPr>
        <w:t xml:space="preserve">Anmerkung des ZKR-Sekretariats: </w:t>
      </w:r>
      <w:r w:rsidR="004D6D89">
        <w:rPr>
          <w:rFonts w:ascii="Times New Roman" w:hAnsi="Times New Roman" w:cs="Times New Roman"/>
          <w:sz w:val="18"/>
          <w:szCs w:val="18"/>
        </w:rPr>
        <w:tab/>
      </w:r>
      <w:r w:rsidRPr="00450DFE">
        <w:rPr>
          <w:rFonts w:ascii="Times New Roman" w:hAnsi="Times New Roman" w:cs="Times New Roman"/>
          <w:sz w:val="18"/>
          <w:szCs w:val="18"/>
        </w:rPr>
        <w:t>Im ADN wird „</w:t>
      </w:r>
      <w:proofErr w:type="spellStart"/>
      <w:r w:rsidRPr="00450DFE">
        <w:rPr>
          <w:rFonts w:ascii="Times New Roman" w:hAnsi="Times New Roman" w:cs="Times New Roman"/>
          <w:sz w:val="18"/>
          <w:szCs w:val="18"/>
        </w:rPr>
        <w:t>cargo</w:t>
      </w:r>
      <w:proofErr w:type="spellEnd"/>
      <w:r w:rsidRPr="00450DFE">
        <w:rPr>
          <w:rFonts w:ascii="Times New Roman" w:hAnsi="Times New Roman" w:cs="Times New Roman"/>
          <w:sz w:val="18"/>
          <w:szCs w:val="18"/>
        </w:rPr>
        <w:t xml:space="preserve"> pump </w:t>
      </w:r>
      <w:proofErr w:type="spellStart"/>
      <w:r w:rsidRPr="00450DFE">
        <w:rPr>
          <w:rFonts w:ascii="Times New Roman" w:hAnsi="Times New Roman" w:cs="Times New Roman"/>
          <w:sz w:val="18"/>
          <w:szCs w:val="18"/>
        </w:rPr>
        <w:t>room</w:t>
      </w:r>
      <w:proofErr w:type="spellEnd"/>
      <w:r w:rsidRPr="00450DFE">
        <w:rPr>
          <w:rFonts w:ascii="Times New Roman" w:hAnsi="Times New Roman" w:cs="Times New Roman"/>
          <w:sz w:val="18"/>
          <w:szCs w:val="18"/>
        </w:rPr>
        <w:t>“ generell (nur) mit „Pumpenraum“ übersetzt, daher: [Betrifft nicht die deutsche Sprachfassung]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8048EC">
      <w:rPr>
        <w:rFonts w:ascii="Arial" w:hAnsi="Arial" w:cs="Arial"/>
        <w:sz w:val="16"/>
        <w:szCs w:val="16"/>
        <w:lang w:val="en-GB" w:eastAsia="en-US"/>
      </w:rPr>
      <w:t>13</w:t>
    </w:r>
  </w:p>
  <w:p w:rsidR="004F60A5" w:rsidRDefault="004F60A5" w:rsidP="004F60A5">
    <w:pPr>
      <w:widowControl/>
      <w:tabs>
        <w:tab w:val="center" w:pos="4320"/>
        <w:tab w:val="right" w:pos="8640"/>
      </w:tabs>
      <w:overflowPunct/>
      <w:autoSpaceDE/>
      <w:autoSpaceDN/>
      <w:adjustRightInd/>
      <w:ind w:left="0" w:firstLine="0"/>
      <w:jc w:val="lef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4D6D89">
      <w:rPr>
        <w:rFonts w:ascii="Arial" w:hAnsi="Arial" w:cs="Arial"/>
        <w:noProof/>
        <w:sz w:val="16"/>
        <w:szCs w:val="16"/>
        <w:lang w:val="en-GB" w:eastAsia="en-US"/>
      </w:rPr>
      <w:t>2</w:t>
    </w:r>
    <w:r w:rsidRPr="004F60A5">
      <w:rPr>
        <w:rFonts w:ascii="Arial" w:hAnsi="Arial" w:cs="Arial"/>
        <w:sz w:val="16"/>
        <w:szCs w:val="16"/>
        <w:lang w:val="en-GB" w:eastAsia="en-US"/>
      </w:rPr>
      <w:fldChar w:fldCharType="end"/>
    </w:r>
  </w:p>
  <w:p w:rsidR="004F60A5" w:rsidRDefault="004F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4D26CB">
      <w:rPr>
        <w:rFonts w:ascii="Arial" w:hAnsi="Arial" w:cs="Arial"/>
        <w:sz w:val="16"/>
        <w:szCs w:val="16"/>
        <w:lang w:val="en-GB" w:eastAsia="en-US"/>
      </w:rPr>
      <w:t>13</w:t>
    </w:r>
  </w:p>
  <w:p w:rsidR="004F60A5" w:rsidRDefault="004F60A5"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4D6D89">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3"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4"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D"/>
    <w:rsid w:val="0009215A"/>
    <w:rsid w:val="000A100D"/>
    <w:rsid w:val="000C6E63"/>
    <w:rsid w:val="001048FB"/>
    <w:rsid w:val="0012501E"/>
    <w:rsid w:val="00135EED"/>
    <w:rsid w:val="001765A8"/>
    <w:rsid w:val="0019756F"/>
    <w:rsid w:val="001D04CD"/>
    <w:rsid w:val="001D4EA7"/>
    <w:rsid w:val="002036D6"/>
    <w:rsid w:val="00276FBA"/>
    <w:rsid w:val="002D6077"/>
    <w:rsid w:val="00340180"/>
    <w:rsid w:val="00381F75"/>
    <w:rsid w:val="003B73CC"/>
    <w:rsid w:val="00403268"/>
    <w:rsid w:val="004221FE"/>
    <w:rsid w:val="00450DFE"/>
    <w:rsid w:val="00456326"/>
    <w:rsid w:val="00470E04"/>
    <w:rsid w:val="004B5AAD"/>
    <w:rsid w:val="004D26CB"/>
    <w:rsid w:val="004D6D89"/>
    <w:rsid w:val="004E0BC3"/>
    <w:rsid w:val="004F3526"/>
    <w:rsid w:val="004F60A5"/>
    <w:rsid w:val="00523934"/>
    <w:rsid w:val="00591A7D"/>
    <w:rsid w:val="005A4D75"/>
    <w:rsid w:val="00643AEA"/>
    <w:rsid w:val="00654B8D"/>
    <w:rsid w:val="00684273"/>
    <w:rsid w:val="007343D3"/>
    <w:rsid w:val="007363C1"/>
    <w:rsid w:val="00751575"/>
    <w:rsid w:val="00766F2D"/>
    <w:rsid w:val="007A0E7A"/>
    <w:rsid w:val="008048EC"/>
    <w:rsid w:val="0081424F"/>
    <w:rsid w:val="00845690"/>
    <w:rsid w:val="00875A3B"/>
    <w:rsid w:val="00875D76"/>
    <w:rsid w:val="00897993"/>
    <w:rsid w:val="008A09F3"/>
    <w:rsid w:val="0090054D"/>
    <w:rsid w:val="009078F3"/>
    <w:rsid w:val="0094521D"/>
    <w:rsid w:val="009647DB"/>
    <w:rsid w:val="009C616D"/>
    <w:rsid w:val="00A27ED5"/>
    <w:rsid w:val="00A41413"/>
    <w:rsid w:val="00B4533C"/>
    <w:rsid w:val="00B63D15"/>
    <w:rsid w:val="00C13835"/>
    <w:rsid w:val="00C33BD8"/>
    <w:rsid w:val="00CA7730"/>
    <w:rsid w:val="00CE5EB3"/>
    <w:rsid w:val="00D06429"/>
    <w:rsid w:val="00D53DC3"/>
    <w:rsid w:val="00D54645"/>
    <w:rsid w:val="00DB57E7"/>
    <w:rsid w:val="00DC1AB6"/>
    <w:rsid w:val="00DE7A06"/>
    <w:rsid w:val="00DF22B9"/>
    <w:rsid w:val="00E45CFC"/>
    <w:rsid w:val="00ED557F"/>
    <w:rsid w:val="00F904E1"/>
    <w:rsid w:val="00FD3B3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223E8DC-9395-444E-9C76-33A61737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rsid w:val="001D04CD"/>
    <w:rPr>
      <w:rFonts w:ascii="Arial" w:hAnsi="Arial" w:cs="Arial"/>
    </w:rPr>
  </w:style>
  <w:style w:type="character" w:styleId="CommentReference">
    <w:name w:val="annotation reference"/>
    <w:basedOn w:val="DefaultParagraphFont"/>
    <w:rsid w:val="00D06429"/>
    <w:rPr>
      <w:sz w:val="16"/>
      <w:szCs w:val="16"/>
    </w:rPr>
  </w:style>
  <w:style w:type="paragraph" w:styleId="CommentText">
    <w:name w:val="annotation text"/>
    <w:basedOn w:val="Normal"/>
    <w:link w:val="CommentTextChar"/>
    <w:rsid w:val="00D06429"/>
  </w:style>
  <w:style w:type="character" w:customStyle="1" w:styleId="CommentTextChar">
    <w:name w:val="Comment Text Char"/>
    <w:basedOn w:val="DefaultParagraphFont"/>
    <w:link w:val="CommentText"/>
    <w:rsid w:val="00D06429"/>
    <w:rPr>
      <w:lang w:eastAsia="fr-FR"/>
    </w:rPr>
  </w:style>
  <w:style w:type="paragraph" w:styleId="CommentSubject">
    <w:name w:val="annotation subject"/>
    <w:basedOn w:val="CommentText"/>
    <w:next w:val="CommentText"/>
    <w:link w:val="CommentSubjectChar"/>
    <w:rsid w:val="00D06429"/>
    <w:rPr>
      <w:b/>
      <w:bCs/>
    </w:rPr>
  </w:style>
  <w:style w:type="character" w:customStyle="1" w:styleId="CommentSubjectChar">
    <w:name w:val="Comment Subject Char"/>
    <w:basedOn w:val="CommentTextChar"/>
    <w:link w:val="CommentSubject"/>
    <w:rsid w:val="00D06429"/>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360F-41E5-4A40-9D76-C5BF4523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3498</Characters>
  <Application>Microsoft Office Word</Application>
  <DocSecurity>0</DocSecurity>
  <Lines>29</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2018-11-12T07:03:00Z</cp:lastPrinted>
  <dcterms:created xsi:type="dcterms:W3CDTF">2018-12-04T07:12:00Z</dcterms:created>
  <dcterms:modified xsi:type="dcterms:W3CDTF">2018-12-04T07:12:00Z</dcterms:modified>
</cp:coreProperties>
</file>