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129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129BD" w:rsidP="00F129BD">
            <w:pPr>
              <w:jc w:val="right"/>
            </w:pPr>
            <w:r w:rsidRPr="00F129BD">
              <w:rPr>
                <w:sz w:val="40"/>
              </w:rPr>
              <w:t>ECE</w:t>
            </w:r>
            <w:r>
              <w:t>/TRANS/WP.15/AC.2/2019/6</w:t>
            </w:r>
          </w:p>
        </w:tc>
      </w:tr>
      <w:tr w:rsidR="002D5AAC" w:rsidRPr="00D9218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129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129BD" w:rsidRDefault="00F129BD" w:rsidP="00F129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October 2018</w:t>
            </w:r>
          </w:p>
          <w:p w:rsidR="00F129BD" w:rsidRDefault="00F129BD" w:rsidP="00F129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129BD" w:rsidRPr="008D53B6" w:rsidRDefault="00F129BD" w:rsidP="00F129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F129B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A5B18" w:rsidRPr="00DA5B18" w:rsidRDefault="00DA5B18" w:rsidP="00DA5B18">
      <w:pPr>
        <w:spacing w:before="120"/>
        <w:rPr>
          <w:sz w:val="28"/>
          <w:szCs w:val="28"/>
        </w:rPr>
      </w:pPr>
      <w:r w:rsidRPr="00DA5B18">
        <w:rPr>
          <w:sz w:val="28"/>
          <w:szCs w:val="28"/>
        </w:rPr>
        <w:t>Комитет по внутреннему транспорту</w:t>
      </w:r>
    </w:p>
    <w:p w:rsidR="00DA5B18" w:rsidRPr="00DA5B18" w:rsidRDefault="00DA5B18" w:rsidP="00DA5B18">
      <w:pPr>
        <w:spacing w:before="120"/>
        <w:rPr>
          <w:b/>
          <w:sz w:val="24"/>
          <w:szCs w:val="24"/>
        </w:rPr>
      </w:pPr>
      <w:r w:rsidRPr="00DA5B18">
        <w:rPr>
          <w:b/>
          <w:bCs/>
          <w:sz w:val="24"/>
          <w:szCs w:val="24"/>
        </w:rPr>
        <w:t>Рабочая группа по перевозкам опасных грузов</w:t>
      </w:r>
    </w:p>
    <w:p w:rsidR="00DA5B18" w:rsidRPr="00E15273" w:rsidRDefault="00DA5B18" w:rsidP="00DA5B18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DA5B18" w:rsidRPr="00E15273" w:rsidRDefault="00DA5B18" w:rsidP="00DA5B18">
      <w:pPr>
        <w:spacing w:before="120"/>
        <w:rPr>
          <w:b/>
        </w:rPr>
      </w:pPr>
      <w:r>
        <w:rPr>
          <w:b/>
          <w:bCs/>
        </w:rPr>
        <w:t>Тридцать четвертая сессия</w:t>
      </w:r>
    </w:p>
    <w:p w:rsidR="00DA5B18" w:rsidRPr="00E15273" w:rsidRDefault="00DA5B18" w:rsidP="00DA5B18">
      <w:r>
        <w:t>Женева, 21–25 января 2019 года</w:t>
      </w:r>
    </w:p>
    <w:p w:rsidR="00DA5B18" w:rsidRPr="00E15273" w:rsidRDefault="00DA5B18" w:rsidP="00DA5B18">
      <w:r>
        <w:t>Пункт 5 b) предварительной повестки дня</w:t>
      </w:r>
    </w:p>
    <w:p w:rsidR="00DA5B18" w:rsidRPr="00E15273" w:rsidRDefault="00DA5B18" w:rsidP="00DA5B18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 другие предложения</w:t>
      </w:r>
    </w:p>
    <w:p w:rsidR="00DA5B18" w:rsidRPr="00E15273" w:rsidRDefault="00DA5B18" w:rsidP="00DA5B18">
      <w:pPr>
        <w:pStyle w:val="HChG"/>
      </w:pPr>
      <w:r>
        <w:tab/>
      </w:r>
      <w:r>
        <w:tab/>
      </w:r>
      <w:r>
        <w:rPr>
          <w:bCs/>
        </w:rPr>
        <w:t>Раздел 7.1.7 ВОПОГ – Специальные положения, применимые к перевозке самореактивных веществ класса 4.1, органических пероксидов класса 5.2 и веществ, стабилизируемых путем регулирования температуры (за исключением самореактивных веществ и органических пероксидов</w:t>
      </w:r>
      <w:r>
        <w:t>)</w:t>
      </w:r>
    </w:p>
    <w:p w:rsidR="00DA5B18" w:rsidRDefault="00DA5B18" w:rsidP="00DA5B18">
      <w:pPr>
        <w:pStyle w:val="H1G"/>
        <w:keepNext w:val="0"/>
        <w:rPr>
          <w:b w:val="0"/>
          <w:sz w:val="20"/>
          <w:lang w:val="en-US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DA5B1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DA5B18">
        <w:rPr>
          <w:b w:val="0"/>
          <w:lang w:val="en-US"/>
        </w:rPr>
        <w:t xml:space="preserve"> </w:t>
      </w:r>
      <w:r w:rsidRPr="00DA5B18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A5B18" w:rsidRPr="00DA5B18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DA5B18" w:rsidRPr="00DA5B18" w:rsidRDefault="00DA5B1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A5B18">
              <w:rPr>
                <w:rFonts w:cs="Times New Roman"/>
              </w:rPr>
              <w:tab/>
            </w:r>
            <w:r w:rsidRPr="00DA5B1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A5B18" w:rsidRPr="00DA5B1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A5B18" w:rsidRPr="00DA5B18" w:rsidRDefault="00DA5B18" w:rsidP="00DA5B18">
            <w:pPr>
              <w:pStyle w:val="SingleTxtG"/>
              <w:ind w:left="3645" w:hanging="2511"/>
              <w:rPr>
                <w:bCs/>
              </w:rPr>
            </w:pPr>
            <w:r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 w:rsidRPr="00DA5B18">
              <w:t>В ходе своей тридцать третьей сессии Комитет по вопросам безопасности утвердил для ВОПОГ 2019 года новый раздел 7.1.7 в рамках согласования с требованиями ДОПОГ.</w:t>
            </w:r>
          </w:p>
          <w:p w:rsidR="00DA5B18" w:rsidRPr="00DA5B18" w:rsidRDefault="00DA5B18" w:rsidP="00DA5B18">
            <w:pPr>
              <w:pStyle w:val="SingleTxtG"/>
              <w:ind w:left="3645" w:hanging="2511"/>
            </w:pPr>
            <w:r>
              <w:tab/>
            </w:r>
            <w:r w:rsidRPr="00DA5B18">
              <w:t>На той сессии Германия уже поднимала ряд вопросов, касающихся надлежащего распределения обязанностей, предусмотренных в разделе 7.1.7, и ей было предложено представить для тридцать четвертой сессии официальное предложение.</w:t>
            </w:r>
          </w:p>
        </w:tc>
      </w:tr>
      <w:tr w:rsidR="00DA5B18" w:rsidRPr="00DA5B1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A5B18" w:rsidRPr="00DA5B18" w:rsidRDefault="00DA5B18" w:rsidP="00DA5B18">
            <w:pPr>
              <w:pStyle w:val="SingleTxtG"/>
              <w:ind w:left="3645" w:hanging="2511"/>
            </w:pPr>
            <w:r>
              <w:rPr>
                <w:b/>
                <w:bCs/>
              </w:rPr>
              <w:lastRenderedPageBreak/>
              <w:t>Предлагаемое решение:</w:t>
            </w:r>
            <w:r>
              <w:rPr>
                <w:b/>
                <w:bCs/>
              </w:rPr>
              <w:tab/>
            </w:r>
            <w:r>
              <w:t>Согласование общего понимания обязанностей, вытекающих из раздела 7.1.7;</w:t>
            </w:r>
            <w:r w:rsidRPr="00DA5B18">
              <w:t xml:space="preserve"> </w:t>
            </w:r>
            <w:r>
              <w:t>дополнение к обязанностям грузоотправителя, предусмотренным в пункте 1.4.2.2.1; включение в пункт 7.1.7.4.2 дополнительной обязанности, касающейся документации; новое требование в отношении укладки «HA11» в пункте 7.1.6.14.</w:t>
            </w:r>
          </w:p>
        </w:tc>
      </w:tr>
      <w:tr w:rsidR="00DA5B18" w:rsidRPr="00DA5B1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DA5B18" w:rsidRDefault="00DA5B18" w:rsidP="00DA5B18">
            <w:pPr>
              <w:pStyle w:val="SingleTxtG"/>
              <w:ind w:left="3645" w:hanging="2511"/>
              <w:rPr>
                <w:b/>
                <w:bCs/>
              </w:rPr>
            </w:pPr>
            <w:r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>
              <w:t>Неофициальный документ INF.12 (Германия), представленный на тридцать третьей сессии;</w:t>
            </w:r>
            <w:r w:rsidRPr="00DA5B18">
              <w:t xml:space="preserve"> </w:t>
            </w:r>
            <w:r>
              <w:t>ECE/TRANS/WP.15/AC.2/68 (доклад о работе тридцать третьей сессии Комитета по вопросам безопасности ВОПОГ, пункты 38 и 39).</w:t>
            </w:r>
          </w:p>
        </w:tc>
      </w:tr>
      <w:tr w:rsidR="00DA5B18" w:rsidRPr="00DA5B18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DA5B18" w:rsidRPr="00DA5B18" w:rsidRDefault="00DA5B18" w:rsidP="00850215">
            <w:pPr>
              <w:rPr>
                <w:rFonts w:cs="Times New Roman"/>
              </w:rPr>
            </w:pPr>
          </w:p>
        </w:tc>
      </w:tr>
    </w:tbl>
    <w:p w:rsidR="00DA5B18" w:rsidRPr="00E15273" w:rsidRDefault="00DA5B18" w:rsidP="00DA5B18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:rsidR="00DA5B18" w:rsidRPr="00E15273" w:rsidRDefault="00DA5B18" w:rsidP="00DA5B18">
      <w:pPr>
        <w:pStyle w:val="SingleTxtG"/>
      </w:pPr>
      <w:r>
        <w:t>1.</w:t>
      </w:r>
      <w:r>
        <w:tab/>
        <w:t>В разделе 7.1.7.4 содержатся конкретные обязанности предприятий, участвующих в перевозках грузовых транспортных единиц в режиме регулирования температуры. Делегация Германии считает, что недостаточно ясно, на какое предприятие, участвующее в перевозках, возлагаются эти обязанности. На тридцать третьей сессии Комитета по вопросам безопасности некоторые делегации высказались за подход, в соответствии с которым распределение обязанностей могло бы быть документально подтверждено в форме конкретного понимания Комитетом по вопросам безопасности ВОПОГ.</w:t>
      </w:r>
    </w:p>
    <w:p w:rsidR="00DA5B18" w:rsidRPr="00E15273" w:rsidRDefault="00DA5B18" w:rsidP="00DA5B18">
      <w:pPr>
        <w:pStyle w:val="SingleTxtG"/>
      </w:pPr>
      <w:r>
        <w:t>2.</w:t>
      </w:r>
      <w:r>
        <w:tab/>
        <w:t>В ответ на вышеупомянутую просьбу, сформулированную на тридцать третьей сессии, делегация Германии согласовала с делегацией Нидерландов общее понимание распределения обязанностей, вытекающих из раздела 7.1.7.</w:t>
      </w:r>
    </w:p>
    <w:p w:rsidR="00DA5B18" w:rsidRPr="00E15273" w:rsidRDefault="00DA5B18" w:rsidP="00DA5B18">
      <w:pPr>
        <w:pStyle w:val="SingleTxtG"/>
      </w:pPr>
      <w:r>
        <w:t>3.</w:t>
      </w:r>
      <w:r>
        <w:tab/>
        <w:t>Было отмечено, что большинство обязаннос</w:t>
      </w:r>
      <w:r w:rsidR="002E1A28">
        <w:t>тей, перечисленных в подразделе </w:t>
      </w:r>
      <w:r>
        <w:t>7.1.7.4, можно уже сейчас распределить среди некоторых предприятий без прямой ссылки в главе 1.4. Некоторые обязательства, однако, следовало бы прямо указать в перечне, содержащемся в главе 1.4. Такое распределение обязанностей и предлагаемые изменения представлены в нижеследующей таблице.</w:t>
      </w:r>
    </w:p>
    <w:p w:rsidR="00DA5B18" w:rsidRPr="00E15273" w:rsidRDefault="00DA5B18" w:rsidP="00DA5B18">
      <w:pPr>
        <w:pStyle w:val="SingleTxtG"/>
      </w:pPr>
      <w:r>
        <w:t>4.</w:t>
      </w:r>
      <w:r>
        <w:tab/>
        <w:t>С учетом того, что контейнеры с грузами, перевозимыми при регулируемой температуре, в частности, должны быть постоянно доступны на судне, чтобы иметь возможность производить регистрацию температуры и, в случае необходимости, ремонт системы охлаждения, предлагается включить в ВОПОГ дополнительное требование по укладке и распространить его действие на некоторые номера ООН.</w:t>
      </w:r>
    </w:p>
    <w:p w:rsidR="00DA5B18" w:rsidRPr="00E15273" w:rsidRDefault="00DA5B18" w:rsidP="00DA5B18">
      <w:pPr>
        <w:pStyle w:val="SingleTxtG"/>
      </w:pPr>
      <w:r>
        <w:t>5.</w:t>
      </w:r>
      <w:r>
        <w:tab/>
        <w:t>Требования пункта 7.1.4.4.4, касающиеся подсоединения электрических кабелей, считаются достаточными и для системы охлаждения, описанной в пункте 7.1.7.4.5.</w:t>
      </w:r>
    </w:p>
    <w:p w:rsidR="00DA5B18" w:rsidRPr="00E15273" w:rsidRDefault="00DA5B18" w:rsidP="00DA5B18">
      <w:pPr>
        <w:pStyle w:val="HChG"/>
      </w:pPr>
      <w:r>
        <w:tab/>
      </w:r>
      <w:r>
        <w:tab/>
      </w:r>
      <w:r>
        <w:rPr>
          <w:bCs/>
        </w:rPr>
        <w:t>Распределение обязанностей</w:t>
      </w:r>
    </w:p>
    <w:p w:rsidR="00DA5B18" w:rsidRPr="00E15273" w:rsidRDefault="00DA5B18" w:rsidP="00DA5B18">
      <w:pPr>
        <w:pStyle w:val="SingleTxtG"/>
        <w:rPr>
          <w:iCs/>
        </w:rPr>
      </w:pPr>
      <w:r>
        <w:t>6.</w:t>
      </w:r>
      <w:r>
        <w:tab/>
        <w:t>Германия предлагает Комитету по вопросам безопасности ВОПОГ рассмотреть предложение о распределени</w:t>
      </w:r>
      <w:r w:rsidR="00F5130E">
        <w:t>и</w:t>
      </w:r>
      <w:r>
        <w:t xml:space="preserve"> обязанностей, вытекающих из раздела 7.1.7, и утвердить его, а затем внести предлагаемые изменения в главу 1.4.</w:t>
      </w:r>
    </w:p>
    <w:tbl>
      <w:tblPr>
        <w:tblStyle w:val="TableGrid4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69"/>
        <w:gridCol w:w="1749"/>
        <w:gridCol w:w="2381"/>
        <w:gridCol w:w="20"/>
      </w:tblGrid>
      <w:tr w:rsidR="00DA5B18" w:rsidRPr="00DA5B18" w:rsidTr="00DA5B1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A5B18" w:rsidRPr="00DA5B18" w:rsidRDefault="00DA5B18" w:rsidP="00DA5B18">
            <w:pPr>
              <w:suppressAutoHyphens w:val="0"/>
              <w:spacing w:before="80" w:after="80" w:line="200" w:lineRule="exact"/>
              <w:ind w:left="11"/>
              <w:rPr>
                <w:rFonts w:cs="Times New Roman"/>
                <w:i/>
                <w:sz w:val="16"/>
              </w:rPr>
            </w:pPr>
            <w:r w:rsidRPr="00DA5B18">
              <w:rPr>
                <w:rFonts w:cs="Times New Roman"/>
                <w:i/>
                <w:sz w:val="16"/>
              </w:rPr>
              <w:t>Пункт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A5B18" w:rsidRPr="00DA5B18" w:rsidRDefault="00DA5B18" w:rsidP="00DA5B18">
            <w:pPr>
              <w:suppressAutoHyphens w:val="0"/>
              <w:spacing w:before="80" w:after="80" w:line="200" w:lineRule="exact"/>
              <w:ind w:left="11"/>
              <w:rPr>
                <w:rFonts w:cs="Times New Roman"/>
                <w:i/>
                <w:sz w:val="16"/>
              </w:rPr>
            </w:pPr>
            <w:r w:rsidRPr="00DA5B18">
              <w:rPr>
                <w:rFonts w:cs="Times New Roman"/>
                <w:i/>
                <w:sz w:val="16"/>
              </w:rPr>
              <w:t>Обязанность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A5B18" w:rsidRPr="00DA5B18" w:rsidRDefault="00DA5B18" w:rsidP="00DA5B18">
            <w:pPr>
              <w:suppressAutoHyphens w:val="0"/>
              <w:spacing w:before="80" w:after="80" w:line="200" w:lineRule="exact"/>
              <w:ind w:left="11"/>
              <w:rPr>
                <w:rFonts w:cs="Times New Roman"/>
                <w:i/>
                <w:sz w:val="16"/>
              </w:rPr>
            </w:pPr>
            <w:r w:rsidRPr="00DA5B18">
              <w:rPr>
                <w:rFonts w:cs="Times New Roman"/>
                <w:i/>
                <w:sz w:val="16"/>
              </w:rPr>
              <w:t xml:space="preserve">Ответственное </w:t>
            </w:r>
            <w:r>
              <w:rPr>
                <w:rFonts w:cs="Times New Roman"/>
                <w:i/>
                <w:sz w:val="16"/>
              </w:rPr>
              <w:br/>
            </w:r>
            <w:r w:rsidRPr="00DA5B18">
              <w:rPr>
                <w:rFonts w:cs="Times New Roman"/>
                <w:i/>
                <w:sz w:val="16"/>
              </w:rPr>
              <w:t>предприятие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A5B18" w:rsidRPr="00DA5B18" w:rsidRDefault="00DA5B18" w:rsidP="00DA5B18">
            <w:pPr>
              <w:suppressAutoHyphens w:val="0"/>
              <w:spacing w:before="80" w:after="80" w:line="200" w:lineRule="exact"/>
              <w:ind w:left="11"/>
              <w:rPr>
                <w:rFonts w:cs="Times New Roman"/>
                <w:i/>
                <w:sz w:val="16"/>
              </w:rPr>
            </w:pPr>
            <w:r w:rsidRPr="00DA5B18">
              <w:rPr>
                <w:rFonts w:cs="Times New Roman"/>
                <w:i/>
                <w:sz w:val="16"/>
              </w:rPr>
              <w:t>Распределение обязанностей</w:t>
            </w:r>
          </w:p>
        </w:tc>
      </w:tr>
      <w:tr w:rsidR="00DA5B18" w:rsidRPr="00DA5B18" w:rsidTr="00DA5B18">
        <w:tc>
          <w:tcPr>
            <w:tcW w:w="851" w:type="dxa"/>
            <w:vMerge w:val="restart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7.1.7.4.1</w:t>
            </w:r>
          </w:p>
        </w:tc>
        <w:tc>
          <w:tcPr>
            <w:tcW w:w="2369" w:type="dxa"/>
            <w:shd w:val="clear" w:color="auto" w:fill="auto"/>
          </w:tcPr>
          <w:p w:rsidR="00DA5B18" w:rsidRPr="00DA5B18" w:rsidRDefault="00DA5B18" w:rsidP="00DA5B18">
            <w:pPr>
              <w:tabs>
                <w:tab w:val="left" w:pos="309"/>
              </w:tabs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a)</w:t>
            </w:r>
            <w:r w:rsidRPr="00DA5B18">
              <w:rPr>
                <w:rFonts w:cs="Times New Roman"/>
              </w:rPr>
              <w:tab/>
              <w:t>Провести тщательный осмотр грузовой транспортной единицы до погрузки</w:t>
            </w:r>
          </w:p>
        </w:tc>
        <w:tc>
          <w:tcPr>
            <w:tcW w:w="1749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Погрузчик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1.4.3.1.1 c)</w:t>
            </w:r>
          </w:p>
        </w:tc>
      </w:tr>
      <w:tr w:rsidR="00DA5B18" w:rsidRPr="00DA5B18" w:rsidTr="00DA5B18">
        <w:tc>
          <w:tcPr>
            <w:tcW w:w="851" w:type="dxa"/>
            <w:vMerge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  <w:lang w:eastAsia="fr-FR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DA5B18" w:rsidRPr="00DA5B18" w:rsidRDefault="00DA5B18" w:rsidP="00DA5B18">
            <w:pPr>
              <w:tabs>
                <w:tab w:val="left" w:pos="309"/>
              </w:tabs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b)</w:t>
            </w:r>
            <w:r w:rsidRPr="00DA5B18">
              <w:rPr>
                <w:rFonts w:cs="Times New Roman"/>
              </w:rPr>
              <w:tab/>
              <w:t>Проинструктировать перевозчика относительно функционирования системы охлаждения, включая список имеющихся по маршруту поставщиков хладагента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Грузоотправитель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Перевозчик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1.4.2.1.1 b) с поправками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1.4.2.2.1 b)</w:t>
            </w:r>
          </w:p>
        </w:tc>
      </w:tr>
      <w:tr w:rsidR="00DA5B18" w:rsidRPr="00DA5B18" w:rsidTr="00DA5B18">
        <w:tc>
          <w:tcPr>
            <w:tcW w:w="851" w:type="dxa"/>
            <w:vMerge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  <w:lang w:eastAsia="fr-FR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  <w:lang w:eastAsia="fr-FR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  <w:lang w:eastAsia="fr-FR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Изменить 1.4.2.1.1 b) следующим образом:</w:t>
            </w:r>
          </w:p>
          <w:p w:rsidR="00DA5B18" w:rsidRPr="00DA5B18" w:rsidRDefault="00DA5B18" w:rsidP="00DA5B18">
            <w:pPr>
              <w:tabs>
                <w:tab w:val="left" w:pos="262"/>
              </w:tabs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b)</w:t>
            </w:r>
            <w:r w:rsidRPr="00DA5B18">
              <w:rPr>
                <w:rFonts w:cs="Times New Roman"/>
              </w:rPr>
              <w:tab/>
              <w:t xml:space="preserve">передать перевозчику информацию и данные в отслеживаемом виде и, в случае необходимости, требуемые транспортные документы и сопроводительные документы (разрешения, допущения, уведомления, свидетельства и т. д.), принимая во внимание, в частности, требования главы 5.4, </w:t>
            </w:r>
            <w:r w:rsidRPr="00DA5B18">
              <w:rPr>
                <w:rFonts w:cs="Times New Roman"/>
                <w:u w:val="single"/>
              </w:rPr>
              <w:t>раздела 7.1.7</w:t>
            </w:r>
            <w:r w:rsidRPr="00DA5B18">
              <w:rPr>
                <w:rFonts w:cs="Times New Roman"/>
              </w:rPr>
              <w:t xml:space="preserve"> и таблиц, содержащихся в части 3</w:t>
            </w:r>
          </w:p>
        </w:tc>
      </w:tr>
      <w:tr w:rsidR="00DA5B18" w:rsidRPr="00DA5B18" w:rsidTr="00DA5B18">
        <w:tc>
          <w:tcPr>
            <w:tcW w:w="851" w:type="dxa"/>
            <w:vMerge w:val="restart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7.1.7.4.1</w:t>
            </w:r>
          </w:p>
        </w:tc>
        <w:tc>
          <w:tcPr>
            <w:tcW w:w="2369" w:type="dxa"/>
            <w:shd w:val="clear" w:color="auto" w:fill="auto"/>
          </w:tcPr>
          <w:p w:rsidR="00DA5B18" w:rsidRPr="00DA5B18" w:rsidRDefault="00DA5B18" w:rsidP="00DA5B18">
            <w:pPr>
              <w:tabs>
                <w:tab w:val="left" w:pos="291"/>
              </w:tabs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c)</w:t>
            </w:r>
            <w:r w:rsidRPr="00DA5B18">
              <w:rPr>
                <w:rFonts w:cs="Times New Roman"/>
              </w:rPr>
              <w:tab/>
              <w:t>Установить процедуру, подлежащую соблюдению в случае выхода системы из-под контроля</w:t>
            </w:r>
          </w:p>
        </w:tc>
        <w:tc>
          <w:tcPr>
            <w:tcW w:w="1749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Грузоотправитель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1.4.2.1.1 b), как изменено выше</w:t>
            </w:r>
          </w:p>
        </w:tc>
      </w:tr>
      <w:tr w:rsidR="00DA5B18" w:rsidRPr="00DA5B18" w:rsidTr="00DA5B18">
        <w:tc>
          <w:tcPr>
            <w:tcW w:w="851" w:type="dxa"/>
            <w:vMerge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  <w:lang w:eastAsia="fr-FR"/>
              </w:rPr>
            </w:pPr>
          </w:p>
        </w:tc>
        <w:tc>
          <w:tcPr>
            <w:tcW w:w="2369" w:type="dxa"/>
            <w:shd w:val="clear" w:color="auto" w:fill="auto"/>
          </w:tcPr>
          <w:p w:rsidR="00DA5B18" w:rsidRPr="00DA5B18" w:rsidRDefault="00DA5B18" w:rsidP="00DA5B18">
            <w:pPr>
              <w:tabs>
                <w:tab w:val="left" w:pos="291"/>
              </w:tabs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d)</w:t>
            </w:r>
            <w:r w:rsidRPr="00DA5B18">
              <w:rPr>
                <w:rFonts w:cs="Times New Roman"/>
              </w:rPr>
              <w:tab/>
              <w:t xml:space="preserve">Производить регулярный контроль температуры во время перевозки; и </w:t>
            </w:r>
          </w:p>
        </w:tc>
        <w:tc>
          <w:tcPr>
            <w:tcW w:w="1749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Перевозчик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1.4.2.2.1 i)</w:t>
            </w:r>
          </w:p>
        </w:tc>
      </w:tr>
      <w:tr w:rsidR="00DA5B18" w:rsidRPr="00DA5B18" w:rsidTr="00DA5B18">
        <w:tc>
          <w:tcPr>
            <w:tcW w:w="851" w:type="dxa"/>
            <w:vMerge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  <w:lang w:eastAsia="fr-FR"/>
              </w:rPr>
            </w:pPr>
          </w:p>
        </w:tc>
        <w:tc>
          <w:tcPr>
            <w:tcW w:w="2369" w:type="dxa"/>
            <w:shd w:val="clear" w:color="auto" w:fill="auto"/>
          </w:tcPr>
          <w:p w:rsidR="00DA5B18" w:rsidRPr="00DA5B18" w:rsidRDefault="00DA5B18" w:rsidP="00DA5B18">
            <w:pPr>
              <w:tabs>
                <w:tab w:val="left" w:pos="291"/>
              </w:tabs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e)</w:t>
            </w:r>
            <w:r w:rsidRPr="00DA5B18">
              <w:rPr>
                <w:rFonts w:cs="Times New Roman"/>
              </w:rPr>
              <w:tab/>
              <w:t xml:space="preserve">Обеспечить резервную систему охлаждения или запасные </w:t>
            </w:r>
            <w:r w:rsidR="00BF2667">
              <w:rPr>
                <w:rFonts w:cs="Times New Roman"/>
              </w:rPr>
              <w:t>части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  <w:lang w:val="en-US"/>
              </w:rPr>
            </w:pPr>
            <w:r w:rsidRPr="00DA5B18">
              <w:rPr>
                <w:rFonts w:cs="Times New Roman"/>
              </w:rPr>
              <w:t>На</w:t>
            </w:r>
            <w:r w:rsidRPr="00DA5B18">
              <w:rPr>
                <w:rFonts w:cs="Times New Roman"/>
                <w:lang w:val="en-US"/>
              </w:rPr>
              <w:t xml:space="preserve"> </w:t>
            </w:r>
            <w:r w:rsidRPr="00DA5B18">
              <w:rPr>
                <w:rFonts w:cs="Times New Roman"/>
              </w:rPr>
              <w:t>английском</w:t>
            </w:r>
            <w:r w:rsidRPr="00DA5B18">
              <w:rPr>
                <w:rFonts w:cs="Times New Roman"/>
                <w:lang w:val="en-US"/>
              </w:rPr>
              <w:t xml:space="preserve"> </w:t>
            </w:r>
            <w:r w:rsidRPr="00DA5B18">
              <w:rPr>
                <w:rFonts w:cs="Times New Roman"/>
              </w:rPr>
              <w:t>языке</w:t>
            </w:r>
            <w:r w:rsidRPr="00DA5B18">
              <w:rPr>
                <w:rFonts w:cs="Times New Roman"/>
                <w:lang w:val="en-US"/>
              </w:rPr>
              <w:t>: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  <w:lang w:val="en-US" w:eastAsia="fr-FR"/>
              </w:rPr>
            </w:pPr>
            <w:r w:rsidRPr="00BF2667">
              <w:rPr>
                <w:rFonts w:cs="Times New Roman"/>
                <w:i/>
                <w:lang w:val="en-US" w:eastAsia="fr-FR"/>
              </w:rPr>
              <w:t>(e)</w:t>
            </w:r>
            <w:r w:rsidRPr="00DA5B18">
              <w:rPr>
                <w:rFonts w:cs="Times New Roman"/>
                <w:lang w:val="en-US" w:eastAsia="fr-FR"/>
              </w:rPr>
              <w:t xml:space="preserve"> </w:t>
            </w:r>
            <w:r w:rsidRPr="00DA5B18">
              <w:rPr>
                <w:rFonts w:cs="Times New Roman"/>
                <w:strike/>
                <w:lang w:val="en-US" w:eastAsia="fr-FR"/>
              </w:rPr>
              <w:t xml:space="preserve">Provision </w:t>
            </w:r>
            <w:r w:rsidRPr="00DA5B18">
              <w:rPr>
                <w:rFonts w:cs="Times New Roman"/>
                <w:u w:val="single"/>
                <w:lang w:val="en-US" w:eastAsia="fr-FR"/>
              </w:rPr>
              <w:t xml:space="preserve">Availability </w:t>
            </w:r>
            <w:r w:rsidRPr="00DA5B18">
              <w:rPr>
                <w:rFonts w:cs="Times New Roman"/>
                <w:lang w:val="en-US" w:eastAsia="fr-FR"/>
              </w:rPr>
              <w:t>of a back-up refrigeration system or spare parts</w:t>
            </w:r>
          </w:p>
        </w:tc>
        <w:tc>
          <w:tcPr>
            <w:tcW w:w="1749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Грузоотправитель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Погрузчик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  <w:u w:val="single"/>
              </w:rPr>
            </w:pPr>
            <w:r w:rsidRPr="00DA5B18">
              <w:rPr>
                <w:rFonts w:cs="Times New Roman"/>
              </w:rPr>
              <w:t xml:space="preserve">1.4.2.1.1 b) + </w:t>
            </w:r>
            <w:r w:rsidRPr="00DA5B18">
              <w:rPr>
                <w:rFonts w:cs="Times New Roman"/>
                <w:u w:val="single"/>
              </w:rPr>
              <w:t>новый подпункт f)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1.4.3.1.1 c)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 xml:space="preserve">Добавить </w:t>
            </w:r>
            <w:r w:rsidR="009C76E2">
              <w:rPr>
                <w:rFonts w:cs="Times New Roman"/>
              </w:rPr>
              <w:br/>
            </w:r>
            <w:r w:rsidRPr="00DA5B18">
              <w:rPr>
                <w:rFonts w:cs="Times New Roman"/>
              </w:rPr>
              <w:t>следующий новый подпункт 1.4.2.1.1 f):</w:t>
            </w:r>
          </w:p>
          <w:p w:rsidR="00DA5B18" w:rsidRPr="00DA5B18" w:rsidRDefault="00DA5B18" w:rsidP="009C76E2">
            <w:pPr>
              <w:tabs>
                <w:tab w:val="left" w:pos="415"/>
              </w:tabs>
              <w:spacing w:before="40" w:after="120"/>
              <w:ind w:left="11" w:right="113"/>
              <w:rPr>
                <w:rFonts w:cs="Times New Roman"/>
                <w:u w:val="single"/>
              </w:rPr>
            </w:pPr>
            <w:r w:rsidRPr="00DA5B18">
              <w:rPr>
                <w:rFonts w:cs="Times New Roman"/>
              </w:rPr>
              <w:t>f)</w:t>
            </w:r>
            <w:r w:rsidRPr="00DA5B18">
              <w:rPr>
                <w:rFonts w:cs="Times New Roman"/>
              </w:rPr>
              <w:tab/>
            </w:r>
            <w:r w:rsidRPr="00DA5B18">
              <w:rPr>
                <w:rFonts w:cs="Times New Roman"/>
                <w:u w:val="single"/>
              </w:rPr>
              <w:t>предоставить в распоряжение перевозчика резервные системы охлаждения или запасные части, требуемые в соответствии с подразделом 7.1.7.4</w:t>
            </w:r>
          </w:p>
        </w:tc>
      </w:tr>
      <w:tr w:rsidR="00DA5B18" w:rsidRPr="00DA5B18" w:rsidTr="00DA5B18">
        <w:trPr>
          <w:gridAfter w:val="1"/>
          <w:wAfter w:w="20" w:type="dxa"/>
        </w:trPr>
        <w:tc>
          <w:tcPr>
            <w:tcW w:w="851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7.1.7.4.2</w:t>
            </w:r>
          </w:p>
        </w:tc>
        <w:tc>
          <w:tcPr>
            <w:tcW w:w="2369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Устройства, регулирующие температуру, и датчики температуры системы охлаждения до</w:t>
            </w:r>
            <w:r w:rsidR="00173945">
              <w:rPr>
                <w:rFonts w:cs="Times New Roman"/>
              </w:rPr>
              <w:t>лжны быть легко доступными, все </w:t>
            </w:r>
            <w:r w:rsidRPr="00DA5B18">
              <w:rPr>
                <w:rFonts w:cs="Times New Roman"/>
              </w:rPr>
              <w:t>электрические соединения должны быть</w:t>
            </w:r>
            <w:r w:rsidR="00173945">
              <w:rPr>
                <w:rFonts w:cs="Times New Roman"/>
              </w:rPr>
              <w:t> </w:t>
            </w:r>
            <w:r w:rsidRPr="00DA5B18">
              <w:rPr>
                <w:rFonts w:cs="Times New Roman"/>
              </w:rPr>
              <w:t xml:space="preserve">изолированы от </w:t>
            </w:r>
            <w:r w:rsidR="00BF2667">
              <w:rPr>
                <w:rFonts w:cs="Times New Roman"/>
              </w:rPr>
              <w:lastRenderedPageBreak/>
              <w:t>атмосферного воздействия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Температура воздуха в грузовой транспортной единице должна измеряться при помощи двух независимых датчиков, а результаты измерений должны регистрироваться таким образом, чтобы можно было о</w:t>
            </w:r>
            <w:r w:rsidR="00BF2667">
              <w:rPr>
                <w:rFonts w:cs="Times New Roman"/>
              </w:rPr>
              <w:t>пределить изменения температуры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Температура должна проверяться каждые четыре–шесть часов и з</w:t>
            </w:r>
            <w:r w:rsidR="00BF2667">
              <w:rPr>
                <w:rFonts w:cs="Times New Roman"/>
              </w:rPr>
              <w:t>аноситься в специальный журнал</w:t>
            </w:r>
          </w:p>
          <w:p w:rsidR="00DA5B18" w:rsidRPr="00DA5B18" w:rsidRDefault="00DA5B18" w:rsidP="009C76E2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При перевозке веществ, контрольная температура которых составляет менее</w:t>
            </w:r>
            <w:r w:rsidR="009C76E2">
              <w:rPr>
                <w:rFonts w:cs="Times New Roman"/>
                <w:lang w:val="en-US"/>
              </w:rPr>
              <w:t> </w:t>
            </w:r>
            <w:r w:rsidRPr="00DA5B18">
              <w:rPr>
                <w:rFonts w:cs="Times New Roman"/>
              </w:rPr>
              <w:t>+25 °C, грузовая транспортная единица должна быть оборудована визуальными и звуковыми аварийными сигнальными устройствами, питание которых должно быть независимым от питания системы охлаждения и которые должны срабатывать при контрольной или более низкой температуре</w:t>
            </w:r>
          </w:p>
        </w:tc>
        <w:tc>
          <w:tcPr>
            <w:tcW w:w="1749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lastRenderedPageBreak/>
              <w:t>Грузоотправитель: 1-е, 2-е, 4-е предложение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Перевозчик: 1-е, 3-е предложение</w:t>
            </w:r>
          </w:p>
        </w:tc>
        <w:tc>
          <w:tcPr>
            <w:tcW w:w="2381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1.4.2.1.1 c)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1.4.2.2.1 i)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1.4.2.2.1 c)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В пункте 7.1.7.4.2 изменить третье предложение следующим образом:</w:t>
            </w:r>
          </w:p>
          <w:p w:rsidR="00DA5B18" w:rsidRPr="00DA5B18" w:rsidRDefault="00BF2667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lastRenderedPageBreak/>
              <w:t>т</w:t>
            </w:r>
            <w:r w:rsidR="00DA5B18" w:rsidRPr="00DA5B18">
              <w:rPr>
                <w:rFonts w:cs="Times New Roman"/>
              </w:rPr>
              <w:t xml:space="preserve">емпература должна проверяться каждые четыре–шесть часов, </w:t>
            </w:r>
            <w:r w:rsidR="00DA5B18" w:rsidRPr="00DA5B18">
              <w:rPr>
                <w:rFonts w:cs="Times New Roman"/>
                <w:u w:val="single"/>
              </w:rPr>
              <w:t>регистрироваться</w:t>
            </w:r>
            <w:r w:rsidR="00DA5B18" w:rsidRPr="00DA5B18">
              <w:rPr>
                <w:rFonts w:cs="Times New Roman"/>
              </w:rPr>
              <w:t xml:space="preserve"> и </w:t>
            </w:r>
            <w:r w:rsidR="00DA5B18" w:rsidRPr="00DA5B18">
              <w:rPr>
                <w:rFonts w:cs="Times New Roman"/>
                <w:u w:val="single"/>
              </w:rPr>
              <w:t>записываться в журнале для регистрации согласно пункту 8.1.2.1 g)</w:t>
            </w:r>
          </w:p>
        </w:tc>
      </w:tr>
      <w:tr w:rsidR="00DA5B18" w:rsidRPr="00DA5B18" w:rsidTr="00DA5B18">
        <w:trPr>
          <w:gridAfter w:val="1"/>
          <w:wAfter w:w="20" w:type="dxa"/>
        </w:trPr>
        <w:tc>
          <w:tcPr>
            <w:tcW w:w="851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lastRenderedPageBreak/>
              <w:t>7.1.7.4.3</w:t>
            </w:r>
          </w:p>
        </w:tc>
        <w:tc>
          <w:tcPr>
            <w:tcW w:w="2369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В случае превышения контрольной температуры в ходе перевозки необходимо принять срочные меры</w:t>
            </w:r>
            <w:r w:rsidR="009C76E2">
              <w:rPr>
                <w:rFonts w:cs="Times New Roman"/>
              </w:rPr>
              <w:t>, </w:t>
            </w:r>
            <w:r w:rsidRPr="00DA5B18">
              <w:rPr>
                <w:rFonts w:cs="Times New Roman"/>
              </w:rPr>
              <w:t>включая необходимый ремонт рефрижераторного оборудования и повышение холодопроизводитель</w:t>
            </w:r>
            <w:r w:rsidR="009C76E2" w:rsidRPr="009C76E2">
              <w:rPr>
                <w:rFonts w:cs="Times New Roman"/>
              </w:rPr>
              <w:t>-</w:t>
            </w:r>
            <w:r w:rsidRPr="00DA5B18">
              <w:rPr>
                <w:rFonts w:cs="Times New Roman"/>
              </w:rPr>
              <w:t>ности (например, путем добавления ж</w:t>
            </w:r>
            <w:r w:rsidR="00BF2667">
              <w:rPr>
                <w:rFonts w:cs="Times New Roman"/>
              </w:rPr>
              <w:t>идких или твердых хладагентов)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Кроме того, не</w:t>
            </w:r>
            <w:r w:rsidR="00173945">
              <w:rPr>
                <w:rFonts w:cs="Times New Roman"/>
              </w:rPr>
              <w:t>обходимо проводить более частые </w:t>
            </w:r>
            <w:r w:rsidRPr="00DA5B18">
              <w:rPr>
                <w:rFonts w:cs="Times New Roman"/>
              </w:rPr>
              <w:t xml:space="preserve">проверки температуры и принимать подготовительные меры </w:t>
            </w:r>
            <w:r w:rsidR="00BF2667">
              <w:rPr>
                <w:rFonts w:cs="Times New Roman"/>
              </w:rPr>
              <w:lastRenderedPageBreak/>
              <w:t>на случай аварийной ситуации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При достижении аварийной температуры необходимо действовать в режиме аварийной ситуации</w:t>
            </w:r>
          </w:p>
        </w:tc>
        <w:tc>
          <w:tcPr>
            <w:tcW w:w="1749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lastRenderedPageBreak/>
              <w:t>Перевозчик</w:t>
            </w:r>
          </w:p>
        </w:tc>
        <w:tc>
          <w:tcPr>
            <w:tcW w:w="2381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1.4.2.2.1 i)</w:t>
            </w:r>
          </w:p>
        </w:tc>
      </w:tr>
      <w:tr w:rsidR="00DA5B18" w:rsidRPr="00DA5B18" w:rsidTr="00DA5B18">
        <w:trPr>
          <w:gridAfter w:val="1"/>
          <w:wAfter w:w="20" w:type="dxa"/>
        </w:trPr>
        <w:tc>
          <w:tcPr>
            <w:tcW w:w="851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7.1.7.4.7</w:t>
            </w:r>
          </w:p>
        </w:tc>
        <w:tc>
          <w:tcPr>
            <w:tcW w:w="2369" w:type="dxa"/>
            <w:shd w:val="clear" w:color="auto" w:fill="auto"/>
          </w:tcPr>
          <w:p w:rsidR="00DA5B18" w:rsidRPr="00DA5B18" w:rsidRDefault="00BF2667" w:rsidP="00DA5B18">
            <w:pPr>
              <w:spacing w:before="40" w:after="120"/>
              <w:ind w:left="11" w:right="113"/>
              <w:rPr>
                <w:rFonts w:cs="Times New Roman"/>
              </w:rPr>
            </w:pPr>
            <w:r>
              <w:rPr>
                <w:rFonts w:cs="Times New Roman"/>
              </w:rPr>
              <w:t>Если вещества должны </w:t>
            </w:r>
            <w:r w:rsidR="00DA5B18" w:rsidRPr="00DA5B18">
              <w:rPr>
                <w:rFonts w:cs="Times New Roman"/>
              </w:rPr>
              <w:t xml:space="preserve">перевозиться в изотермических транспортных средствах или контейнерах, </w:t>
            </w:r>
            <w:r>
              <w:rPr>
                <w:rFonts w:cs="Times New Roman"/>
              </w:rPr>
              <w:t>транспортных средствах </w:t>
            </w:r>
            <w:r w:rsidR="00DA5B18" w:rsidRPr="00DA5B18">
              <w:rPr>
                <w:rFonts w:cs="Times New Roman"/>
              </w:rPr>
              <w:t>– ледниках или контейнерах-л</w:t>
            </w:r>
            <w:r>
              <w:rPr>
                <w:rFonts w:cs="Times New Roman"/>
              </w:rPr>
              <w:t>едниках, транспортных средствах </w:t>
            </w:r>
            <w:r w:rsidR="00DA5B18" w:rsidRPr="00DA5B18">
              <w:rPr>
                <w:rFonts w:cs="Times New Roman"/>
              </w:rPr>
              <w:t>– рефрижераторах или контейнерах-рефрижераторах, то указанные транспортные средства или контейнеры должны удовлетворять требованиям главы 9.6 ДОПОГ</w:t>
            </w:r>
          </w:p>
        </w:tc>
        <w:tc>
          <w:tcPr>
            <w:tcW w:w="1749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Грузоотправитель: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Перевозчик:</w:t>
            </w:r>
          </w:p>
        </w:tc>
        <w:tc>
          <w:tcPr>
            <w:tcW w:w="2381" w:type="dxa"/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1.4.2.1.1 c)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1.4.2.2.1 c) (Визуальный осмотр)</w:t>
            </w:r>
          </w:p>
        </w:tc>
      </w:tr>
      <w:tr w:rsidR="00DA5B18" w:rsidRPr="00DA5B18" w:rsidTr="00DA5B18">
        <w:trPr>
          <w:gridAfter w:val="1"/>
          <w:wAfter w:w="20" w:type="dxa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7.1.7.4.8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Если вещества содержатся в защитной таре, заполненной хладагентом, то они должны перевозиться в закрытых или крытых брезентом транспортных средствах, закрытых и</w:t>
            </w:r>
            <w:r w:rsidR="00BF2667">
              <w:rPr>
                <w:rFonts w:cs="Times New Roman"/>
              </w:rPr>
              <w:t>ли крытых брезентом контейнерах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При использовании закрытых транспортных средств или контейнеров в них должна быть об</w:t>
            </w:r>
            <w:r w:rsidR="00BF2667">
              <w:rPr>
                <w:rFonts w:cs="Times New Roman"/>
              </w:rPr>
              <w:t>еспечена надлежащая вентиляция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Крытые брезентом транспортные средства и контейнеры долж</w:t>
            </w:r>
            <w:r w:rsidR="00BF2667">
              <w:rPr>
                <w:rFonts w:cs="Times New Roman"/>
              </w:rPr>
              <w:t>ны иметь боковые и задний борта</w:t>
            </w:r>
            <w:r w:rsidRPr="00DA5B18">
              <w:rPr>
                <w:rFonts w:cs="Times New Roman"/>
              </w:rPr>
              <w:t xml:space="preserve"> 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  <w:snapToGrid w:val="0"/>
              </w:rPr>
            </w:pPr>
            <w:r w:rsidRPr="00DA5B18">
              <w:rPr>
                <w:rFonts w:cs="Times New Roman"/>
              </w:rPr>
              <w:t>Брезент для таких транспортных средств должен быть изготовлен из непроницаемого и негорючего материала</w:t>
            </w:r>
          </w:p>
        </w:tc>
        <w:tc>
          <w:tcPr>
            <w:tcW w:w="1749" w:type="dxa"/>
            <w:tcBorders>
              <w:bottom w:val="single" w:sz="12" w:space="0" w:color="auto"/>
            </w:tcBorders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Грузоотправитель: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Перевозчик: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</w:tcPr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1.4.2.1.1 c)</w:t>
            </w:r>
          </w:p>
          <w:p w:rsidR="00DA5B18" w:rsidRPr="00DA5B18" w:rsidRDefault="00DA5B18" w:rsidP="00DA5B18">
            <w:pPr>
              <w:spacing w:before="40" w:after="120"/>
              <w:ind w:left="11" w:right="113"/>
              <w:rPr>
                <w:rFonts w:cs="Times New Roman"/>
              </w:rPr>
            </w:pPr>
            <w:r w:rsidRPr="00DA5B18">
              <w:rPr>
                <w:rFonts w:cs="Times New Roman"/>
              </w:rPr>
              <w:t>1.4.2.2.1 c) (Визуальный осмотр)</w:t>
            </w:r>
          </w:p>
        </w:tc>
      </w:tr>
    </w:tbl>
    <w:p w:rsidR="00DA5B18" w:rsidRPr="00AF4927" w:rsidRDefault="00DA5B18" w:rsidP="00DA5B18">
      <w:pPr>
        <w:pStyle w:val="HChG"/>
      </w:pPr>
      <w:r>
        <w:lastRenderedPageBreak/>
        <w:tab/>
      </w:r>
      <w:r>
        <w:tab/>
      </w:r>
      <w:r>
        <w:rPr>
          <w:bCs/>
        </w:rPr>
        <w:t>Дополнительное требование в отношении укладки</w:t>
      </w:r>
    </w:p>
    <w:p w:rsidR="00DA5B18" w:rsidRPr="00E15273" w:rsidRDefault="00DA5B18" w:rsidP="00DA5B18">
      <w:pPr>
        <w:pStyle w:val="SingleTxtG"/>
      </w:pPr>
      <w:r>
        <w:t>7.</w:t>
      </w:r>
      <w:r>
        <w:tab/>
        <w:t>Германия предлагает добавить следующее требование к укладке, специально предназначенное для перевозки транспортных средств в режиме регулирования температуры. Оно основано на требовании к укладке HA01 и коде SW1 в соответствии с разделом 7.1.5 МКМПОГ, с добавлением пунктов 7.1.7.1, 7.1.7.4.2 и 7.1.7.4.3. Приведенный ниже выбор соответствующих номеров ООН основан на запрещениях перевозки в соответствии с МПОГ.</w:t>
      </w:r>
    </w:p>
    <w:p w:rsidR="00DA5B18" w:rsidRPr="00E15273" w:rsidRDefault="00DA5B18" w:rsidP="00DA5B18">
      <w:pPr>
        <w:pStyle w:val="SingleTxtG"/>
      </w:pPr>
      <w:r>
        <w:t>8.</w:t>
      </w:r>
      <w:r>
        <w:tab/>
        <w:t>В конце пункта 7.1.6.14 добавить следующее требование к укладке:</w:t>
      </w:r>
    </w:p>
    <w:p w:rsidR="00DA5B18" w:rsidRPr="00005295" w:rsidRDefault="00DA5B18" w:rsidP="00DA5B18">
      <w:pPr>
        <w:pStyle w:val="SingleTxtG"/>
        <w:ind w:left="1701"/>
      </w:pPr>
      <w:r>
        <w:t>«HA11: грузовые транспортные единицы, содержащие вещества, предназначенные для перевозки при регулируемой температуре в соответствии с разделом 7.1.7 настоящих Правил, должна на</w:t>
      </w:r>
      <w:r w:rsidR="00BF2667">
        <w:t>ходиться на расстоянии не менее </w:t>
      </w:r>
      <w:r>
        <w:t>3,00 м от любых источников тепла и должны укладываться таким образом, чтобы</w:t>
      </w:r>
      <w:r w:rsidR="00173945">
        <w:t>:</w:t>
      </w:r>
    </w:p>
    <w:p w:rsidR="00DA5B18" w:rsidRPr="000C2E93" w:rsidRDefault="009C76E2" w:rsidP="00DA5B18">
      <w:pPr>
        <w:pStyle w:val="SingleTxtG"/>
        <w:ind w:left="1701"/>
      </w:pPr>
      <w:r w:rsidRPr="009C76E2">
        <w:t>–</w:t>
      </w:r>
      <w:r w:rsidR="00DA5B18">
        <w:tab/>
        <w:t>можно было производить регулярный контроль температуры во время перевозки</w:t>
      </w:r>
      <w:r w:rsidR="000C2E93" w:rsidRPr="000C2E93">
        <w:t>,</w:t>
      </w:r>
    </w:p>
    <w:p w:rsidR="00DA5B18" w:rsidRPr="00E15273" w:rsidRDefault="009C76E2" w:rsidP="00DA5B18">
      <w:pPr>
        <w:pStyle w:val="SingleTxtG"/>
        <w:ind w:left="1701"/>
      </w:pPr>
      <w:r w:rsidRPr="009C76E2">
        <w:t>–</w:t>
      </w:r>
      <w:r w:rsidR="00DA5B18">
        <w:tab/>
        <w:t>в рулевой рубке воспринималась</w:t>
      </w:r>
      <w:r>
        <w:t xml:space="preserve"> визуальная и звуковая аварийно</w:t>
      </w:r>
      <w:r>
        <w:noBreakHyphen/>
      </w:r>
      <w:r w:rsidR="00DA5B18">
        <w:t>предупредительная сигнализация,</w:t>
      </w:r>
    </w:p>
    <w:p w:rsidR="00DA5B18" w:rsidRPr="00E15273" w:rsidRDefault="009C76E2" w:rsidP="00DA5B18">
      <w:pPr>
        <w:pStyle w:val="SingleTxtG"/>
        <w:ind w:left="1701"/>
      </w:pPr>
      <w:r w:rsidRPr="009C76E2">
        <w:t>–</w:t>
      </w:r>
      <w:r w:rsidR="00DA5B18">
        <w:tab/>
        <w:t>можно было осуществлять любой необходимый ремонт системы охлаждения или повышение холодопроизводительности и принять любые другие срочные меры.</w:t>
      </w:r>
    </w:p>
    <w:p w:rsidR="00DA5B18" w:rsidRPr="00E15273" w:rsidRDefault="00DA5B18" w:rsidP="00DA5B18">
      <w:pPr>
        <w:pStyle w:val="SingleTxtG"/>
        <w:ind w:left="1701"/>
      </w:pPr>
      <w:r>
        <w:t>Предписания пункта 7.1.4.4.4 остаются применимыми».</w:t>
      </w:r>
    </w:p>
    <w:p w:rsidR="00DA5B18" w:rsidRPr="00E15273" w:rsidRDefault="00DA5B18" w:rsidP="00DA5B18">
      <w:pPr>
        <w:pStyle w:val="SingleTxtG"/>
      </w:pPr>
      <w:r>
        <w:t>9.</w:t>
      </w:r>
      <w:r>
        <w:tab/>
        <w:t>В колонку 11 таблицы А применительно к № ООН 3111, 3112, 3113, 3114, 3115, 3116, 3117, 3118, 3119, 3120, 3231, 3232, 3233, 3234, 3236, 3237, 3238, 3229, 3240, 3533, 3534 включить: «HA10, HA11».</w:t>
      </w:r>
    </w:p>
    <w:p w:rsidR="00DA5B18" w:rsidRPr="00E15273" w:rsidRDefault="00DA5B18" w:rsidP="00DA5B18">
      <w:pPr>
        <w:pStyle w:val="HChG"/>
      </w:pPr>
      <w:r>
        <w:tab/>
      </w:r>
      <w:r>
        <w:tab/>
      </w:r>
      <w:r>
        <w:rPr>
          <w:bCs/>
        </w:rPr>
        <w:t>Безопасность</w:t>
      </w:r>
    </w:p>
    <w:p w:rsidR="00DA5B18" w:rsidRPr="00E15273" w:rsidRDefault="00DA5B18" w:rsidP="00DA5B18">
      <w:pPr>
        <w:pStyle w:val="SingleTxtG"/>
      </w:pPr>
      <w:r>
        <w:t>10.</w:t>
      </w:r>
      <w:r>
        <w:tab/>
        <w:t>Уровень безопасности перевозок повысится, если требования ВОПОГ будут сформулированы четко и будут недвусмысленно предусматривать ответственность соответствующих участников.</w:t>
      </w:r>
    </w:p>
    <w:p w:rsidR="00DA5B18" w:rsidRPr="00E15273" w:rsidRDefault="00DA5B18" w:rsidP="00DA5B18">
      <w:pPr>
        <w:pStyle w:val="HChG"/>
      </w:pPr>
      <w:r>
        <w:tab/>
      </w:r>
      <w:r>
        <w:tab/>
      </w:r>
      <w:r>
        <w:rPr>
          <w:bCs/>
        </w:rPr>
        <w:t>Осуществление</w:t>
      </w:r>
    </w:p>
    <w:p w:rsidR="00E12C5F" w:rsidRDefault="00DA5B18" w:rsidP="00DA5B18">
      <w:pPr>
        <w:pStyle w:val="SingleTxtG"/>
      </w:pPr>
      <w:r>
        <w:t>11.</w:t>
      </w:r>
      <w:r>
        <w:tab/>
        <w:t>Никакая из существующих обязанностей не меняется. Не требуется никаких изменений, затрагивающих судостроение и перевозимые транспортные единицы. Эксплуатационные требования к погрузке и транспортировке можно будет легко соблюсти с помощью принятия организационных мер.</w:t>
      </w:r>
    </w:p>
    <w:p w:rsidR="00DA5B18" w:rsidRPr="00DA5B18" w:rsidRDefault="00DA5B18" w:rsidP="00DA5B1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5B18" w:rsidRPr="00DA5B18" w:rsidSect="00F129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0F" w:rsidRPr="00A312BC" w:rsidRDefault="005A2E0F" w:rsidP="00A312BC"/>
  </w:endnote>
  <w:endnote w:type="continuationSeparator" w:id="0">
    <w:p w:rsidR="005A2E0F" w:rsidRPr="00A312BC" w:rsidRDefault="005A2E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BD" w:rsidRPr="00F129BD" w:rsidRDefault="00F129BD">
    <w:pPr>
      <w:pStyle w:val="Footer"/>
    </w:pPr>
    <w:r w:rsidRPr="00F129BD">
      <w:rPr>
        <w:b/>
        <w:sz w:val="18"/>
      </w:rPr>
      <w:fldChar w:fldCharType="begin"/>
    </w:r>
    <w:r w:rsidRPr="00F129BD">
      <w:rPr>
        <w:b/>
        <w:sz w:val="18"/>
      </w:rPr>
      <w:instrText xml:space="preserve"> PAGE  \* MERGEFORMAT </w:instrText>
    </w:r>
    <w:r w:rsidRPr="00F129BD">
      <w:rPr>
        <w:b/>
        <w:sz w:val="18"/>
      </w:rPr>
      <w:fldChar w:fldCharType="separate"/>
    </w:r>
    <w:r w:rsidR="00BF332B">
      <w:rPr>
        <w:b/>
        <w:noProof/>
        <w:sz w:val="18"/>
      </w:rPr>
      <w:t>4</w:t>
    </w:r>
    <w:r w:rsidRPr="00F129BD">
      <w:rPr>
        <w:b/>
        <w:sz w:val="18"/>
      </w:rPr>
      <w:fldChar w:fldCharType="end"/>
    </w:r>
    <w:r>
      <w:rPr>
        <w:b/>
        <w:sz w:val="18"/>
      </w:rPr>
      <w:tab/>
    </w:r>
    <w:r>
      <w:t>GE.18-18004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BD" w:rsidRPr="00F129BD" w:rsidRDefault="00F129BD" w:rsidP="00F129B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GE.18-18004</w:t>
    </w:r>
    <w:r>
      <w:tab/>
    </w:r>
    <w:r w:rsidRPr="00F129BD">
      <w:rPr>
        <w:b/>
        <w:sz w:val="18"/>
      </w:rPr>
      <w:fldChar w:fldCharType="begin"/>
    </w:r>
    <w:r w:rsidRPr="00F129BD">
      <w:rPr>
        <w:b/>
        <w:sz w:val="18"/>
      </w:rPr>
      <w:instrText xml:space="preserve"> PAGE  \* MERGEFORMAT </w:instrText>
    </w:r>
    <w:r w:rsidRPr="00F129BD">
      <w:rPr>
        <w:b/>
        <w:sz w:val="18"/>
      </w:rPr>
      <w:fldChar w:fldCharType="separate"/>
    </w:r>
    <w:r w:rsidR="00BF332B">
      <w:rPr>
        <w:b/>
        <w:noProof/>
        <w:sz w:val="18"/>
      </w:rPr>
      <w:t>5</w:t>
    </w:r>
    <w:r w:rsidRPr="00F129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129BD" w:rsidRDefault="00F129BD" w:rsidP="00F129B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18-18004  (R)</w:t>
    </w:r>
    <w:r>
      <w:rPr>
        <w:lang w:val="en-US"/>
      </w:rPr>
      <w:t xml:space="preserve">  061118  061118</w:t>
    </w:r>
    <w:r>
      <w:br/>
    </w:r>
    <w:r w:rsidRPr="00F129BD">
      <w:rPr>
        <w:rFonts w:ascii="C39T30Lfz" w:hAnsi="C39T30Lfz"/>
        <w:kern w:val="14"/>
        <w:sz w:val="56"/>
      </w:rPr>
      <w:t></w:t>
    </w:r>
    <w:r w:rsidRPr="00F129BD">
      <w:rPr>
        <w:rFonts w:ascii="C39T30Lfz" w:hAnsi="C39T30Lfz"/>
        <w:kern w:val="14"/>
        <w:sz w:val="56"/>
      </w:rPr>
      <w:t></w:t>
    </w:r>
    <w:r w:rsidRPr="00F129BD">
      <w:rPr>
        <w:rFonts w:ascii="C39T30Lfz" w:hAnsi="C39T30Lfz"/>
        <w:kern w:val="14"/>
        <w:sz w:val="56"/>
      </w:rPr>
      <w:t></w:t>
    </w:r>
    <w:r w:rsidRPr="00F129BD">
      <w:rPr>
        <w:rFonts w:ascii="C39T30Lfz" w:hAnsi="C39T30Lfz"/>
        <w:kern w:val="14"/>
        <w:sz w:val="56"/>
      </w:rPr>
      <w:t></w:t>
    </w:r>
    <w:r w:rsidRPr="00F129BD">
      <w:rPr>
        <w:rFonts w:ascii="C39T30Lfz" w:hAnsi="C39T30Lfz"/>
        <w:kern w:val="14"/>
        <w:sz w:val="56"/>
      </w:rPr>
      <w:t></w:t>
    </w:r>
    <w:r w:rsidRPr="00F129BD">
      <w:rPr>
        <w:rFonts w:ascii="C39T30Lfz" w:hAnsi="C39T30Lfz"/>
        <w:kern w:val="14"/>
        <w:sz w:val="56"/>
      </w:rPr>
      <w:t></w:t>
    </w:r>
    <w:r w:rsidRPr="00F129BD">
      <w:rPr>
        <w:rFonts w:ascii="C39T30Lfz" w:hAnsi="C39T30Lfz"/>
        <w:kern w:val="14"/>
        <w:sz w:val="56"/>
      </w:rPr>
      <w:t></w:t>
    </w:r>
    <w:r w:rsidRPr="00F129BD">
      <w:rPr>
        <w:rFonts w:ascii="C39T30Lfz" w:hAnsi="C39T30Lfz"/>
        <w:kern w:val="14"/>
        <w:sz w:val="56"/>
      </w:rPr>
      <w:t></w:t>
    </w:r>
    <w:r w:rsidRPr="00F129B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0F" w:rsidRPr="001075E9" w:rsidRDefault="005A2E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2E0F" w:rsidRDefault="005A2E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A5B18" w:rsidRPr="00DA5B18" w:rsidRDefault="00DA5B18">
      <w:pPr>
        <w:pStyle w:val="FootnoteText"/>
        <w:rPr>
          <w:sz w:val="20"/>
        </w:rPr>
      </w:pPr>
      <w:r>
        <w:tab/>
      </w:r>
      <w:r w:rsidRPr="00DA5B18">
        <w:rPr>
          <w:rStyle w:val="FootnoteReference"/>
          <w:sz w:val="20"/>
          <w:vertAlign w:val="baseline"/>
        </w:rPr>
        <w:t>*</w:t>
      </w:r>
      <w:r w:rsidRPr="00DA5B18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 под условным обозначением CCNR/ZKR/ADN/WP.15/AC.2/2019/6.</w:t>
      </w:r>
    </w:p>
  </w:footnote>
  <w:footnote w:id="2">
    <w:p w:rsidR="00DA5B18" w:rsidRPr="00DA5B18" w:rsidRDefault="00DA5B18">
      <w:pPr>
        <w:pStyle w:val="FootnoteText"/>
        <w:rPr>
          <w:sz w:val="20"/>
        </w:rPr>
      </w:pPr>
      <w:r>
        <w:tab/>
      </w:r>
      <w:r w:rsidRPr="00DA5B18">
        <w:rPr>
          <w:rStyle w:val="FootnoteReference"/>
          <w:sz w:val="20"/>
          <w:vertAlign w:val="baseline"/>
        </w:rPr>
        <w:t>**</w:t>
      </w:r>
      <w:r w:rsidRPr="00DA5B18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BD" w:rsidRPr="00F129BD" w:rsidRDefault="00D9218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BD" w:rsidRPr="00F129BD" w:rsidRDefault="00D9218F" w:rsidP="00F129B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0F"/>
    <w:rsid w:val="00033EE1"/>
    <w:rsid w:val="00042B72"/>
    <w:rsid w:val="000558BD"/>
    <w:rsid w:val="000B57E7"/>
    <w:rsid w:val="000B6373"/>
    <w:rsid w:val="000C2E93"/>
    <w:rsid w:val="000E4E5B"/>
    <w:rsid w:val="000F09DF"/>
    <w:rsid w:val="000F61B2"/>
    <w:rsid w:val="001075E9"/>
    <w:rsid w:val="0014152F"/>
    <w:rsid w:val="0017394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1A28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546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2E0F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EE6"/>
    <w:rsid w:val="006F35EE"/>
    <w:rsid w:val="006F7D22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6653"/>
    <w:rsid w:val="00894693"/>
    <w:rsid w:val="008A08D7"/>
    <w:rsid w:val="008A37C8"/>
    <w:rsid w:val="008B6909"/>
    <w:rsid w:val="008D53B6"/>
    <w:rsid w:val="008E6DAD"/>
    <w:rsid w:val="008F7609"/>
    <w:rsid w:val="00906890"/>
    <w:rsid w:val="00911BE4"/>
    <w:rsid w:val="00951972"/>
    <w:rsid w:val="009608F3"/>
    <w:rsid w:val="00965D3B"/>
    <w:rsid w:val="009A24AC"/>
    <w:rsid w:val="009C59D7"/>
    <w:rsid w:val="009C6FE6"/>
    <w:rsid w:val="009C76E2"/>
    <w:rsid w:val="009D7E7D"/>
    <w:rsid w:val="00A14DA8"/>
    <w:rsid w:val="00A312BC"/>
    <w:rsid w:val="00A84021"/>
    <w:rsid w:val="00A84D35"/>
    <w:rsid w:val="00A917B3"/>
    <w:rsid w:val="00AA2F8D"/>
    <w:rsid w:val="00AB4B51"/>
    <w:rsid w:val="00B10CC7"/>
    <w:rsid w:val="00B36DF7"/>
    <w:rsid w:val="00B539E7"/>
    <w:rsid w:val="00B62458"/>
    <w:rsid w:val="00BC18B2"/>
    <w:rsid w:val="00BD33EE"/>
    <w:rsid w:val="00BE1CC7"/>
    <w:rsid w:val="00BF2667"/>
    <w:rsid w:val="00BF332B"/>
    <w:rsid w:val="00C106D6"/>
    <w:rsid w:val="00C119AE"/>
    <w:rsid w:val="00C60F0C"/>
    <w:rsid w:val="00C71E84"/>
    <w:rsid w:val="00C805C9"/>
    <w:rsid w:val="00C92939"/>
    <w:rsid w:val="00CA1679"/>
    <w:rsid w:val="00CB151C"/>
    <w:rsid w:val="00CE14B6"/>
    <w:rsid w:val="00CE5A1A"/>
    <w:rsid w:val="00CF55F6"/>
    <w:rsid w:val="00D33D63"/>
    <w:rsid w:val="00D5253A"/>
    <w:rsid w:val="00D873A8"/>
    <w:rsid w:val="00D90028"/>
    <w:rsid w:val="00D90138"/>
    <w:rsid w:val="00D9145B"/>
    <w:rsid w:val="00D9218F"/>
    <w:rsid w:val="00DA5B1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29BD"/>
    <w:rsid w:val="00F2523A"/>
    <w:rsid w:val="00F43903"/>
    <w:rsid w:val="00F5130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627E4AE-D042-4AA3-AC99-BBA5E736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locked/>
    <w:rsid w:val="00DA5B1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locked/>
    <w:rsid w:val="00DA5B18"/>
    <w:rPr>
      <w:lang w:val="ru-RU" w:eastAsia="en-US"/>
    </w:rPr>
  </w:style>
  <w:style w:type="character" w:customStyle="1" w:styleId="HChGChar">
    <w:name w:val="_ H _Ch_G Char"/>
    <w:link w:val="HChG"/>
    <w:locked/>
    <w:rsid w:val="00DA5B18"/>
    <w:rPr>
      <w:b/>
      <w:sz w:val="28"/>
      <w:lang w:val="ru-RU" w:eastAsia="ru-RU"/>
    </w:rPr>
  </w:style>
  <w:style w:type="table" w:customStyle="1" w:styleId="TableGrid4">
    <w:name w:val="Table Grid4"/>
    <w:basedOn w:val="TableNormal"/>
    <w:next w:val="TableGrid"/>
    <w:rsid w:val="00DA5B18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ECE/TRANS/WP.15/AC.2/2019/6</vt:lpstr>
      <vt:lpstr>ECE/TRANS/WP.15/AC.2/2019/6</vt:lpstr>
      <vt:lpstr>A/</vt:lpstr>
    </vt:vector>
  </TitlesOfParts>
  <Company>DCM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ECE/TRANS/WP.15/AC.2/2019/6</dc:title>
  <dc:subject/>
  <dc:creator>Elena IZOTOVA</dc:creator>
  <cp:keywords/>
  <cp:lastModifiedBy>Marie-Claude Collet</cp:lastModifiedBy>
  <cp:revision>4</cp:revision>
  <cp:lastPrinted>2018-11-22T15:15:00Z</cp:lastPrinted>
  <dcterms:created xsi:type="dcterms:W3CDTF">2018-11-06T13:58:00Z</dcterms:created>
  <dcterms:modified xsi:type="dcterms:W3CDTF">2018-11-22T15:15:00Z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