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C6C9C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67FFBE" w14:textId="77777777" w:rsidR="002D5AAC" w:rsidRDefault="002D5AAC" w:rsidP="00CD76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CAE4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AC0EF7" w14:textId="77777777" w:rsidR="002D5AAC" w:rsidRDefault="00CD76B0" w:rsidP="00CD76B0">
            <w:pPr>
              <w:jc w:val="right"/>
            </w:pPr>
            <w:r w:rsidRPr="00CD76B0">
              <w:rPr>
                <w:sz w:val="40"/>
              </w:rPr>
              <w:t>ECE</w:t>
            </w:r>
            <w:r>
              <w:t>/TRANS/WP.15/AC.2/2019/29</w:t>
            </w:r>
          </w:p>
        </w:tc>
      </w:tr>
      <w:tr w:rsidR="002D5AAC" w:rsidRPr="00CD76B0" w14:paraId="13E222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3701D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1D4F92" wp14:editId="098250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4FC58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593C62" w14:textId="77777777" w:rsidR="002D5AAC" w:rsidRDefault="00CD76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6E56DD" w14:textId="77777777" w:rsidR="00CD76B0" w:rsidRDefault="00CD76B0" w:rsidP="00CD76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14:paraId="26073F44" w14:textId="77777777" w:rsidR="00CD76B0" w:rsidRDefault="00CD76B0" w:rsidP="00CD76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12EB84" w14:textId="77777777" w:rsidR="00CD76B0" w:rsidRPr="008D53B6" w:rsidRDefault="00CD76B0" w:rsidP="00CD76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588309" w14:textId="77777777" w:rsidR="00CD76B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FA7E1B7" w14:textId="77777777" w:rsidR="00CD76B0" w:rsidRPr="00EF0B6C" w:rsidRDefault="00CD76B0" w:rsidP="00CD76B0">
      <w:pPr>
        <w:spacing w:before="120"/>
        <w:rPr>
          <w:sz w:val="28"/>
          <w:szCs w:val="28"/>
        </w:rPr>
      </w:pPr>
      <w:r w:rsidRPr="00EF0B6C">
        <w:rPr>
          <w:sz w:val="28"/>
          <w:szCs w:val="28"/>
        </w:rPr>
        <w:t>Комитет по внутреннему транспорту</w:t>
      </w:r>
    </w:p>
    <w:p w14:paraId="368ADD1B" w14:textId="77777777" w:rsidR="00CD76B0" w:rsidRPr="00EF0B6C" w:rsidRDefault="00CD76B0" w:rsidP="00CD76B0">
      <w:pPr>
        <w:spacing w:before="120"/>
        <w:rPr>
          <w:b/>
          <w:sz w:val="24"/>
          <w:szCs w:val="24"/>
        </w:rPr>
      </w:pPr>
      <w:r w:rsidRPr="00EF0B6C">
        <w:rPr>
          <w:b/>
          <w:bCs/>
          <w:sz w:val="24"/>
          <w:szCs w:val="24"/>
        </w:rPr>
        <w:t>Рабочая группа по перевозкам опасных грузов</w:t>
      </w:r>
    </w:p>
    <w:p w14:paraId="0851346C" w14:textId="77777777" w:rsidR="00CD76B0" w:rsidRPr="00CD76B0" w:rsidRDefault="00CD76B0" w:rsidP="00CD76B0">
      <w:pPr>
        <w:spacing w:before="120"/>
        <w:rPr>
          <w:b/>
          <w:bCs/>
        </w:rPr>
      </w:pPr>
      <w:r>
        <w:rPr>
          <w:b/>
          <w:bCs/>
        </w:rPr>
        <w:t>Совместное совещание экспертов по Правилам, прилагаемым</w:t>
      </w:r>
      <w:r>
        <w:rPr>
          <w:b/>
          <w:bCs/>
        </w:rPr>
        <w:br/>
        <w:t>к Европейскому соглашению о международной перевозке</w:t>
      </w:r>
      <w:r>
        <w:rPr>
          <w:b/>
          <w:bCs/>
        </w:rPr>
        <w:br/>
        <w:t>опасных грузов 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2E54BE05" w14:textId="77777777" w:rsidR="00CD76B0" w:rsidRPr="00EF0B6C" w:rsidRDefault="00CD76B0" w:rsidP="00CD76B0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040A94CB" w14:textId="77777777" w:rsidR="00CD76B0" w:rsidRPr="00EF0B6C" w:rsidRDefault="00CD76B0" w:rsidP="00CD76B0">
      <w:r>
        <w:t>Женева, 26–30 августа 2019 года</w:t>
      </w:r>
    </w:p>
    <w:p w14:paraId="24FAF475" w14:textId="77777777" w:rsidR="00CD76B0" w:rsidRPr="00EF0B6C" w:rsidRDefault="00CD76B0" w:rsidP="00CD76B0">
      <w:r>
        <w:t>Пункт 4 b) предварительной повестки дня</w:t>
      </w:r>
    </w:p>
    <w:p w14:paraId="4A80F5A2" w14:textId="77777777" w:rsidR="00CD76B0" w:rsidRPr="00EF0B6C" w:rsidRDefault="00CD76B0" w:rsidP="00CD76B0">
      <w:pPr>
        <w:rPr>
          <w:b/>
          <w:bCs/>
        </w:rPr>
      </w:pPr>
      <w:r>
        <w:rPr>
          <w:b/>
          <w:bCs/>
        </w:rPr>
        <w:t>Предложения о внесении поправок в Правила, прилагаемые к ВОПОГ:</w:t>
      </w:r>
    </w:p>
    <w:p w14:paraId="505C2C7B" w14:textId="77777777" w:rsidR="00CD76B0" w:rsidRPr="00EF0B6C" w:rsidRDefault="00CD76B0" w:rsidP="00CD76B0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7B234259" w14:textId="77777777" w:rsidR="00CD76B0" w:rsidRPr="00EF0B6C" w:rsidRDefault="00CD76B0" w:rsidP="00CD76B0">
      <w:pPr>
        <w:pStyle w:val="HChG"/>
      </w:pPr>
      <w:r>
        <w:tab/>
      </w:r>
      <w:r>
        <w:tab/>
      </w:r>
      <w:r>
        <w:rPr>
          <w:bCs/>
        </w:rPr>
        <w:t>Шланги в сборе для СПГ</w:t>
      </w:r>
    </w:p>
    <w:p w14:paraId="12B53E1B" w14:textId="77777777" w:rsidR="00CD76B0" w:rsidRPr="003E5EC4" w:rsidRDefault="00CD76B0" w:rsidP="00CD76B0">
      <w:pPr>
        <w:pStyle w:val="H1G"/>
        <w:rPr>
          <w:b w:val="0"/>
          <w:bCs/>
        </w:rPr>
      </w:pPr>
      <w:r>
        <w:tab/>
      </w:r>
      <w:r>
        <w:tab/>
        <w:t>Передано правительством Нидерландов</w:t>
      </w:r>
      <w:r w:rsidRPr="00CD76B0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D76B0">
        <w:rPr>
          <w:b w:val="0"/>
          <w:bCs/>
          <w:sz w:val="20"/>
        </w:rPr>
        <w:t xml:space="preserve"> </w:t>
      </w:r>
      <w:r w:rsidRPr="00CD76B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675"/>
      </w:tblGrid>
      <w:tr w:rsidR="00CD76B0" w:rsidRPr="00EF0B6C" w14:paraId="6A7F2E49" w14:textId="77777777" w:rsidTr="00CD76B0">
        <w:trPr>
          <w:jc w:val="center"/>
        </w:trPr>
        <w:tc>
          <w:tcPr>
            <w:tcW w:w="2830" w:type="dxa"/>
          </w:tcPr>
          <w:p w14:paraId="4E1C4954" w14:textId="77777777" w:rsidR="00CD76B0" w:rsidRPr="003134DF" w:rsidRDefault="00CD76B0" w:rsidP="00CD76B0">
            <w:pPr>
              <w:tabs>
                <w:tab w:val="left" w:pos="284"/>
              </w:tabs>
              <w:spacing w:before="120" w:after="120"/>
              <w:ind w:left="170"/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5675" w:type="dxa"/>
          </w:tcPr>
          <w:p w14:paraId="2E360C36" w14:textId="77777777" w:rsidR="00CD76B0" w:rsidRPr="00EF0B6C" w:rsidRDefault="00CD76B0" w:rsidP="009A6F9F">
            <w:pPr>
              <w:spacing w:before="120" w:after="120"/>
            </w:pPr>
            <w:r>
              <w:t xml:space="preserve">Ввиду все более широкого использования СПГ в качества топлива и его перевозки в качестве груза морскими судами и судами внутреннего плавания делегация Нидерландов сочла желательным разработать требования в отношении шлангов в сборе, используемых во время погрузки, разгрузки и бункеровки СПГ. В настоящем документе содержится одна поправка по этому вопросу к Правилам, прилагаемым к ВОПОГ. </w:t>
            </w:r>
          </w:p>
        </w:tc>
      </w:tr>
      <w:tr w:rsidR="00CD76B0" w:rsidRPr="00EF0B6C" w14:paraId="5699D289" w14:textId="77777777" w:rsidTr="00CD76B0">
        <w:trPr>
          <w:trHeight w:val="509"/>
          <w:jc w:val="center"/>
        </w:trPr>
        <w:tc>
          <w:tcPr>
            <w:tcW w:w="2830" w:type="dxa"/>
          </w:tcPr>
          <w:p w14:paraId="2C1F88FA" w14:textId="77777777" w:rsidR="00CD76B0" w:rsidRPr="003134DF" w:rsidRDefault="00CD76B0" w:rsidP="00CD76B0">
            <w:pPr>
              <w:tabs>
                <w:tab w:val="left" w:pos="284"/>
              </w:tabs>
              <w:spacing w:before="120" w:after="120"/>
              <w:ind w:left="170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5675" w:type="dxa"/>
          </w:tcPr>
          <w:p w14:paraId="50D6AC38" w14:textId="77777777" w:rsidR="00CD76B0" w:rsidRPr="00EF0B6C" w:rsidRDefault="00CD76B0" w:rsidP="009A6F9F">
            <w:pPr>
              <w:spacing w:before="120" w:after="120"/>
            </w:pPr>
            <w:r>
              <w:t>В пункте 5 сформулирована просьба к Комитету по вопросам безопасности принять предлагаемую поправку.</w:t>
            </w:r>
          </w:p>
        </w:tc>
      </w:tr>
      <w:tr w:rsidR="00CD76B0" w:rsidRPr="00CD76B0" w14:paraId="5D4FA2FE" w14:textId="77777777" w:rsidTr="00CD76B0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662EA4B7" w14:textId="77777777" w:rsidR="00CD76B0" w:rsidRPr="003134DF" w:rsidRDefault="00CD76B0" w:rsidP="00CD76B0">
            <w:pPr>
              <w:tabs>
                <w:tab w:val="left" w:pos="284"/>
              </w:tabs>
              <w:spacing w:before="120" w:after="120"/>
              <w:ind w:left="170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14:paraId="2671DD3E" w14:textId="77777777" w:rsidR="00CD76B0" w:rsidRPr="00CD76B0" w:rsidRDefault="00CD76B0" w:rsidP="009A6F9F">
            <w:pPr>
              <w:spacing w:before="120"/>
              <w:rPr>
                <w:lang w:val="en-US"/>
              </w:rPr>
            </w:pPr>
            <w:r w:rsidRPr="00EF0B6C">
              <w:rPr>
                <w:lang w:val="en-US"/>
              </w:rPr>
              <w:t>ECE/TRANS/WP.15/AC.2/2019/15</w:t>
            </w:r>
          </w:p>
          <w:p w14:paraId="7941686A" w14:textId="77777777" w:rsidR="00CD76B0" w:rsidRPr="00CD76B0" w:rsidRDefault="00CD76B0" w:rsidP="00CD76B0">
            <w:pPr>
              <w:spacing w:after="120"/>
              <w:rPr>
                <w:lang w:val="en-US"/>
              </w:rPr>
            </w:pPr>
            <w:r w:rsidRPr="00EF0B6C">
              <w:rPr>
                <w:lang w:val="en-US"/>
              </w:rPr>
              <w:t>ECE/TRANS/WP.15/AC.2/70 (</w:t>
            </w:r>
            <w:r>
              <w:t>пункты</w:t>
            </w:r>
            <w:r w:rsidRPr="00EF0B6C">
              <w:rPr>
                <w:lang w:val="en-US"/>
              </w:rPr>
              <w:t xml:space="preserve"> 45–47)</w:t>
            </w:r>
          </w:p>
        </w:tc>
      </w:tr>
    </w:tbl>
    <w:p w14:paraId="532CC71C" w14:textId="77777777" w:rsidR="00CD76B0" w:rsidRPr="00CD76B0" w:rsidRDefault="00CD76B0" w:rsidP="00CD76B0">
      <w:pPr>
        <w:pStyle w:val="HChG"/>
      </w:pPr>
      <w:r>
        <w:lastRenderedPageBreak/>
        <w:tab/>
      </w:r>
      <w:r>
        <w:tab/>
      </w:r>
      <w:r w:rsidRPr="00CD76B0">
        <w:t>Введение</w:t>
      </w:r>
    </w:p>
    <w:p w14:paraId="77DF5908" w14:textId="77777777" w:rsidR="00CD76B0" w:rsidRPr="00916AF3" w:rsidRDefault="00CD76B0" w:rsidP="00916AF3">
      <w:pPr>
        <w:pStyle w:val="SingleTxtG"/>
      </w:pPr>
      <w:r w:rsidRPr="00916AF3">
        <w:t>1.</w:t>
      </w:r>
      <w:r w:rsidRPr="00916AF3">
        <w:tab/>
        <w:t>На своей тридцать четвертой сессии Комитет по вопросам безопасности обсудил рабочий документ ECE/TRANS/WP.15/AC.2/2019/15, подготовленный делегацией Нидерландов. Комитет по вопросам безопасности предложил делегации Нидерландов пересмотреть ее предложение о включении в пункт 8.1.6.2 ссылки на стандарт ISO 20519:2017 в свете высказанных замечаний. В частности, было предложено изучить вопрос о том, не является ли стандарт EN 1474-2:2008, возможно, более подходящим для включения ссылки на него в пункт 8.1.6.2.</w:t>
      </w:r>
    </w:p>
    <w:p w14:paraId="4E677C45" w14:textId="77777777" w:rsidR="00CD76B0" w:rsidRPr="00EF0B6C" w:rsidRDefault="00CD76B0" w:rsidP="00CD76B0">
      <w:pPr>
        <w:pStyle w:val="H1G"/>
      </w:pPr>
      <w:r>
        <w:tab/>
      </w:r>
      <w:r>
        <w:tab/>
      </w:r>
      <w:r>
        <w:rPr>
          <w:bCs/>
        </w:rPr>
        <w:t>Сопоставление этих двух стандартов</w:t>
      </w:r>
    </w:p>
    <w:p w14:paraId="73174059" w14:textId="77777777" w:rsidR="00CD76B0" w:rsidRPr="00EF0B6C" w:rsidRDefault="00CD76B0" w:rsidP="00916AF3">
      <w:pPr>
        <w:pStyle w:val="SingleTxtG"/>
      </w:pPr>
      <w:r>
        <w:t>2.</w:t>
      </w:r>
      <w:r>
        <w:tab/>
        <w:t>Стандарт EN 1474-2:2008 содержит описание шлангов и шлангов в сборе для перекачки СПГ и их конструктивных особенностей. Однако стандарт EN 1474-2:2008 не содержит норм в отношении ежегодных проверок и осмотров, которые являются обычными процедурами для других шлангов в сборе, описываемых в пункте 8.1.6.2.</w:t>
      </w:r>
    </w:p>
    <w:p w14:paraId="5E0C9C01" w14:textId="77777777" w:rsidR="00CD76B0" w:rsidRPr="00EF0B6C" w:rsidRDefault="00CD76B0" w:rsidP="00916AF3">
      <w:pPr>
        <w:pStyle w:val="SingleTxtG"/>
      </w:pPr>
      <w:proofErr w:type="gramStart"/>
      <w:r>
        <w:t>3.</w:t>
      </w:r>
      <w:r>
        <w:tab/>
        <w:t>В</w:t>
      </w:r>
      <w:proofErr w:type="gramEnd"/>
      <w:r>
        <w:t xml:space="preserve"> стандарте ISO 20519:2017 установлена</w:t>
      </w:r>
      <w:r w:rsidRPr="00EF0B6C">
        <w:t xml:space="preserve"> </w:t>
      </w:r>
      <w:r>
        <w:t xml:space="preserve">спецификация на бункеровку судов, использующих сжиженный природный газ в качестве топлива. </w:t>
      </w:r>
      <w:r w:rsidR="00916AF3">
        <w:t>Стандарт</w:t>
      </w:r>
      <w:r w:rsidR="00916AF3">
        <w:br/>
      </w:r>
      <w:r>
        <w:t>ISO 20519:2017 содержит в части 5.5.2 требования стандарта EN 1474-2:2008, касающиеся шлангов и шлангов в сборе</w:t>
      </w:r>
      <w:r w:rsidR="00916AF3">
        <w:t xml:space="preserve"> для перекачки СПГ. Кроме того,</w:t>
      </w:r>
      <w:r w:rsidR="00916AF3">
        <w:br/>
      </w:r>
      <w:r>
        <w:t>в частях 5.3–5.7 стандарта ISO 20519:2017 рассматриваются различные дополнительные элементы, такие как система аварийного разъединения и система аварийной остановки, поддержка системы и</w:t>
      </w:r>
      <w:r w:rsidR="00916AF3">
        <w:t xml:space="preserve"> соединения сухого разъема. Эти </w:t>
      </w:r>
      <w:r>
        <w:t>дополнительные элементы выходят за рамки круга сопоставимых действующих стандартов, указанных в пункте 8.1.6.2 для других шлангов в сборе.</w:t>
      </w:r>
    </w:p>
    <w:p w14:paraId="24C9AE01" w14:textId="77777777" w:rsidR="00CD76B0" w:rsidRPr="00EF0B6C" w:rsidRDefault="00CD76B0" w:rsidP="00CD76B0">
      <w:pPr>
        <w:pStyle w:val="H1G"/>
      </w:pPr>
      <w:r>
        <w:tab/>
      </w:r>
      <w:r>
        <w:tab/>
      </w:r>
      <w:r>
        <w:rPr>
          <w:bCs/>
        </w:rPr>
        <w:t>Поправка</w:t>
      </w:r>
    </w:p>
    <w:p w14:paraId="68251575" w14:textId="77777777" w:rsidR="00CD76B0" w:rsidRPr="00EF0B6C" w:rsidRDefault="00CD76B0" w:rsidP="00916AF3">
      <w:pPr>
        <w:pStyle w:val="SingleTxtG"/>
      </w:pPr>
      <w:r>
        <w:t>4.</w:t>
      </w:r>
      <w:r>
        <w:tab/>
        <w:t>Учитывая глобальный охват стандарта ISO 20519:2017, включение стандарта ISO 20519:2017 в законодательство Европейского союза посредством статьи 3 Регламента (EU) 2018/674 и отсутствие процедур проверки и осмотра</w:t>
      </w:r>
      <w:r w:rsidR="00916AF3">
        <w:t xml:space="preserve"> в стандарте EN </w:t>
      </w:r>
      <w:r>
        <w:t>1474-2:2008, делегация Нидерландов предлагает включить в пункт 8.1.6.2 ссылку на часть 5.5.2 стандарта ISO 20519:2017 и сс</w:t>
      </w:r>
      <w:r w:rsidR="00916AF3">
        <w:t>ылку на часть 5.8 стандарта ISO </w:t>
      </w:r>
      <w:r>
        <w:t>20519:2017 в отношении процедур проверки и осмотра.</w:t>
      </w:r>
    </w:p>
    <w:p w14:paraId="71B51313" w14:textId="77777777" w:rsidR="00CD76B0" w:rsidRPr="00EF0B6C" w:rsidRDefault="00CD76B0" w:rsidP="00916AF3">
      <w:pPr>
        <w:pStyle w:val="SingleTxtG"/>
        <w:ind w:left="1701"/>
      </w:pPr>
      <w:r>
        <w:t>«8.1.6.2</w:t>
      </w:r>
      <w:r>
        <w:tab/>
        <w:t>Шланги в сборе, используемые для погрузки, разгрузки или передачи продуктов, необходимых для эксплуатации судна, и остаточного груза, должны соответствовать европейскому стандарту EN 12115:2011-04 (Резиновые и термопластические шланги и шланги в сборе), ил</w:t>
      </w:r>
      <w:r w:rsidR="00916AF3">
        <w:t>и</w:t>
      </w:r>
      <w:r w:rsidR="00916AF3">
        <w:br/>
      </w:r>
      <w:r>
        <w:t>EN 13765:2010-08 (Термопластические многослойные (</w:t>
      </w:r>
      <w:proofErr w:type="spellStart"/>
      <w:r>
        <w:t>невулканизированные</w:t>
      </w:r>
      <w:proofErr w:type="spellEnd"/>
      <w:r>
        <w:t>) шланги и шланги в сборе), или EN ISO 10380:2003-10 (Гофрированные металлические шланги и шланги в сборе). Они должны проверяться и осматриваться в соответствии с таблицей А.1 стандарта EN 12115:2011-04, или таблицей К.1 стандарта EN 13765:2</w:t>
      </w:r>
      <w:r w:rsidR="00916AF3">
        <w:t>010-08, или пунктом 7 стандарта</w:t>
      </w:r>
      <w:r w:rsidR="00916AF3">
        <w:br/>
      </w:r>
      <w:r>
        <w:t xml:space="preserve">EN ISO 10380:2003-10 не реже одного раза в год в соответствии с инструкциями изготовителя лицами, уполномоченными для этой цели компетентным органом. Свидетельство о такой проверке должно находиться на борту судна. </w:t>
      </w:r>
      <w:r w:rsidRPr="00E94466">
        <w:rPr>
          <w:b/>
          <w:bCs/>
          <w:u w:val="single"/>
        </w:rPr>
        <w:t>Шланги в сборе, используемые для погрузки, разгрузки или передачи сжиженного природного газа, необходимого для эксплуатации судна, должны соответствовать части 5.5.2 стандарта ISO 20519:2017 (Суда и морские технологии – Спецификация на бункеровку судов, использующих сжиженный природный газ в качестве топлива) и должны проверяться в соответствии с положениями части 5.8 стандарта ISO 20519:2017.</w:t>
      </w:r>
      <w:r>
        <w:t>».</w:t>
      </w:r>
    </w:p>
    <w:p w14:paraId="4AA9BD7B" w14:textId="77777777" w:rsidR="00CD76B0" w:rsidRPr="00CA4DCC" w:rsidRDefault="00CD76B0" w:rsidP="00CD76B0">
      <w:pPr>
        <w:pStyle w:val="H1G"/>
      </w:pPr>
      <w:r>
        <w:lastRenderedPageBreak/>
        <w:tab/>
      </w:r>
      <w:r>
        <w:tab/>
      </w:r>
      <w:r w:rsidR="002843F4">
        <w:rPr>
          <w:bCs/>
        </w:rPr>
        <w:t>Предлагаемое решение</w:t>
      </w:r>
    </w:p>
    <w:p w14:paraId="6CD70201" w14:textId="77777777" w:rsidR="00CD76B0" w:rsidRPr="007A2AB4" w:rsidRDefault="00CD76B0" w:rsidP="00CD76B0">
      <w:pPr>
        <w:pStyle w:val="SingleTxtG"/>
      </w:pPr>
      <w:r>
        <w:t>5.</w:t>
      </w:r>
      <w:r>
        <w:tab/>
        <w:t>Делегация Нидерландов просит Комитет по вопросам безопасности ВОПОГ рассмотреть поправку, предлагаемую в пункте 4, и принять решения, которые он сочтет целесообразными.</w:t>
      </w:r>
    </w:p>
    <w:p w14:paraId="0F74D6E7" w14:textId="77777777" w:rsidR="00CD76B0" w:rsidRPr="007A2AB4" w:rsidRDefault="00CD76B0" w:rsidP="00CD76B0">
      <w:pPr>
        <w:spacing w:before="120"/>
        <w:jc w:val="center"/>
        <w:rPr>
          <w:u w:val="single"/>
        </w:rPr>
      </w:pPr>
      <w:r w:rsidRPr="007A2AB4">
        <w:rPr>
          <w:u w:val="single"/>
        </w:rPr>
        <w:tab/>
      </w:r>
      <w:r w:rsidRPr="007A2AB4">
        <w:rPr>
          <w:u w:val="single"/>
        </w:rPr>
        <w:tab/>
      </w:r>
      <w:r w:rsidRPr="007A2AB4">
        <w:rPr>
          <w:u w:val="single"/>
        </w:rPr>
        <w:tab/>
      </w:r>
    </w:p>
    <w:p w14:paraId="10651D2F" w14:textId="77777777" w:rsidR="00E12C5F" w:rsidRPr="008D53B6" w:rsidRDefault="00E12C5F" w:rsidP="00D9145B"/>
    <w:sectPr w:rsidR="00E12C5F" w:rsidRPr="008D53B6" w:rsidSect="00CD76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E58B" w14:textId="77777777" w:rsidR="00736988" w:rsidRPr="00A312BC" w:rsidRDefault="00736988" w:rsidP="00A312BC"/>
  </w:endnote>
  <w:endnote w:type="continuationSeparator" w:id="0">
    <w:p w14:paraId="28ACC878" w14:textId="77777777" w:rsidR="00736988" w:rsidRPr="00A312BC" w:rsidRDefault="0073698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934E" w14:textId="77777777" w:rsidR="00CD76B0" w:rsidRPr="00CD76B0" w:rsidRDefault="00CD76B0">
    <w:pPr>
      <w:pStyle w:val="Footer"/>
    </w:pPr>
    <w:r w:rsidRPr="00CD76B0">
      <w:rPr>
        <w:b/>
        <w:sz w:val="18"/>
      </w:rPr>
      <w:fldChar w:fldCharType="begin"/>
    </w:r>
    <w:r w:rsidRPr="00CD76B0">
      <w:rPr>
        <w:b/>
        <w:sz w:val="18"/>
      </w:rPr>
      <w:instrText xml:space="preserve"> PAGE  \* MERGEFORMAT </w:instrText>
    </w:r>
    <w:r w:rsidRPr="00CD76B0">
      <w:rPr>
        <w:b/>
        <w:sz w:val="18"/>
      </w:rPr>
      <w:fldChar w:fldCharType="separate"/>
    </w:r>
    <w:r w:rsidR="00870585">
      <w:rPr>
        <w:b/>
        <w:noProof/>
        <w:sz w:val="18"/>
      </w:rPr>
      <w:t>2</w:t>
    </w:r>
    <w:r w:rsidRPr="00CD76B0">
      <w:rPr>
        <w:b/>
        <w:sz w:val="18"/>
      </w:rPr>
      <w:fldChar w:fldCharType="end"/>
    </w:r>
    <w:r>
      <w:rPr>
        <w:b/>
        <w:sz w:val="18"/>
      </w:rPr>
      <w:tab/>
    </w:r>
    <w:r>
      <w:t>GE.19-09253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34D1" w14:textId="77777777" w:rsidR="00CD76B0" w:rsidRPr="00CD76B0" w:rsidRDefault="00CD76B0" w:rsidP="00CD76B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GE.19-09253</w:t>
    </w:r>
    <w:r>
      <w:tab/>
    </w:r>
    <w:r w:rsidRPr="00CD76B0">
      <w:rPr>
        <w:b/>
        <w:sz w:val="18"/>
      </w:rPr>
      <w:fldChar w:fldCharType="begin"/>
    </w:r>
    <w:r w:rsidRPr="00CD76B0">
      <w:rPr>
        <w:b/>
        <w:sz w:val="18"/>
      </w:rPr>
      <w:instrText xml:space="preserve"> PAGE  \* MERGEFORMAT </w:instrText>
    </w:r>
    <w:r w:rsidRPr="00CD76B0">
      <w:rPr>
        <w:b/>
        <w:sz w:val="18"/>
      </w:rPr>
      <w:fldChar w:fldCharType="separate"/>
    </w:r>
    <w:r w:rsidR="00870585">
      <w:rPr>
        <w:b/>
        <w:noProof/>
        <w:sz w:val="18"/>
      </w:rPr>
      <w:t>3</w:t>
    </w:r>
    <w:r w:rsidRPr="00CD76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33E9" w14:textId="77777777" w:rsidR="00042B72" w:rsidRPr="00CD76B0" w:rsidRDefault="00CD76B0" w:rsidP="00CD76B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2C68BBE" wp14:editId="05EBB5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09253  (</w:t>
    </w:r>
    <w:proofErr w:type="gramEnd"/>
    <w:r>
      <w:t>R)</w:t>
    </w:r>
    <w:r>
      <w:rPr>
        <w:lang w:val="en-US"/>
      </w:rPr>
      <w:t xml:space="preserve">  120619  120619</w:t>
    </w:r>
    <w:r>
      <w:br/>
    </w:r>
    <w:r w:rsidRPr="00CD76B0">
      <w:rPr>
        <w:rFonts w:ascii="C39T30Lfz" w:hAnsi="C39T30Lfz"/>
        <w:kern w:val="14"/>
        <w:sz w:val="56"/>
      </w:rPr>
      <w:t></w:t>
    </w:r>
    <w:r w:rsidRPr="00CD76B0">
      <w:rPr>
        <w:rFonts w:ascii="C39T30Lfz" w:hAnsi="C39T30Lfz"/>
        <w:kern w:val="14"/>
        <w:sz w:val="56"/>
      </w:rPr>
      <w:t></w:t>
    </w:r>
    <w:r w:rsidRPr="00CD76B0">
      <w:rPr>
        <w:rFonts w:ascii="C39T30Lfz" w:hAnsi="C39T30Lfz"/>
        <w:kern w:val="14"/>
        <w:sz w:val="56"/>
      </w:rPr>
      <w:t></w:t>
    </w:r>
    <w:r w:rsidRPr="00CD76B0">
      <w:rPr>
        <w:rFonts w:ascii="C39T30Lfz" w:hAnsi="C39T30Lfz"/>
        <w:kern w:val="14"/>
        <w:sz w:val="56"/>
      </w:rPr>
      <w:t></w:t>
    </w:r>
    <w:r w:rsidRPr="00CD76B0">
      <w:rPr>
        <w:rFonts w:ascii="C39T30Lfz" w:hAnsi="C39T30Lfz"/>
        <w:kern w:val="14"/>
        <w:sz w:val="56"/>
      </w:rPr>
      <w:t></w:t>
    </w:r>
    <w:r w:rsidRPr="00CD76B0">
      <w:rPr>
        <w:rFonts w:ascii="C39T30Lfz" w:hAnsi="C39T30Lfz"/>
        <w:kern w:val="14"/>
        <w:sz w:val="56"/>
      </w:rPr>
      <w:t></w:t>
    </w:r>
    <w:r w:rsidRPr="00CD76B0">
      <w:rPr>
        <w:rFonts w:ascii="C39T30Lfz" w:hAnsi="C39T30Lfz"/>
        <w:kern w:val="14"/>
        <w:sz w:val="56"/>
      </w:rPr>
      <w:t></w:t>
    </w:r>
    <w:r w:rsidRPr="00CD76B0">
      <w:rPr>
        <w:rFonts w:ascii="C39T30Lfz" w:hAnsi="C39T30Lfz"/>
        <w:kern w:val="14"/>
        <w:sz w:val="56"/>
      </w:rPr>
      <w:t></w:t>
    </w:r>
    <w:r w:rsidRPr="00CD76B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E9D6DF9" wp14:editId="3890B7D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15E1" w14:textId="77777777" w:rsidR="00736988" w:rsidRPr="001075E9" w:rsidRDefault="0073698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5F784B" w14:textId="77777777" w:rsidR="00736988" w:rsidRDefault="0073698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E94012" w14:textId="77777777" w:rsidR="00CD76B0" w:rsidRPr="00EF0B6C" w:rsidRDefault="00CD76B0" w:rsidP="00CD76B0">
      <w:pPr>
        <w:pStyle w:val="FootnoteText"/>
      </w:pPr>
      <w:r>
        <w:tab/>
      </w:r>
      <w:r w:rsidRPr="00CD76B0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CCNR/ZKR/ADN/WP.15/AC.2/2019/29.</w:t>
      </w:r>
    </w:p>
  </w:footnote>
  <w:footnote w:id="2">
    <w:p w14:paraId="694BB646" w14:textId="77777777" w:rsidR="00CD76B0" w:rsidRPr="00EF0B6C" w:rsidRDefault="00CD76B0" w:rsidP="00CD76B0">
      <w:pPr>
        <w:pStyle w:val="FootnoteText"/>
      </w:pPr>
      <w:r>
        <w:tab/>
      </w:r>
      <w:r w:rsidRPr="00CD76B0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AE53" w14:textId="1BA99C0D" w:rsidR="00CD76B0" w:rsidRPr="00CD76B0" w:rsidRDefault="003005D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6B9A" w14:textId="711D17CA" w:rsidR="00CD76B0" w:rsidRPr="00CD76B0" w:rsidRDefault="003005D3" w:rsidP="00CD76B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8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1494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43F4"/>
    <w:rsid w:val="002A2EFC"/>
    <w:rsid w:val="002B0106"/>
    <w:rsid w:val="002B74B1"/>
    <w:rsid w:val="002C0E18"/>
    <w:rsid w:val="002D5AAC"/>
    <w:rsid w:val="002E5067"/>
    <w:rsid w:val="002F405F"/>
    <w:rsid w:val="002F7EEC"/>
    <w:rsid w:val="003005D3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6988"/>
    <w:rsid w:val="00757357"/>
    <w:rsid w:val="00792497"/>
    <w:rsid w:val="00806737"/>
    <w:rsid w:val="00825F8D"/>
    <w:rsid w:val="00834B71"/>
    <w:rsid w:val="0086445C"/>
    <w:rsid w:val="00870585"/>
    <w:rsid w:val="00894693"/>
    <w:rsid w:val="008A08D7"/>
    <w:rsid w:val="008A37C8"/>
    <w:rsid w:val="008B6909"/>
    <w:rsid w:val="008D53B6"/>
    <w:rsid w:val="008F7609"/>
    <w:rsid w:val="00906890"/>
    <w:rsid w:val="00911BE4"/>
    <w:rsid w:val="00916AF3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76B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3C97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695AE"/>
  <w15:docId w15:val="{594FAE00-9E83-42AB-A32F-63AFF38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D76B0"/>
    <w:rPr>
      <w:lang w:val="ru-RU" w:eastAsia="en-US"/>
    </w:rPr>
  </w:style>
  <w:style w:type="paragraph" w:customStyle="1" w:styleId="ParNoG">
    <w:name w:val="_ParNo_G"/>
    <w:basedOn w:val="SingleTxtG"/>
    <w:qFormat/>
    <w:rsid w:val="00CD76B0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ECE/TRANS/WP.15/AC.2/2019/29</vt:lpstr>
      <vt:lpstr>ECE/TRANS/WP.15/AC.2/2019/29</vt:lpstr>
      <vt:lpstr>A/</vt:lpstr>
    </vt:vector>
  </TitlesOfParts>
  <Company>DCM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ECE/TRANS/WP.15/AC.2/2019/29</dc:title>
  <dc:subject/>
  <dc:creator>Uliana ANTIPOVA</dc:creator>
  <cp:keywords/>
  <cp:lastModifiedBy>Marie-Claude Collet</cp:lastModifiedBy>
  <cp:revision>3</cp:revision>
  <cp:lastPrinted>2019-06-26T08:42:00Z</cp:lastPrinted>
  <dcterms:created xsi:type="dcterms:W3CDTF">2019-06-26T08:42:00Z</dcterms:created>
  <dcterms:modified xsi:type="dcterms:W3CDTF">2019-06-26T08:42:00Z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