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0E6717">
        <w:trPr>
          <w:trHeight w:hRule="exact" w:val="851"/>
        </w:trPr>
        <w:tc>
          <w:tcPr>
            <w:tcW w:w="1276" w:type="dxa"/>
            <w:tcBorders>
              <w:bottom w:val="single" w:sz="4" w:space="0" w:color="auto"/>
            </w:tcBorders>
          </w:tcPr>
          <w:p w:rsidR="001433FD" w:rsidRPr="00DB58B5" w:rsidRDefault="001433FD" w:rsidP="0001207F"/>
        </w:tc>
        <w:tc>
          <w:tcPr>
            <w:tcW w:w="2268" w:type="dxa"/>
            <w:tcBorders>
              <w:bottom w:val="single" w:sz="4" w:space="0" w:color="auto"/>
            </w:tcBorders>
            <w:vAlign w:val="bottom"/>
          </w:tcPr>
          <w:p w:rsidR="001433FD" w:rsidRPr="00DB58B5" w:rsidRDefault="001433FD" w:rsidP="007D3236">
            <w:pPr>
              <w:spacing w:after="80" w:line="300" w:lineRule="exact"/>
              <w:rPr>
                <w:sz w:val="28"/>
              </w:rPr>
            </w:pPr>
            <w:r w:rsidRPr="00DB58B5">
              <w:rPr>
                <w:sz w:val="28"/>
              </w:rPr>
              <w:t>Nations Unies</w:t>
            </w:r>
          </w:p>
        </w:tc>
        <w:tc>
          <w:tcPr>
            <w:tcW w:w="6095" w:type="dxa"/>
            <w:gridSpan w:val="2"/>
            <w:vAlign w:val="bottom"/>
          </w:tcPr>
          <w:p w:rsidR="001433FD" w:rsidRPr="00DB58B5" w:rsidRDefault="00D2682B" w:rsidP="00D2682B">
            <w:pPr>
              <w:jc w:val="right"/>
            </w:pPr>
            <w:r w:rsidRPr="00D2682B">
              <w:rPr>
                <w:sz w:val="40"/>
              </w:rPr>
              <w:t>ECE</w:t>
            </w:r>
            <w:r>
              <w:t>/TRANS/WP.15/AC.2/2019/</w:t>
            </w:r>
            <w:r w:rsidR="00A95F13">
              <w:t>19</w:t>
            </w:r>
          </w:p>
        </w:tc>
      </w:tr>
      <w:tr w:rsidR="001433FD" w:rsidRPr="00DB58B5" w:rsidTr="007D3236">
        <w:trPr>
          <w:trHeight w:hRule="exact" w:val="2835"/>
        </w:trPr>
        <w:tc>
          <w:tcPr>
            <w:tcW w:w="1276" w:type="dxa"/>
            <w:tcBorders>
              <w:top w:val="single" w:sz="4" w:space="0" w:color="auto"/>
              <w:bottom w:val="single" w:sz="12" w:space="0" w:color="auto"/>
            </w:tcBorders>
          </w:tcPr>
          <w:p w:rsidR="001433FD" w:rsidRPr="00DB58B5" w:rsidRDefault="001433FD" w:rsidP="007D3236">
            <w:pPr>
              <w:spacing w:before="120"/>
              <w:jc w:val="center"/>
            </w:pPr>
            <w:r>
              <w:rPr>
                <w:noProof/>
                <w:lang w:eastAsia="fr-CH"/>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01207F" w:rsidRDefault="00D2682B" w:rsidP="00D2682B">
            <w:pPr>
              <w:spacing w:before="240" w:line="240" w:lineRule="exact"/>
            </w:pPr>
            <w:proofErr w:type="spellStart"/>
            <w:r>
              <w:t>Distr</w:t>
            </w:r>
            <w:proofErr w:type="spellEnd"/>
            <w:r>
              <w:t xml:space="preserve">. </w:t>
            </w:r>
            <w:proofErr w:type="gramStart"/>
            <w:r>
              <w:t>générale</w:t>
            </w:r>
            <w:proofErr w:type="gramEnd"/>
          </w:p>
          <w:p w:rsidR="00D2682B" w:rsidRDefault="00A95F13" w:rsidP="00D2682B">
            <w:pPr>
              <w:spacing w:line="240" w:lineRule="exact"/>
            </w:pPr>
            <w:r>
              <w:t>7</w:t>
            </w:r>
            <w:r w:rsidR="00156EA2">
              <w:t xml:space="preserve"> juin</w:t>
            </w:r>
            <w:r w:rsidR="00D2682B">
              <w:t xml:space="preserve"> 2019</w:t>
            </w:r>
          </w:p>
          <w:p w:rsidR="00D2682B" w:rsidRDefault="00D2682B" w:rsidP="00D2682B">
            <w:pPr>
              <w:spacing w:line="240" w:lineRule="exact"/>
            </w:pPr>
          </w:p>
          <w:p w:rsidR="00D2682B" w:rsidRPr="00DB58B5" w:rsidRDefault="00D2682B" w:rsidP="00D2682B">
            <w:pPr>
              <w:spacing w:line="240" w:lineRule="exact"/>
            </w:pPr>
            <w:r>
              <w:t>Original : français</w:t>
            </w:r>
          </w:p>
        </w:tc>
      </w:tr>
    </w:tbl>
    <w:p w:rsidR="00DE239D" w:rsidRDefault="00DE239D" w:rsidP="00D3775F">
      <w:pPr>
        <w:spacing w:before="120"/>
        <w:rPr>
          <w:b/>
          <w:sz w:val="28"/>
          <w:szCs w:val="28"/>
        </w:rPr>
      </w:pPr>
      <w:r w:rsidRPr="00883605">
        <w:rPr>
          <w:b/>
          <w:sz w:val="28"/>
          <w:szCs w:val="28"/>
        </w:rPr>
        <w:t>Commission économique pour l</w:t>
      </w:r>
      <w:r w:rsidR="001E148F">
        <w:rPr>
          <w:rFonts w:hint="eastAsia"/>
          <w:b/>
          <w:sz w:val="28"/>
          <w:szCs w:val="28"/>
        </w:rPr>
        <w:t>’</w:t>
      </w:r>
      <w:r w:rsidRPr="00883605">
        <w:rPr>
          <w:b/>
          <w:sz w:val="28"/>
          <w:szCs w:val="28"/>
        </w:rPr>
        <w:t>Europe</w:t>
      </w:r>
    </w:p>
    <w:p w:rsidR="00875132" w:rsidRDefault="00875132" w:rsidP="00875132">
      <w:pPr>
        <w:spacing w:before="120"/>
        <w:rPr>
          <w:sz w:val="28"/>
          <w:szCs w:val="28"/>
        </w:rPr>
      </w:pPr>
      <w:r w:rsidRPr="00685843">
        <w:rPr>
          <w:sz w:val="28"/>
          <w:szCs w:val="28"/>
        </w:rPr>
        <w:t>Comité des transports intérieurs</w:t>
      </w:r>
    </w:p>
    <w:p w:rsidR="00875132" w:rsidRPr="009E01B8" w:rsidRDefault="00875132" w:rsidP="00875132">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rsidR="00875132" w:rsidRDefault="00875132" w:rsidP="00875132">
      <w:pPr>
        <w:spacing w:before="120"/>
        <w:rPr>
          <w:b/>
        </w:rPr>
      </w:pPr>
      <w:r w:rsidRPr="004812F5">
        <w:rPr>
          <w:b/>
          <w:lang w:val="fr-FR"/>
        </w:rPr>
        <w:t>Réunion commune d</w:t>
      </w:r>
      <w:r w:rsidR="001E148F">
        <w:rPr>
          <w:rFonts w:hint="eastAsia"/>
          <w:b/>
          <w:lang w:val="fr-FR"/>
        </w:rPr>
        <w:t>’</w:t>
      </w:r>
      <w:r w:rsidRPr="004812F5">
        <w:rPr>
          <w:b/>
          <w:lang w:val="fr-FR"/>
        </w:rPr>
        <w:t>experts sur le Règlement annexé</w:t>
      </w:r>
      <w:r>
        <w:rPr>
          <w:b/>
          <w:lang w:val="fr-FR"/>
        </w:rPr>
        <w:t xml:space="preserve"> </w:t>
      </w:r>
      <w:r>
        <w:rPr>
          <w:b/>
          <w:lang w:val="fr-FR"/>
        </w:rPr>
        <w:br/>
      </w:r>
      <w:r w:rsidRPr="004812F5">
        <w:rPr>
          <w:b/>
          <w:lang w:val="fr-FR"/>
        </w:rPr>
        <w:t>à l</w:t>
      </w:r>
      <w:r w:rsidR="001E148F">
        <w:rPr>
          <w:rFonts w:hint="eastAsia"/>
          <w:b/>
          <w:lang w:val="fr-FR"/>
        </w:rPr>
        <w:t>’</w:t>
      </w:r>
      <w:r w:rsidRPr="004812F5">
        <w:rPr>
          <w:b/>
          <w:lang w:val="fr-FR"/>
        </w:rPr>
        <w:t>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w:t>
      </w:r>
      <w:r w:rsidR="001E148F">
        <w:rPr>
          <w:rFonts w:hint="eastAsia"/>
          <w:b/>
          <w:bCs/>
          <w:lang w:val="fr-FR"/>
        </w:rPr>
        <w:t>’</w:t>
      </w:r>
      <w:r w:rsidRPr="004812F5">
        <w:rPr>
          <w:b/>
          <w:bCs/>
          <w:lang w:val="fr-FR"/>
        </w:rPr>
        <w:t>ADN)</w:t>
      </w:r>
    </w:p>
    <w:p w:rsidR="00875132" w:rsidRPr="00234E40" w:rsidRDefault="00875132" w:rsidP="00875132">
      <w:pPr>
        <w:spacing w:before="120"/>
        <w:rPr>
          <w:b/>
        </w:rPr>
      </w:pPr>
      <w:r>
        <w:rPr>
          <w:b/>
        </w:rPr>
        <w:t xml:space="preserve">Trente-cinquième </w:t>
      </w:r>
      <w:r w:rsidRPr="00234E40">
        <w:rPr>
          <w:b/>
        </w:rPr>
        <w:t>session</w:t>
      </w:r>
    </w:p>
    <w:p w:rsidR="00875132" w:rsidRDefault="00875132" w:rsidP="00875132">
      <w:r>
        <w:t>Genève, 26-30 août 2019</w:t>
      </w:r>
    </w:p>
    <w:p w:rsidR="00875132" w:rsidRDefault="00875132" w:rsidP="00875132">
      <w:r w:rsidRPr="00B93E72">
        <w:t xml:space="preserve">Point </w:t>
      </w:r>
      <w:r>
        <w:t xml:space="preserve">4 </w:t>
      </w:r>
      <w:r w:rsidR="00C510A4">
        <w:t>b</w:t>
      </w:r>
      <w:r>
        <w:t xml:space="preserve">) </w:t>
      </w:r>
      <w:r w:rsidRPr="00B93E72">
        <w:t>de l</w:t>
      </w:r>
      <w:r w:rsidR="001E148F">
        <w:rPr>
          <w:rFonts w:hint="eastAsia"/>
        </w:rPr>
        <w:t>’</w:t>
      </w:r>
      <w:r w:rsidRPr="00B93E72">
        <w:t>ordre du jour provisoire</w:t>
      </w:r>
    </w:p>
    <w:p w:rsidR="00875132" w:rsidRDefault="00875132" w:rsidP="00875132">
      <w:pPr>
        <w:rPr>
          <w:b/>
          <w:bCs/>
        </w:rPr>
      </w:pPr>
      <w:r>
        <w:rPr>
          <w:b/>
          <w:bCs/>
        </w:rPr>
        <w:t>Propositions d</w:t>
      </w:r>
      <w:r w:rsidR="001E148F">
        <w:rPr>
          <w:rFonts w:hint="eastAsia"/>
          <w:b/>
          <w:bCs/>
        </w:rPr>
        <w:t>’</w:t>
      </w:r>
      <w:r>
        <w:rPr>
          <w:b/>
          <w:bCs/>
        </w:rPr>
        <w:t>amendements au règlement annexé à l</w:t>
      </w:r>
      <w:r w:rsidR="001E148F">
        <w:rPr>
          <w:rFonts w:hint="eastAsia"/>
          <w:b/>
          <w:bCs/>
        </w:rPr>
        <w:t>’</w:t>
      </w:r>
      <w:r>
        <w:rPr>
          <w:b/>
          <w:bCs/>
        </w:rPr>
        <w:t>ADN :</w:t>
      </w:r>
      <w:r>
        <w:rPr>
          <w:b/>
          <w:bCs/>
        </w:rPr>
        <w:br/>
      </w:r>
      <w:r w:rsidR="00C510A4">
        <w:rPr>
          <w:b/>
          <w:bCs/>
        </w:rPr>
        <w:t>autres propositions</w:t>
      </w:r>
    </w:p>
    <w:p w:rsidR="00875132" w:rsidRPr="00875132" w:rsidRDefault="00875132" w:rsidP="00875132">
      <w:pPr>
        <w:pStyle w:val="HChG"/>
      </w:pPr>
      <w:r w:rsidRPr="00875132">
        <w:tab/>
      </w:r>
      <w:r w:rsidRPr="00875132">
        <w:tab/>
        <w:t xml:space="preserve">1.1.3.6 </w:t>
      </w:r>
      <w:r w:rsidR="00C510A4">
        <w:t>e</w:t>
      </w:r>
      <w:r w:rsidRPr="00875132">
        <w:t xml:space="preserve">t 1.10.4 </w:t>
      </w:r>
      <w:r w:rsidR="00C510A4">
        <w:t>de l’ADN –</w:t>
      </w:r>
      <w:r w:rsidRPr="00875132">
        <w:t xml:space="preserve"> Exemptions liées au transport de marchandises dangereuses de la classe</w:t>
      </w:r>
      <w:r>
        <w:t> </w:t>
      </w:r>
      <w:r w:rsidRPr="00875132">
        <w:t>7 </w:t>
      </w:r>
    </w:p>
    <w:p w:rsidR="00875132" w:rsidRPr="00156EA2" w:rsidRDefault="00875132" w:rsidP="00875132">
      <w:pPr>
        <w:pStyle w:val="H1G"/>
        <w:rPr>
          <w:b w:val="0"/>
          <w:bCs/>
        </w:rPr>
      </w:pPr>
      <w:r w:rsidRPr="00875132">
        <w:tab/>
      </w:r>
      <w:r w:rsidRPr="00875132">
        <w:tab/>
      </w:r>
      <w:r w:rsidR="003446D1">
        <w:t>Communication d</w:t>
      </w:r>
      <w:r w:rsidR="00BD78D7">
        <w:t>es</w:t>
      </w:r>
      <w:r w:rsidR="003446D1">
        <w:t xml:space="preserve"> Gouvernement</w:t>
      </w:r>
      <w:r w:rsidR="00BD78D7">
        <w:t>s</w:t>
      </w:r>
      <w:r w:rsidR="003446D1">
        <w:t xml:space="preserve"> de la </w:t>
      </w:r>
      <w:r w:rsidRPr="00875132">
        <w:t>France et</w:t>
      </w:r>
      <w:r w:rsidR="003446D1">
        <w:t xml:space="preserve"> de</w:t>
      </w:r>
      <w:r w:rsidRPr="00875132">
        <w:t xml:space="preserve"> l</w:t>
      </w:r>
      <w:r w:rsidR="001E148F">
        <w:rPr>
          <w:rFonts w:hint="eastAsia"/>
        </w:rPr>
        <w:t>’</w:t>
      </w:r>
      <w:r w:rsidRPr="00875132">
        <w:t>Allemagne</w:t>
      </w:r>
      <w:r w:rsidR="00291F65" w:rsidRPr="00156EA2">
        <w:rPr>
          <w:rStyle w:val="FootnoteReference"/>
          <w:b w:val="0"/>
          <w:bCs/>
          <w:sz w:val="20"/>
          <w:vertAlign w:val="baseline"/>
        </w:rPr>
        <w:footnoteReference w:customMarkFollows="1" w:id="2"/>
        <w:t>*</w:t>
      </w:r>
      <w:r w:rsidR="00291F65" w:rsidRPr="00156EA2">
        <w:rPr>
          <w:b w:val="0"/>
          <w:bCs/>
          <w:sz w:val="20"/>
        </w:rPr>
        <w:t>,</w:t>
      </w:r>
      <w:r w:rsidR="00291F65">
        <w:rPr>
          <w:sz w:val="20"/>
        </w:rPr>
        <w:t xml:space="preserve"> </w:t>
      </w:r>
      <w:r w:rsidR="00291F65" w:rsidRPr="00156EA2">
        <w:rPr>
          <w:rStyle w:val="FootnoteReference"/>
          <w:b w:val="0"/>
          <w:bCs/>
          <w:sz w:val="20"/>
          <w:vertAlign w:val="baseline"/>
        </w:rPr>
        <w:footnoteReference w:customMarkFollows="1" w:id="3"/>
        <w:t>**</w:t>
      </w:r>
    </w:p>
    <w:p w:rsidR="00875132" w:rsidRPr="00B25D5E" w:rsidRDefault="00875132" w:rsidP="00875132">
      <w:pPr>
        <w:pStyle w:val="SingleTxtG"/>
      </w:pPr>
      <w:r w:rsidRPr="00875132">
        <w:rPr>
          <w:b/>
          <w:bCs/>
        </w:rPr>
        <w:t>Documents connexes</w:t>
      </w:r>
      <w:r>
        <w:t> :</w:t>
      </w:r>
    </w:p>
    <w:p w:rsidR="00875132" w:rsidRPr="00B25D5E" w:rsidRDefault="00C510A4" w:rsidP="00875132">
      <w:pPr>
        <w:pStyle w:val="SingleTxtG"/>
      </w:pPr>
      <w:r>
        <w:t xml:space="preserve">Document informel </w:t>
      </w:r>
      <w:r w:rsidR="00875132">
        <w:t>INF.19 (France) présenté à l</w:t>
      </w:r>
      <w:r w:rsidR="001E148F">
        <w:rPr>
          <w:rFonts w:hint="eastAsia"/>
        </w:rPr>
        <w:t>’</w:t>
      </w:r>
      <w:r w:rsidR="00875132">
        <w:t xml:space="preserve">occasion de la </w:t>
      </w:r>
      <w:r w:rsidR="003446D1">
        <w:t>t</w:t>
      </w:r>
      <w:r w:rsidR="00875132">
        <w:t>rente-quatrième session ;</w:t>
      </w:r>
      <w:r w:rsidR="00875132">
        <w:br/>
      </w:r>
      <w:r>
        <w:t>ECE/TRANS/</w:t>
      </w:r>
      <w:r w:rsidR="00875132">
        <w:t xml:space="preserve">WP.15/AC.2/70, </w:t>
      </w:r>
      <w:r>
        <w:t xml:space="preserve">para. </w:t>
      </w:r>
      <w:r w:rsidR="00875132">
        <w:t>18</w:t>
      </w:r>
    </w:p>
    <w:p w:rsidR="00875132" w:rsidRPr="00875132" w:rsidRDefault="00C510A4" w:rsidP="00875132">
      <w:pPr>
        <w:pStyle w:val="SingleTxtG"/>
      </w:pPr>
      <w:r>
        <w:t>« </w:t>
      </w:r>
      <w:r w:rsidR="00875132" w:rsidRPr="00875132">
        <w:t>18.</w:t>
      </w:r>
      <w:r w:rsidR="00875132" w:rsidRPr="00875132">
        <w:tab/>
        <w:t>Le Comité de sécurité a convenu d</w:t>
      </w:r>
      <w:r w:rsidR="001E148F">
        <w:rPr>
          <w:rFonts w:hint="eastAsia"/>
        </w:rPr>
        <w:t>’</w:t>
      </w:r>
      <w:r w:rsidR="00875132" w:rsidRPr="00875132">
        <w:t>harmoniser avec les dispositions applicables des autres modes de transport les dispositions de l</w:t>
      </w:r>
      <w:r w:rsidR="001E148F">
        <w:rPr>
          <w:rFonts w:hint="eastAsia"/>
        </w:rPr>
        <w:t>’</w:t>
      </w:r>
      <w:r w:rsidR="00875132" w:rsidRPr="00875132">
        <w:t>ADN relatives à la formation en matière de sûreté concernant, d</w:t>
      </w:r>
      <w:r w:rsidR="001E148F">
        <w:rPr>
          <w:rFonts w:hint="eastAsia"/>
        </w:rPr>
        <w:t>’</w:t>
      </w:r>
      <w:r w:rsidR="00875132" w:rsidRPr="00875132">
        <w:t>une part les colis exceptés portant les Nos ONU 2908 et 2909, et d</w:t>
      </w:r>
      <w:r w:rsidR="001E148F">
        <w:rPr>
          <w:rFonts w:hint="eastAsia"/>
        </w:rPr>
        <w:t>’</w:t>
      </w:r>
      <w:r w:rsidR="00875132" w:rsidRPr="00875132">
        <w:t>autre part les colis exceptés portant les Nos ONU 2910 et 2911 avec un niveau d</w:t>
      </w:r>
      <w:r w:rsidR="001E148F">
        <w:rPr>
          <w:rFonts w:hint="eastAsia"/>
        </w:rPr>
        <w:t>’</w:t>
      </w:r>
      <w:r w:rsidR="00875132" w:rsidRPr="00875132">
        <w:t>activité ne dépassant pas la valeur A2. Le représentant de l</w:t>
      </w:r>
      <w:r w:rsidR="001E148F">
        <w:rPr>
          <w:rFonts w:hint="eastAsia"/>
        </w:rPr>
        <w:t>’</w:t>
      </w:r>
      <w:r w:rsidR="00875132" w:rsidRPr="00875132">
        <w:t>Allemagne a indiqué en outre qu</w:t>
      </w:r>
      <w:r w:rsidR="001E148F">
        <w:rPr>
          <w:rFonts w:hint="eastAsia"/>
        </w:rPr>
        <w:t>’</w:t>
      </w:r>
      <w:r w:rsidR="00875132" w:rsidRPr="00875132">
        <w:t>il existe une incohérence entre les dispositions de la sous-section 1.1.3.6 et celles de la section 1.10.4 de l</w:t>
      </w:r>
      <w:r w:rsidR="001E148F">
        <w:rPr>
          <w:rFonts w:hint="eastAsia"/>
        </w:rPr>
        <w:t>’</w:t>
      </w:r>
      <w:r w:rsidR="00875132" w:rsidRPr="00875132">
        <w:t>ADN en ce qui concerne les exemptions liées aux quantités transportées à bord des bateaux. Les représentants de la France et de l</w:t>
      </w:r>
      <w:r w:rsidR="001E148F">
        <w:rPr>
          <w:rFonts w:hint="eastAsia"/>
        </w:rPr>
        <w:t>’</w:t>
      </w:r>
      <w:r w:rsidR="00875132" w:rsidRPr="00875132">
        <w:t xml:space="preserve">Allemagne se sont déclarés disposés à présenter une proposition concernant ces questions au cours de la prochaine session. </w:t>
      </w:r>
      <w:r>
        <w:t>»</w:t>
      </w:r>
    </w:p>
    <w:p w:rsidR="00875132" w:rsidRPr="00B25D5E" w:rsidRDefault="00875132" w:rsidP="00C510A4">
      <w:pPr>
        <w:pStyle w:val="HChG"/>
        <w:tabs>
          <w:tab w:val="clear" w:pos="851"/>
        </w:tabs>
        <w:ind w:firstLine="0"/>
      </w:pPr>
      <w:r>
        <w:lastRenderedPageBreak/>
        <w:t>Introduction</w:t>
      </w:r>
    </w:p>
    <w:p w:rsidR="00875132" w:rsidRDefault="00875132" w:rsidP="00875132">
      <w:pPr>
        <w:pStyle w:val="SingleTxtG"/>
        <w:numPr>
          <w:ilvl w:val="0"/>
          <w:numId w:val="16"/>
        </w:numPr>
      </w:pPr>
      <w:r>
        <w:t xml:space="preserve">Au cours de la </w:t>
      </w:r>
      <w:r w:rsidR="003446D1">
        <w:t xml:space="preserve">trente-troisième </w:t>
      </w:r>
      <w:r>
        <w:t xml:space="preserve">session, la délégation française avait signalé au Comité de sécurité par son document informel INF.19 que les dispositions relatives à la </w:t>
      </w:r>
      <w:r>
        <w:rPr>
          <w:b/>
        </w:rPr>
        <w:t>Formation en matière de sûreté (section 1.10.2 de l</w:t>
      </w:r>
      <w:r w:rsidR="001E148F">
        <w:rPr>
          <w:rFonts w:hint="eastAsia"/>
          <w:b/>
        </w:rPr>
        <w:t>’</w:t>
      </w:r>
      <w:r>
        <w:rPr>
          <w:b/>
        </w:rPr>
        <w:t>ADN)</w:t>
      </w:r>
      <w:r>
        <w:t xml:space="preserve"> pour les colis exceptés portant </w:t>
      </w:r>
    </w:p>
    <w:p w:rsidR="00875132" w:rsidRPr="00B329A1" w:rsidRDefault="00B329A1" w:rsidP="00875132">
      <w:pPr>
        <w:pStyle w:val="Bullet1G"/>
      </w:pPr>
      <w:r>
        <w:t>L</w:t>
      </w:r>
      <w:r w:rsidR="00875132" w:rsidRPr="00B329A1">
        <w:t xml:space="preserve">e No ONU </w:t>
      </w:r>
      <w:r w:rsidR="00875132" w:rsidRPr="00B329A1">
        <w:rPr>
          <w:b/>
        </w:rPr>
        <w:t>2908</w:t>
      </w:r>
      <w:r w:rsidR="00875132" w:rsidRPr="00B329A1">
        <w:t xml:space="preserve"> MATIÈRES RADIOACTIVES, EMBALLAGES VIDES COMME COLIS EXCEPTÉS</w:t>
      </w:r>
      <w:r>
        <w:t> ;</w:t>
      </w:r>
    </w:p>
    <w:p w:rsidR="00875132" w:rsidRPr="00B329A1" w:rsidRDefault="00B329A1" w:rsidP="00875132">
      <w:pPr>
        <w:pStyle w:val="Bullet1G"/>
      </w:pPr>
      <w:r w:rsidRPr="00B329A1">
        <w:t>L</w:t>
      </w:r>
      <w:r w:rsidR="00875132" w:rsidRPr="00B329A1">
        <w:t xml:space="preserve">e No ONU </w:t>
      </w:r>
      <w:r w:rsidR="00875132" w:rsidRPr="00B329A1">
        <w:rPr>
          <w:b/>
        </w:rPr>
        <w:t>2908</w:t>
      </w:r>
      <w:r w:rsidR="00875132" w:rsidRPr="00B329A1">
        <w:t xml:space="preserve"> MATIÈRES RADIOACTIVES, EMBALLAGES VIDES COMME COLIS EXCEPTÉS</w:t>
      </w:r>
      <w:r>
        <w:t> ;</w:t>
      </w:r>
    </w:p>
    <w:p w:rsidR="00875132" w:rsidRPr="00B329A1" w:rsidRDefault="00B329A1" w:rsidP="00875132">
      <w:pPr>
        <w:pStyle w:val="Bullet1G"/>
      </w:pPr>
      <w:r w:rsidRPr="00B329A1">
        <w:t>L</w:t>
      </w:r>
      <w:r w:rsidR="00875132" w:rsidRPr="00B329A1">
        <w:t xml:space="preserve">e No ONU </w:t>
      </w:r>
      <w:r w:rsidR="00875132" w:rsidRPr="00B329A1">
        <w:rPr>
          <w:b/>
        </w:rPr>
        <w:t>2909</w:t>
      </w:r>
      <w:r w:rsidR="00875132" w:rsidRPr="00B329A1">
        <w:t xml:space="preserve"> MATIÈRES RADIOACTIVES, OBJETS MANUFACTURÉS EN URANIUM NATUREL ou EN URANIUM APPAUVRI ou EN THORIUM NATUREL, EN COLIS EXCEPTÉ</w:t>
      </w:r>
      <w:r>
        <w:t> ;</w:t>
      </w:r>
    </w:p>
    <w:p w:rsidR="00875132" w:rsidRPr="00B329A1" w:rsidRDefault="00B329A1" w:rsidP="00875132">
      <w:pPr>
        <w:pStyle w:val="Bullet1G"/>
      </w:pPr>
      <w:r w:rsidRPr="00B329A1">
        <w:t>L</w:t>
      </w:r>
      <w:r w:rsidR="00875132" w:rsidRPr="00B329A1">
        <w:t xml:space="preserve">e No ONU </w:t>
      </w:r>
      <w:r w:rsidR="00875132" w:rsidRPr="00B329A1">
        <w:rPr>
          <w:b/>
        </w:rPr>
        <w:t>2910</w:t>
      </w:r>
      <w:r w:rsidR="00875132" w:rsidRPr="00B329A1">
        <w:t xml:space="preserve"> MATIÈRES RADIOACTIVES, QUANTITÉS LIMITÉS EN COLIS EXCEPTÉ avec un niveau d</w:t>
      </w:r>
      <w:r w:rsidR="001E148F">
        <w:rPr>
          <w:rFonts w:hint="eastAsia"/>
        </w:rPr>
        <w:t>’</w:t>
      </w:r>
      <w:r w:rsidR="00875132" w:rsidRPr="00B329A1">
        <w:t>activité ne dépassant pas la valeur A</w:t>
      </w:r>
      <w:r w:rsidR="00875132" w:rsidRPr="00B329A1">
        <w:rPr>
          <w:vertAlign w:val="subscript"/>
        </w:rPr>
        <w:t>2</w:t>
      </w:r>
      <w:r>
        <w:rPr>
          <w:vertAlign w:val="subscript"/>
        </w:rPr>
        <w:t> </w:t>
      </w:r>
      <w:r w:rsidRPr="00B329A1">
        <w:t>;</w:t>
      </w:r>
    </w:p>
    <w:p w:rsidR="00875132" w:rsidRPr="00B329A1" w:rsidRDefault="00B329A1" w:rsidP="00875132">
      <w:pPr>
        <w:pStyle w:val="Bullet1G"/>
      </w:pPr>
      <w:r w:rsidRPr="00B329A1">
        <w:t>L</w:t>
      </w:r>
      <w:r w:rsidR="00875132" w:rsidRPr="00B329A1">
        <w:t>e No ONU 2911 MATIÈRES RADIOACTIVES, OBJETS EN COLIS EXCEPTÉ ou MATIÈRES RADIOACTIVES, APPAREILS EN COLIS EXCEPTÉ avec un niveau d</w:t>
      </w:r>
      <w:r w:rsidR="001E148F">
        <w:rPr>
          <w:rFonts w:hint="eastAsia"/>
        </w:rPr>
        <w:t>’</w:t>
      </w:r>
      <w:r w:rsidR="00875132" w:rsidRPr="00B329A1">
        <w:t>activité ne dépassant pas la valeur A</w:t>
      </w:r>
      <w:r w:rsidR="00875132" w:rsidRPr="00B329A1">
        <w:rPr>
          <w:vertAlign w:val="subscript"/>
        </w:rPr>
        <w:t>2</w:t>
      </w:r>
    </w:p>
    <w:p w:rsidR="00875132" w:rsidRPr="00B25D5E" w:rsidRDefault="00875132" w:rsidP="00B329A1">
      <w:pPr>
        <w:pStyle w:val="Bullet1G"/>
        <w:numPr>
          <w:ilvl w:val="0"/>
          <w:numId w:val="0"/>
        </w:numPr>
        <w:ind w:left="1701"/>
      </w:pPr>
      <w:r>
        <w:t>(</w:t>
      </w:r>
      <w:proofErr w:type="gramStart"/>
      <w:r>
        <w:t>tous</w:t>
      </w:r>
      <w:proofErr w:type="gramEnd"/>
      <w:r>
        <w:t xml:space="preserve"> appartenant à la classe 7) </w:t>
      </w:r>
    </w:p>
    <w:p w:rsidR="00875132" w:rsidRPr="00B25D5E" w:rsidRDefault="00875132" w:rsidP="00875132">
      <w:pPr>
        <w:pStyle w:val="SingleTxtG"/>
      </w:pPr>
      <w:proofErr w:type="gramStart"/>
      <w:r>
        <w:t>ne</w:t>
      </w:r>
      <w:proofErr w:type="gramEnd"/>
      <w:r>
        <w:t xml:space="preserve"> devraient également </w:t>
      </w:r>
      <w:r>
        <w:rPr>
          <w:b/>
        </w:rPr>
        <w:t>pas</w:t>
      </w:r>
      <w:r>
        <w:t xml:space="preserve"> être applicables à l</w:t>
      </w:r>
      <w:r w:rsidR="001E148F">
        <w:rPr>
          <w:rFonts w:hint="eastAsia"/>
        </w:rPr>
        <w:t>’</w:t>
      </w:r>
      <w:r>
        <w:t>ADN comme c</w:t>
      </w:r>
      <w:r w:rsidR="001E148F">
        <w:rPr>
          <w:rFonts w:hint="eastAsia"/>
        </w:rPr>
        <w:t>’</w:t>
      </w:r>
      <w:r>
        <w:t>est le cas pour les Règlements type, l</w:t>
      </w:r>
      <w:r w:rsidR="001E148F">
        <w:rPr>
          <w:rFonts w:hint="eastAsia"/>
        </w:rPr>
        <w:t>’</w:t>
      </w:r>
      <w:r>
        <w:t>ADR, le RID et le Code IMDG.</w:t>
      </w:r>
    </w:p>
    <w:p w:rsidR="00875132" w:rsidRPr="00B25D5E" w:rsidRDefault="00875132" w:rsidP="001B28F1">
      <w:pPr>
        <w:pStyle w:val="SingleTxtG"/>
      </w:pPr>
      <w:r>
        <w:rPr>
          <w:bdr w:val="nil"/>
        </w:rPr>
        <w:t>2.</w:t>
      </w:r>
      <w:r>
        <w:rPr>
          <w:bdr w:val="nil"/>
        </w:rPr>
        <w:tab/>
        <w:t>Selon l</w:t>
      </w:r>
      <w:r w:rsidR="001E148F">
        <w:rPr>
          <w:rFonts w:hint="eastAsia"/>
          <w:bdr w:val="nil"/>
        </w:rPr>
        <w:t>’</w:t>
      </w:r>
      <w:r>
        <w:rPr>
          <w:bdr w:val="nil"/>
        </w:rPr>
        <w:t>ADN (1.10.4), les dispositions relatives à la sûreté y compris la formation conformément à la section 1.10.2 de l</w:t>
      </w:r>
      <w:r w:rsidR="001E148F">
        <w:rPr>
          <w:rFonts w:hint="eastAsia"/>
          <w:bdr w:val="nil"/>
        </w:rPr>
        <w:t>’</w:t>
      </w:r>
      <w:r>
        <w:rPr>
          <w:bdr w:val="nil"/>
        </w:rPr>
        <w:t>ADN doivent s</w:t>
      </w:r>
      <w:r w:rsidR="001E148F">
        <w:rPr>
          <w:rFonts w:hint="eastAsia"/>
          <w:bdr w:val="nil"/>
        </w:rPr>
        <w:t>’</w:t>
      </w:r>
      <w:r>
        <w:rPr>
          <w:bdr w:val="nil"/>
        </w:rPr>
        <w:t>appliquer à toutes les matières radioactives</w:t>
      </w:r>
      <w:r>
        <w:rPr>
          <w:b/>
          <w:bdr w:val="nil"/>
        </w:rPr>
        <w:t xml:space="preserve"> </w:t>
      </w:r>
      <w:r>
        <w:rPr>
          <w:bdr w:val="nil"/>
        </w:rPr>
        <w:t>de la classe 7</w:t>
      </w:r>
      <w:r>
        <w:t>, c</w:t>
      </w:r>
      <w:r w:rsidR="001E148F">
        <w:rPr>
          <w:rFonts w:hint="eastAsia"/>
        </w:rPr>
        <w:t>’</w:t>
      </w:r>
      <w:r>
        <w:t xml:space="preserve">est-à-dire tant aux colis portant les </w:t>
      </w:r>
      <w:r>
        <w:rPr>
          <w:u w:val="single"/>
        </w:rPr>
        <w:t>Nos ONU 2908 et 2909</w:t>
      </w:r>
      <w:r>
        <w:t>, qu</w:t>
      </w:r>
      <w:r w:rsidR="001E148F">
        <w:rPr>
          <w:rFonts w:hint="eastAsia"/>
        </w:rPr>
        <w:t>’</w:t>
      </w:r>
      <w:r>
        <w:t xml:space="preserve">aux colis portant les </w:t>
      </w:r>
      <w:r>
        <w:rPr>
          <w:u w:val="single"/>
        </w:rPr>
        <w:t>Nos ONU 2910 et 2011</w:t>
      </w:r>
      <w:r>
        <w:t>. Cette disposition s</w:t>
      </w:r>
      <w:r w:rsidR="001E148F">
        <w:rPr>
          <w:rFonts w:hint="eastAsia"/>
        </w:rPr>
        <w:t>’</w:t>
      </w:r>
      <w:r>
        <w:t>applique également lorsque le transport est excepté conformément à la sous-section 1.1.3.6 de l</w:t>
      </w:r>
      <w:r w:rsidR="001E148F">
        <w:rPr>
          <w:rFonts w:hint="eastAsia"/>
        </w:rPr>
        <w:t>’</w:t>
      </w:r>
      <w:r>
        <w:t>ADN.</w:t>
      </w:r>
    </w:p>
    <w:p w:rsidR="00875132" w:rsidRPr="00B25D5E" w:rsidRDefault="00875132" w:rsidP="001B28F1">
      <w:pPr>
        <w:pStyle w:val="SingleTxtG"/>
      </w:pPr>
      <w:r>
        <w:t>3.</w:t>
      </w:r>
      <w:r>
        <w:tab/>
        <w:t>Conformément à la version adoptée du paragraphe 1.1.3.6.1 de l</w:t>
      </w:r>
      <w:r w:rsidR="001E148F">
        <w:rPr>
          <w:rFonts w:hint="eastAsia"/>
        </w:rPr>
        <w:t>’</w:t>
      </w:r>
      <w:r>
        <w:t>ADN qui entrera en vigueur le 1</w:t>
      </w:r>
      <w:r>
        <w:rPr>
          <w:vertAlign w:val="superscript"/>
        </w:rPr>
        <w:t>er</w:t>
      </w:r>
      <w:r>
        <w:t xml:space="preserve"> janvier 2021, l</w:t>
      </w:r>
      <w:r w:rsidR="001E148F">
        <w:rPr>
          <w:rFonts w:hint="eastAsia"/>
        </w:rPr>
        <w:t>’</w:t>
      </w:r>
      <w:r>
        <w:t>exemption suivante s</w:t>
      </w:r>
      <w:r w:rsidR="001E148F">
        <w:rPr>
          <w:rFonts w:hint="eastAsia"/>
        </w:rPr>
        <w:t>’</w:t>
      </w:r>
      <w:r>
        <w:t>applique à la classe 7 :</w:t>
      </w:r>
    </w:p>
    <w:p w:rsidR="00875132" w:rsidRPr="00B25D5E" w:rsidRDefault="00A23CD0" w:rsidP="00A23CD0">
      <w:pPr>
        <w:pStyle w:val="SingleTxtG"/>
        <w:tabs>
          <w:tab w:val="left" w:pos="1701"/>
        </w:tabs>
        <w:rPr>
          <w:iCs/>
        </w:rPr>
      </w:pPr>
      <w:r>
        <w:tab/>
      </w:r>
      <w:r w:rsidR="00875132">
        <w:t xml:space="preserve">« ...lorsque la masse brute de toutes les marchandises dangereuses transportées ne </w:t>
      </w:r>
      <w:r>
        <w:tab/>
      </w:r>
      <w:r w:rsidR="00875132">
        <w:t xml:space="preserve">dépasse pas 3000 kg et ne dépasse pas les quantités indiquées dans le tableau suivant </w:t>
      </w:r>
      <w:r>
        <w:tab/>
      </w:r>
      <w:r w:rsidR="00875132">
        <w:t>pour les différentes classes</w:t>
      </w:r>
      <w:r w:rsidR="00875132">
        <w:rPr>
          <w:iCs/>
        </w:rPr>
        <w:t>. »</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67"/>
        <w:gridCol w:w="75"/>
        <w:gridCol w:w="2763"/>
        <w:gridCol w:w="3899"/>
      </w:tblGrid>
      <w:tr w:rsidR="00875132" w:rsidRPr="00B25D5E" w:rsidTr="003C360F">
        <w:trPr>
          <w:trHeight w:hRule="exact" w:val="688"/>
          <w:tblHeader/>
        </w:trPr>
        <w:tc>
          <w:tcPr>
            <w:tcW w:w="567" w:type="dxa"/>
            <w:tcBorders>
              <w:top w:val="single" w:sz="4" w:space="0" w:color="auto"/>
              <w:bottom w:val="single" w:sz="12" w:space="0" w:color="auto"/>
            </w:tcBorders>
            <w:shd w:val="clear" w:color="auto" w:fill="auto"/>
            <w:vAlign w:val="bottom"/>
          </w:tcPr>
          <w:p w:rsidR="00875132" w:rsidRPr="00B25D5E" w:rsidRDefault="00875132" w:rsidP="00AF2157">
            <w:pPr>
              <w:keepNext/>
              <w:keepLines/>
              <w:suppressAutoHyphens w:val="0"/>
              <w:spacing w:after="80" w:line="200" w:lineRule="exact"/>
              <w:rPr>
                <w:rFonts w:eastAsia="Calibri"/>
                <w:i/>
                <w:sz w:val="16"/>
                <w:szCs w:val="18"/>
              </w:rPr>
            </w:pPr>
            <w:r>
              <w:rPr>
                <w:bCs/>
                <w:i/>
                <w:sz w:val="16"/>
                <w:szCs w:val="18"/>
              </w:rPr>
              <w:t>Classe</w:t>
            </w:r>
          </w:p>
        </w:tc>
        <w:tc>
          <w:tcPr>
            <w:tcW w:w="67" w:type="dxa"/>
            <w:tcBorders>
              <w:top w:val="single" w:sz="4" w:space="0" w:color="auto"/>
              <w:bottom w:val="single" w:sz="12" w:space="0" w:color="auto"/>
            </w:tcBorders>
            <w:shd w:val="clear" w:color="auto" w:fill="auto"/>
            <w:vAlign w:val="bottom"/>
          </w:tcPr>
          <w:p w:rsidR="00875132" w:rsidRPr="00B25D5E" w:rsidRDefault="00875132" w:rsidP="00AF2157">
            <w:pPr>
              <w:keepNext/>
              <w:keepLines/>
              <w:suppressAutoHyphens w:val="0"/>
              <w:spacing w:after="80" w:line="200" w:lineRule="exact"/>
              <w:ind w:right="113"/>
              <w:rPr>
                <w:rFonts w:eastAsia="Calibri"/>
                <w:i/>
                <w:sz w:val="16"/>
                <w:szCs w:val="18"/>
                <w:lang w:val="de-DE"/>
              </w:rPr>
            </w:pPr>
          </w:p>
        </w:tc>
        <w:tc>
          <w:tcPr>
            <w:tcW w:w="75" w:type="dxa"/>
            <w:tcBorders>
              <w:top w:val="single" w:sz="4" w:space="0" w:color="auto"/>
              <w:bottom w:val="single" w:sz="12" w:space="0" w:color="auto"/>
            </w:tcBorders>
          </w:tcPr>
          <w:p w:rsidR="00875132" w:rsidRDefault="00875132" w:rsidP="00AF2157">
            <w:pPr>
              <w:keepNext/>
              <w:keepLines/>
              <w:suppressAutoHyphens w:val="0"/>
              <w:spacing w:after="80" w:line="200" w:lineRule="exact"/>
              <w:ind w:right="113"/>
              <w:rPr>
                <w:bCs/>
                <w:i/>
                <w:sz w:val="16"/>
                <w:szCs w:val="18"/>
              </w:rPr>
            </w:pPr>
          </w:p>
        </w:tc>
        <w:tc>
          <w:tcPr>
            <w:tcW w:w="2763" w:type="dxa"/>
            <w:tcBorders>
              <w:top w:val="single" w:sz="4" w:space="0" w:color="auto"/>
              <w:bottom w:val="single" w:sz="12" w:space="0" w:color="auto"/>
            </w:tcBorders>
            <w:shd w:val="clear" w:color="auto" w:fill="auto"/>
            <w:vAlign w:val="bottom"/>
          </w:tcPr>
          <w:p w:rsidR="00875132" w:rsidRPr="00B25D5E" w:rsidRDefault="00875132" w:rsidP="00AF2157">
            <w:pPr>
              <w:keepNext/>
              <w:keepLines/>
              <w:suppressAutoHyphens w:val="0"/>
              <w:spacing w:after="80" w:line="200" w:lineRule="exact"/>
              <w:ind w:right="113"/>
              <w:rPr>
                <w:rFonts w:eastAsia="Calibri"/>
                <w:i/>
                <w:sz w:val="16"/>
                <w:szCs w:val="18"/>
              </w:rPr>
            </w:pPr>
            <w:r>
              <w:rPr>
                <w:bCs/>
                <w:i/>
                <w:sz w:val="16"/>
                <w:szCs w:val="18"/>
              </w:rPr>
              <w:t xml:space="preserve">Matières ou objets dans des colis </w:t>
            </w:r>
          </w:p>
        </w:tc>
        <w:tc>
          <w:tcPr>
            <w:tcW w:w="3899" w:type="dxa"/>
            <w:tcBorders>
              <w:top w:val="single" w:sz="4" w:space="0" w:color="auto"/>
              <w:bottom w:val="single" w:sz="12" w:space="0" w:color="auto"/>
            </w:tcBorders>
            <w:shd w:val="clear" w:color="auto" w:fill="auto"/>
            <w:vAlign w:val="bottom"/>
          </w:tcPr>
          <w:p w:rsidR="00875132" w:rsidRPr="00B25D5E" w:rsidRDefault="00875132" w:rsidP="003C360F">
            <w:pPr>
              <w:keepNext/>
              <w:keepLines/>
              <w:suppressAutoHyphens w:val="0"/>
              <w:spacing w:after="80" w:line="200" w:lineRule="exact"/>
              <w:ind w:left="1486" w:right="113"/>
              <w:rPr>
                <w:rFonts w:eastAsia="Calibri"/>
                <w:i/>
                <w:sz w:val="16"/>
                <w:szCs w:val="18"/>
              </w:rPr>
            </w:pPr>
            <w:r>
              <w:rPr>
                <w:bCs/>
                <w:i/>
                <w:sz w:val="16"/>
                <w:szCs w:val="18"/>
              </w:rPr>
              <w:t>Quantités exemptées en kg :</w:t>
            </w:r>
          </w:p>
        </w:tc>
      </w:tr>
    </w:tbl>
    <w:p w:rsidR="00875132" w:rsidRPr="00B25D5E" w:rsidRDefault="00875132" w:rsidP="00875132">
      <w:pPr>
        <w:rPr>
          <w:sz w:val="22"/>
          <w:szCs w:val="22"/>
          <w:lang w:val="de-DE"/>
        </w:rPr>
      </w:pPr>
    </w:p>
    <w:tbl>
      <w:tblPr>
        <w:tblW w:w="7373"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91"/>
        <w:gridCol w:w="4233"/>
        <w:gridCol w:w="846"/>
        <w:gridCol w:w="691"/>
        <w:gridCol w:w="129"/>
        <w:gridCol w:w="766"/>
        <w:gridCol w:w="55"/>
        <w:gridCol w:w="62"/>
      </w:tblGrid>
      <w:tr w:rsidR="00875132" w:rsidRPr="00B25D5E" w:rsidTr="00DA3D59">
        <w:trPr>
          <w:trHeight w:val="57"/>
        </w:trPr>
        <w:tc>
          <w:tcPr>
            <w:tcW w:w="591" w:type="dxa"/>
            <w:tcBorders>
              <w:top w:val="single" w:sz="4" w:space="0" w:color="auto"/>
              <w:bottom w:val="single" w:sz="4" w:space="0" w:color="auto"/>
            </w:tcBorders>
            <w:shd w:val="clear" w:color="auto" w:fill="auto"/>
          </w:tcPr>
          <w:p w:rsidR="00875132" w:rsidRPr="00B25D5E" w:rsidRDefault="00875132" w:rsidP="00AF2157">
            <w:pPr>
              <w:keepNext/>
              <w:keepLines/>
              <w:suppressAutoHyphens w:val="0"/>
              <w:spacing w:before="40" w:after="120" w:line="220" w:lineRule="exact"/>
              <w:ind w:right="113"/>
              <w:rPr>
                <w:rFonts w:eastAsia="Calibri"/>
                <w:b/>
                <w:szCs w:val="18"/>
              </w:rPr>
            </w:pPr>
            <w:r>
              <w:rPr>
                <w:b/>
                <w:szCs w:val="18"/>
              </w:rPr>
              <w:t>7</w:t>
            </w:r>
          </w:p>
        </w:tc>
        <w:tc>
          <w:tcPr>
            <w:tcW w:w="5079" w:type="dxa"/>
            <w:gridSpan w:val="2"/>
            <w:tcBorders>
              <w:top w:val="single" w:sz="4" w:space="0" w:color="auto"/>
              <w:bottom w:val="single" w:sz="4" w:space="0" w:color="auto"/>
            </w:tcBorders>
            <w:shd w:val="clear" w:color="auto" w:fill="auto"/>
          </w:tcPr>
          <w:p w:rsidR="00875132" w:rsidRPr="00B25D5E" w:rsidRDefault="00875132" w:rsidP="00AF2157">
            <w:pPr>
              <w:keepNext/>
              <w:keepLines/>
              <w:suppressAutoHyphens w:val="0"/>
              <w:spacing w:before="40" w:after="120" w:line="220" w:lineRule="exact"/>
              <w:ind w:right="113"/>
              <w:rPr>
                <w:rFonts w:eastAsia="Calibri"/>
                <w:szCs w:val="18"/>
              </w:rPr>
            </w:pPr>
            <w:r>
              <w:t xml:space="preserve">Matières et objets de la classe 7 portant les </w:t>
            </w:r>
            <w:r w:rsidR="003C360F">
              <w:br/>
            </w:r>
            <w:r>
              <w:t>Nos ONU 2908, 2909, 2010 et 2911</w:t>
            </w:r>
          </w:p>
        </w:tc>
        <w:tc>
          <w:tcPr>
            <w:tcW w:w="820" w:type="dxa"/>
            <w:gridSpan w:val="2"/>
            <w:tcBorders>
              <w:top w:val="single" w:sz="4" w:space="0" w:color="auto"/>
              <w:bottom w:val="single" w:sz="4" w:space="0" w:color="auto"/>
            </w:tcBorders>
            <w:shd w:val="clear" w:color="auto" w:fill="auto"/>
          </w:tcPr>
          <w:p w:rsidR="00875132" w:rsidRPr="00B25D5E" w:rsidRDefault="00875132" w:rsidP="003C360F">
            <w:pPr>
              <w:keepNext/>
              <w:keepLines/>
              <w:suppressAutoHyphens w:val="0"/>
              <w:spacing w:before="40" w:after="120" w:line="220" w:lineRule="exact"/>
              <w:ind w:right="113" w:hanging="281"/>
              <w:jc w:val="center"/>
              <w:rPr>
                <w:rFonts w:eastAsia="Calibri"/>
                <w:szCs w:val="18"/>
              </w:rPr>
            </w:pPr>
            <w:r>
              <w:t>3000</w:t>
            </w:r>
          </w:p>
        </w:tc>
        <w:tc>
          <w:tcPr>
            <w:tcW w:w="821" w:type="dxa"/>
            <w:gridSpan w:val="2"/>
            <w:tcBorders>
              <w:top w:val="single" w:sz="4" w:space="0" w:color="auto"/>
              <w:bottom w:val="single" w:sz="4" w:space="0" w:color="auto"/>
            </w:tcBorders>
            <w:shd w:val="clear" w:color="auto" w:fill="auto"/>
          </w:tcPr>
          <w:p w:rsidR="00875132" w:rsidRPr="00B25D5E" w:rsidRDefault="00875132" w:rsidP="00AF2157">
            <w:pPr>
              <w:keepNext/>
              <w:keepLines/>
              <w:suppressAutoHyphens w:val="0"/>
              <w:spacing w:before="40" w:after="120" w:line="220" w:lineRule="exact"/>
              <w:ind w:right="113"/>
              <w:rPr>
                <w:rFonts w:eastAsia="Calibri"/>
                <w:szCs w:val="18"/>
                <w:lang w:val="de-DE"/>
              </w:rPr>
            </w:pPr>
          </w:p>
        </w:tc>
        <w:tc>
          <w:tcPr>
            <w:tcW w:w="60" w:type="dxa"/>
            <w:tcBorders>
              <w:top w:val="single" w:sz="4" w:space="0" w:color="auto"/>
              <w:bottom w:val="single" w:sz="4" w:space="0" w:color="auto"/>
            </w:tcBorders>
            <w:shd w:val="clear" w:color="auto" w:fill="auto"/>
          </w:tcPr>
          <w:p w:rsidR="00875132" w:rsidRPr="00DA3D59" w:rsidRDefault="00875132" w:rsidP="00AF2157">
            <w:pPr>
              <w:keepNext/>
              <w:keepLines/>
              <w:suppressAutoHyphens w:val="0"/>
              <w:spacing w:before="40" w:after="120" w:line="220" w:lineRule="exact"/>
              <w:ind w:right="113"/>
              <w:rPr>
                <w:rFonts w:eastAsia="Calibri"/>
                <w:b/>
                <w:bCs/>
                <w:szCs w:val="18"/>
                <w:lang w:val="de-DE"/>
              </w:rPr>
            </w:pPr>
          </w:p>
        </w:tc>
      </w:tr>
      <w:tr w:rsidR="00875132" w:rsidRPr="00B25D5E" w:rsidTr="00DA3D59">
        <w:trPr>
          <w:trHeight w:val="57"/>
        </w:trPr>
        <w:tc>
          <w:tcPr>
            <w:tcW w:w="4824" w:type="dxa"/>
            <w:gridSpan w:val="2"/>
            <w:tcBorders>
              <w:top w:val="single" w:sz="4" w:space="0" w:color="auto"/>
              <w:bottom w:val="single" w:sz="4" w:space="0" w:color="auto"/>
            </w:tcBorders>
            <w:shd w:val="clear" w:color="auto" w:fill="auto"/>
          </w:tcPr>
          <w:p w:rsidR="00875132" w:rsidRPr="00B25D5E" w:rsidRDefault="003C360F" w:rsidP="00AF2157">
            <w:pPr>
              <w:keepNext/>
              <w:keepLines/>
              <w:suppressAutoHyphens w:val="0"/>
              <w:spacing w:before="40" w:after="120" w:line="220" w:lineRule="exact"/>
              <w:ind w:left="567" w:right="113"/>
              <w:rPr>
                <w:rFonts w:eastAsia="Calibri"/>
                <w:szCs w:val="18"/>
              </w:rPr>
            </w:pPr>
            <w:r>
              <w:t>A</w:t>
            </w:r>
            <w:r w:rsidR="00875132">
              <w:t>utres matières et objets de la classe 7</w:t>
            </w:r>
          </w:p>
        </w:tc>
        <w:tc>
          <w:tcPr>
            <w:tcW w:w="1537" w:type="dxa"/>
            <w:gridSpan w:val="2"/>
            <w:tcBorders>
              <w:top w:val="single" w:sz="4" w:space="0" w:color="auto"/>
              <w:bottom w:val="single" w:sz="4" w:space="0" w:color="auto"/>
            </w:tcBorders>
            <w:shd w:val="clear" w:color="auto" w:fill="auto"/>
          </w:tcPr>
          <w:p w:rsidR="00875132" w:rsidRPr="001F1DE9" w:rsidRDefault="00875132" w:rsidP="00AF2157">
            <w:pPr>
              <w:keepNext/>
              <w:keepLines/>
              <w:suppressAutoHyphens w:val="0"/>
              <w:spacing w:before="40" w:after="120" w:line="220" w:lineRule="exact"/>
              <w:ind w:right="113"/>
              <w:rPr>
                <w:rFonts w:eastAsia="Calibri"/>
                <w:szCs w:val="18"/>
              </w:rPr>
            </w:pPr>
          </w:p>
        </w:tc>
        <w:tc>
          <w:tcPr>
            <w:tcW w:w="895" w:type="dxa"/>
            <w:gridSpan w:val="2"/>
            <w:tcBorders>
              <w:top w:val="single" w:sz="4" w:space="0" w:color="auto"/>
              <w:bottom w:val="single" w:sz="4" w:space="0" w:color="auto"/>
            </w:tcBorders>
            <w:shd w:val="clear" w:color="auto" w:fill="auto"/>
          </w:tcPr>
          <w:p w:rsidR="00875132" w:rsidRPr="001F1DE9" w:rsidRDefault="00875132" w:rsidP="00AF2157">
            <w:pPr>
              <w:keepNext/>
              <w:keepLines/>
              <w:suppressAutoHyphens w:val="0"/>
              <w:spacing w:before="40" w:after="120" w:line="220" w:lineRule="exact"/>
              <w:ind w:right="113"/>
              <w:rPr>
                <w:rFonts w:eastAsia="Calibri"/>
                <w:szCs w:val="18"/>
              </w:rPr>
            </w:pPr>
          </w:p>
        </w:tc>
        <w:tc>
          <w:tcPr>
            <w:tcW w:w="117" w:type="dxa"/>
            <w:gridSpan w:val="2"/>
            <w:tcBorders>
              <w:top w:val="single" w:sz="4" w:space="0" w:color="auto"/>
              <w:bottom w:val="single" w:sz="4" w:space="0" w:color="auto"/>
            </w:tcBorders>
            <w:shd w:val="clear" w:color="auto" w:fill="auto"/>
          </w:tcPr>
          <w:p w:rsidR="00875132" w:rsidRPr="00DA3D59" w:rsidRDefault="00875132" w:rsidP="00AF2157">
            <w:pPr>
              <w:keepNext/>
              <w:keepLines/>
              <w:suppressAutoHyphens w:val="0"/>
              <w:spacing w:before="40" w:after="120" w:line="220" w:lineRule="exact"/>
              <w:ind w:right="113"/>
              <w:rPr>
                <w:rFonts w:eastAsia="Calibri"/>
                <w:b/>
                <w:bCs/>
                <w:szCs w:val="18"/>
              </w:rPr>
            </w:pPr>
            <w:r w:rsidRPr="00DA3D59">
              <w:rPr>
                <w:b/>
                <w:bCs/>
              </w:rPr>
              <w:t>0</w:t>
            </w:r>
          </w:p>
        </w:tc>
      </w:tr>
    </w:tbl>
    <w:p w:rsidR="00875132" w:rsidRPr="00B25D5E" w:rsidRDefault="00875132" w:rsidP="00875132">
      <w:pPr>
        <w:rPr>
          <w:rFonts w:eastAsia="Arial Unicode MS"/>
          <w:sz w:val="22"/>
          <w:szCs w:val="22"/>
          <w:bdr w:val="nil"/>
          <w:lang w:val="de-DE" w:eastAsia="nl-NL"/>
        </w:rPr>
      </w:pPr>
    </w:p>
    <w:p w:rsidR="00875132" w:rsidRPr="00B25D5E" w:rsidRDefault="00DA3D59" w:rsidP="00B329A1">
      <w:pPr>
        <w:pStyle w:val="SingleTxtG"/>
      </w:pPr>
      <w:r>
        <w:rPr>
          <w:bdr w:val="nil"/>
        </w:rPr>
        <w:t>4</w:t>
      </w:r>
      <w:r w:rsidR="00875132">
        <w:rPr>
          <w:bdr w:val="nil"/>
        </w:rPr>
        <w:t>.</w:t>
      </w:r>
      <w:r w:rsidR="00875132">
        <w:rPr>
          <w:bdr w:val="nil"/>
        </w:rPr>
        <w:tab/>
        <w:t>Au paragraphe 1.1.3.6.2 de l</w:t>
      </w:r>
      <w:r w:rsidR="001E148F">
        <w:rPr>
          <w:rFonts w:hint="eastAsia"/>
          <w:bdr w:val="nil"/>
        </w:rPr>
        <w:t>’</w:t>
      </w:r>
      <w:r w:rsidR="00875132">
        <w:rPr>
          <w:bdr w:val="nil"/>
        </w:rPr>
        <w:t xml:space="preserve">ADN qui demeure inchangé et qui contient les </w:t>
      </w:r>
      <w:r w:rsidR="00875132">
        <w:rPr>
          <w:b/>
          <w:bdr w:val="nil"/>
        </w:rPr>
        <w:t>dispositions de l</w:t>
      </w:r>
      <w:r w:rsidR="001E148F">
        <w:rPr>
          <w:rFonts w:hint="eastAsia"/>
          <w:b/>
          <w:bdr w:val="nil"/>
        </w:rPr>
        <w:t>’</w:t>
      </w:r>
      <w:r w:rsidR="00875132">
        <w:rPr>
          <w:b/>
          <w:bdr w:val="nil"/>
        </w:rPr>
        <w:t>ADN qui restent applicables</w:t>
      </w:r>
      <w:r w:rsidR="00875132">
        <w:rPr>
          <w:bdr w:val="nil"/>
        </w:rPr>
        <w:t xml:space="preserve"> en cas d</w:t>
      </w:r>
      <w:r w:rsidR="001E148F">
        <w:rPr>
          <w:rFonts w:hint="eastAsia"/>
          <w:bdr w:val="nil"/>
        </w:rPr>
        <w:t>’</w:t>
      </w:r>
      <w:r w:rsidR="00875132">
        <w:rPr>
          <w:bdr w:val="nil"/>
        </w:rPr>
        <w:t xml:space="preserve">utilisation des exemptions relatives aux quantités transportées, il </w:t>
      </w:r>
      <w:r w:rsidR="00875132">
        <w:rPr>
          <w:b/>
          <w:bdr w:val="nil"/>
        </w:rPr>
        <w:t>n</w:t>
      </w:r>
      <w:r w:rsidR="001E148F">
        <w:rPr>
          <w:rFonts w:hint="eastAsia"/>
          <w:b/>
          <w:bdr w:val="nil"/>
        </w:rPr>
        <w:t>’</w:t>
      </w:r>
      <w:r w:rsidR="00875132">
        <w:rPr>
          <w:b/>
          <w:bdr w:val="nil"/>
        </w:rPr>
        <w:t>est pas</w:t>
      </w:r>
      <w:r w:rsidR="00875132">
        <w:rPr>
          <w:bdr w:val="nil"/>
        </w:rPr>
        <w:t xml:space="preserve"> fait référence au chapitre 1.10 concernant la sûreté. Cela signifie que jusqu</w:t>
      </w:r>
      <w:r w:rsidR="001E148F">
        <w:rPr>
          <w:rFonts w:hint="eastAsia"/>
          <w:bdr w:val="nil"/>
        </w:rPr>
        <w:t>’</w:t>
      </w:r>
      <w:r w:rsidR="00875132">
        <w:rPr>
          <w:bdr w:val="nil"/>
        </w:rPr>
        <w:t>à concurrence d</w:t>
      </w:r>
      <w:r w:rsidR="001E148F">
        <w:rPr>
          <w:rFonts w:hint="eastAsia"/>
          <w:bdr w:val="nil"/>
        </w:rPr>
        <w:t>’</w:t>
      </w:r>
      <w:r w:rsidR="00875132">
        <w:rPr>
          <w:bdr w:val="nil"/>
        </w:rPr>
        <w:t xml:space="preserve">une quantité exemptée de 3000 kg par bateau de colis </w:t>
      </w:r>
      <w:r w:rsidR="00875132">
        <w:rPr>
          <w:u w:val="single"/>
          <w:bdr w:val="nil"/>
        </w:rPr>
        <w:t xml:space="preserve">portant les </w:t>
      </w:r>
      <w:r w:rsidR="00875132">
        <w:rPr>
          <w:u w:val="single"/>
        </w:rPr>
        <w:t>Nos ONU 2908 et 2909</w:t>
      </w:r>
      <w:r w:rsidR="00875132">
        <w:t xml:space="preserve"> ainsi que les Nos ONU </w:t>
      </w:r>
      <w:r w:rsidR="00875132">
        <w:rPr>
          <w:u w:val="single"/>
        </w:rPr>
        <w:t xml:space="preserve"> 2910 et 2911</w:t>
      </w:r>
      <w:r w:rsidR="00875132">
        <w:t>, les</w:t>
      </w:r>
      <w:r w:rsidR="00875132">
        <w:rPr>
          <w:vertAlign w:val="subscript"/>
        </w:rPr>
        <w:t xml:space="preserve"> </w:t>
      </w:r>
      <w:r w:rsidR="00875132">
        <w:t xml:space="preserve">dispositions en matière de sûreté (Chapitre 1.10), y compris la formation, </w:t>
      </w:r>
      <w:r w:rsidR="00875132">
        <w:rPr>
          <w:b/>
        </w:rPr>
        <w:t>ne sont pas</w:t>
      </w:r>
      <w:r w:rsidR="00875132">
        <w:t xml:space="preserve"> applicables.</w:t>
      </w:r>
    </w:p>
    <w:p w:rsidR="00875132" w:rsidRPr="00B25D5E" w:rsidRDefault="00DA3D59" w:rsidP="00B329A1">
      <w:pPr>
        <w:pStyle w:val="SingleTxtG"/>
        <w:rPr>
          <w:rFonts w:eastAsia="Arial Unicode MS"/>
          <w:bdr w:val="nil"/>
        </w:rPr>
      </w:pPr>
      <w:r>
        <w:t>5</w:t>
      </w:r>
      <w:r w:rsidR="00875132">
        <w:t>.</w:t>
      </w:r>
      <w:r w:rsidR="00875132">
        <w:tab/>
        <w:t>En ce qui concerne l</w:t>
      </w:r>
      <w:r w:rsidR="001E148F">
        <w:rPr>
          <w:rFonts w:hint="eastAsia"/>
        </w:rPr>
        <w:t>’</w:t>
      </w:r>
      <w:r w:rsidR="00875132">
        <w:t xml:space="preserve">applicabilité des dispositions concernant la sûreté, les </w:t>
      </w:r>
      <w:r w:rsidR="00875132">
        <w:rPr>
          <w:b/>
        </w:rPr>
        <w:t>indications</w:t>
      </w:r>
      <w:r w:rsidR="00875132">
        <w:t xml:space="preserve"> de la sous-section 1.1.3.6 de l</w:t>
      </w:r>
      <w:r w:rsidR="001E148F">
        <w:rPr>
          <w:rFonts w:hint="eastAsia"/>
        </w:rPr>
        <w:t>’</w:t>
      </w:r>
      <w:r w:rsidR="00875132">
        <w:t>ADN d</w:t>
      </w:r>
      <w:r w:rsidR="001E148F">
        <w:rPr>
          <w:rFonts w:hint="eastAsia"/>
        </w:rPr>
        <w:t>’</w:t>
      </w:r>
      <w:r w:rsidR="00875132">
        <w:t>une part, et de la section 1.10.4 d</w:t>
      </w:r>
      <w:r w:rsidR="001E148F">
        <w:rPr>
          <w:rFonts w:hint="eastAsia"/>
        </w:rPr>
        <w:t>’</w:t>
      </w:r>
      <w:r w:rsidR="00875132">
        <w:t xml:space="preserve">autre part sont </w:t>
      </w:r>
      <w:r w:rsidR="00875132">
        <w:rPr>
          <w:b/>
        </w:rPr>
        <w:t>contradictoires</w:t>
      </w:r>
      <w:r w:rsidR="00875132">
        <w:t>.</w:t>
      </w:r>
    </w:p>
    <w:p w:rsidR="00875132" w:rsidRPr="00B25D5E" w:rsidRDefault="00DA3D59" w:rsidP="00B329A1">
      <w:pPr>
        <w:pStyle w:val="SingleTxtG"/>
      </w:pPr>
      <w:r>
        <w:t>6</w:t>
      </w:r>
      <w:r w:rsidR="00875132">
        <w:t>.</w:t>
      </w:r>
      <w:r w:rsidR="00875132">
        <w:tab/>
        <w:t>Selon l</w:t>
      </w:r>
      <w:r w:rsidR="001E148F">
        <w:rPr>
          <w:rFonts w:hint="eastAsia"/>
        </w:rPr>
        <w:t>’</w:t>
      </w:r>
      <w:r w:rsidR="00875132">
        <w:t>ADR et le RID (1.10.4), les sections 1.10.1, 1.10.2 et 1.10.3 de l</w:t>
      </w:r>
      <w:r w:rsidR="001E148F">
        <w:rPr>
          <w:rFonts w:hint="eastAsia"/>
        </w:rPr>
        <w:t>’</w:t>
      </w:r>
      <w:r w:rsidR="00875132">
        <w:t xml:space="preserve">ADR en matière de sûreté </w:t>
      </w:r>
      <w:r w:rsidR="00875132">
        <w:rPr>
          <w:b/>
        </w:rPr>
        <w:t>ne sont pas</w:t>
      </w:r>
      <w:r w:rsidR="00875132">
        <w:t xml:space="preserve"> applicables aux </w:t>
      </w:r>
      <w:r w:rsidR="00875132">
        <w:rPr>
          <w:u w:val="single"/>
        </w:rPr>
        <w:t>Nos ONU 2910 et 2911</w:t>
      </w:r>
      <w:r w:rsidR="00875132">
        <w:t xml:space="preserve"> si le niveau d</w:t>
      </w:r>
      <w:r w:rsidR="001E148F">
        <w:rPr>
          <w:rFonts w:hint="eastAsia"/>
        </w:rPr>
        <w:t>’</w:t>
      </w:r>
      <w:r w:rsidR="00875132">
        <w:t xml:space="preserve">activité </w:t>
      </w:r>
      <w:r w:rsidR="00875132">
        <w:rPr>
          <w:b/>
        </w:rPr>
        <w:lastRenderedPageBreak/>
        <w:t>ne dépasse pas</w:t>
      </w:r>
      <w:r w:rsidR="00875132">
        <w:t xml:space="preserve"> la valeur A</w:t>
      </w:r>
      <w:r w:rsidR="00875132">
        <w:rPr>
          <w:vertAlign w:val="subscript"/>
        </w:rPr>
        <w:t>2</w:t>
      </w:r>
      <w:r w:rsidR="00875132">
        <w:t>, et si les quantités transportées ne dépassent pas les quantités indiquées au paragraphe 1.1.3.6.3 de l</w:t>
      </w:r>
      <w:r w:rsidR="001E148F">
        <w:rPr>
          <w:rFonts w:hint="eastAsia"/>
        </w:rPr>
        <w:t>’</w:t>
      </w:r>
      <w:r w:rsidR="00875132">
        <w:t>ADR/du RID.</w:t>
      </w:r>
    </w:p>
    <w:p w:rsidR="00875132" w:rsidRPr="00B25D5E" w:rsidRDefault="00DA3D59" w:rsidP="00B329A1">
      <w:pPr>
        <w:pStyle w:val="SingleTxtG"/>
      </w:pPr>
      <w:r>
        <w:t>7.</w:t>
      </w:r>
      <w:r>
        <w:tab/>
      </w:r>
      <w:r w:rsidR="00875132">
        <w:t>Cette dérogation prévue au paragraphe 1.10.4 de l</w:t>
      </w:r>
      <w:r w:rsidR="001E148F">
        <w:rPr>
          <w:rFonts w:hint="eastAsia"/>
        </w:rPr>
        <w:t>’</w:t>
      </w:r>
      <w:r w:rsidR="00875132">
        <w:t>ADR/du RID concernant les Nos ONU 2910 et 2911 avec un niveau d</w:t>
      </w:r>
      <w:r w:rsidR="001E148F">
        <w:rPr>
          <w:rFonts w:hint="eastAsia"/>
        </w:rPr>
        <w:t>’</w:t>
      </w:r>
      <w:r w:rsidR="00875132">
        <w:t>activité ne dépassant pas la valeur A</w:t>
      </w:r>
      <w:r w:rsidR="00875132">
        <w:rPr>
          <w:vertAlign w:val="subscript"/>
        </w:rPr>
        <w:t>2</w:t>
      </w:r>
      <w:r w:rsidR="00875132">
        <w:t>, manque au paragraphe</w:t>
      </w:r>
      <w:r w:rsidR="001E148F">
        <w:t> </w:t>
      </w:r>
      <w:r w:rsidR="00875132">
        <w:t xml:space="preserve">1.10.4. </w:t>
      </w:r>
      <w:proofErr w:type="gramStart"/>
      <w:r w:rsidR="00875132">
        <w:t>de</w:t>
      </w:r>
      <w:proofErr w:type="gramEnd"/>
      <w:r w:rsidR="00875132">
        <w:t xml:space="preserve"> l</w:t>
      </w:r>
      <w:r w:rsidR="001E148F">
        <w:rPr>
          <w:rFonts w:hint="eastAsia"/>
        </w:rPr>
        <w:t>’</w:t>
      </w:r>
      <w:r w:rsidR="00875132">
        <w:t>ADN.</w:t>
      </w:r>
    </w:p>
    <w:p w:rsidR="00875132" w:rsidRPr="00A23CD0" w:rsidRDefault="00DA3D59" w:rsidP="00B329A1">
      <w:pPr>
        <w:pStyle w:val="SingleTxtG"/>
      </w:pPr>
      <w:r>
        <w:rPr>
          <w:rStyle w:val="SingleTxtGChar"/>
        </w:rPr>
        <w:t>8</w:t>
      </w:r>
      <w:r w:rsidR="00875132" w:rsidRPr="00B329A1">
        <w:rPr>
          <w:rStyle w:val="SingleTxtGChar"/>
        </w:rPr>
        <w:t>.</w:t>
      </w:r>
      <w:r w:rsidR="00875132" w:rsidRPr="00B329A1">
        <w:rPr>
          <w:rStyle w:val="SingleTxtGChar"/>
        </w:rPr>
        <w:tab/>
      </w:r>
      <w:r w:rsidR="00875132" w:rsidRPr="00A23CD0">
        <w:t>Selon les paragraphes 1.1.3.6.2 et 1.1.3.6.3 de l</w:t>
      </w:r>
      <w:r w:rsidR="001E148F" w:rsidRPr="00A23CD0">
        <w:rPr>
          <w:rFonts w:hint="eastAsia"/>
        </w:rPr>
        <w:t>’</w:t>
      </w:r>
      <w:r w:rsidR="00875132" w:rsidRPr="00A23CD0">
        <w:t xml:space="preserve">ADR/du RID, les marchandises portant les Nos ONU 2908 et 2909 peuvent être transportées en quantités illimitées sans appliquer le chapitre 1.10 concernant la sûreté. En ce qui concerne les Nos ONU 2910 et 2911, cette exemption des dispositions du chapitre 1.10 </w:t>
      </w:r>
      <w:r w:rsidR="00875132" w:rsidRPr="00A23CD0">
        <w:rPr>
          <w:b/>
          <w:bCs/>
        </w:rPr>
        <w:t>s</w:t>
      </w:r>
      <w:r w:rsidR="001E148F" w:rsidRPr="00A23CD0">
        <w:rPr>
          <w:rFonts w:hint="eastAsia"/>
          <w:b/>
          <w:bCs/>
        </w:rPr>
        <w:t>’</w:t>
      </w:r>
      <w:r w:rsidR="00875132" w:rsidRPr="00A23CD0">
        <w:rPr>
          <w:b/>
          <w:bCs/>
        </w:rPr>
        <w:t>applique uniquement si</w:t>
      </w:r>
      <w:r w:rsidR="00875132" w:rsidRPr="00A23CD0">
        <w:t xml:space="preserve"> le niveau d</w:t>
      </w:r>
      <w:r w:rsidR="001E148F" w:rsidRPr="00A23CD0">
        <w:rPr>
          <w:rFonts w:hint="eastAsia"/>
        </w:rPr>
        <w:t>’</w:t>
      </w:r>
      <w:r w:rsidR="00875132" w:rsidRPr="00A23CD0">
        <w:t>activité ne dépasse pas la valeur A2.</w:t>
      </w:r>
    </w:p>
    <w:p w:rsidR="00875132" w:rsidRPr="00B25D5E" w:rsidRDefault="00DA3D59" w:rsidP="00B329A1">
      <w:pPr>
        <w:pStyle w:val="SingleTxtG"/>
        <w:rPr>
          <w:rFonts w:eastAsia="Arial Unicode MS"/>
          <w:bdr w:val="nil"/>
        </w:rPr>
      </w:pPr>
      <w:r>
        <w:rPr>
          <w:bdr w:val="nil"/>
        </w:rPr>
        <w:t>9</w:t>
      </w:r>
      <w:r w:rsidR="00875132">
        <w:rPr>
          <w:bdr w:val="nil"/>
        </w:rPr>
        <w:t>.</w:t>
      </w:r>
      <w:r w:rsidR="00875132">
        <w:rPr>
          <w:bdr w:val="nil"/>
        </w:rPr>
        <w:tab/>
        <w:t>A la différence de l</w:t>
      </w:r>
      <w:r w:rsidR="001E148F">
        <w:rPr>
          <w:rFonts w:hint="eastAsia"/>
          <w:bdr w:val="nil"/>
        </w:rPr>
        <w:t>’</w:t>
      </w:r>
      <w:r w:rsidR="00875132">
        <w:rPr>
          <w:bdr w:val="nil"/>
        </w:rPr>
        <w:t>ADN, les dispositions des paragraphes 1.1.3.6 et 1.10 de l</w:t>
      </w:r>
      <w:r w:rsidR="001E148F">
        <w:rPr>
          <w:rFonts w:hint="eastAsia"/>
          <w:bdr w:val="nil"/>
        </w:rPr>
        <w:t>’</w:t>
      </w:r>
      <w:r w:rsidR="00875132">
        <w:rPr>
          <w:bdr w:val="nil"/>
        </w:rPr>
        <w:t>ADR/du RID sont cohérentes. Par conséquent, le mandat confié par le Comité de sécurité (cf. ci-dessus) exige une modification de l</w:t>
      </w:r>
      <w:r w:rsidR="001E148F">
        <w:rPr>
          <w:rFonts w:hint="eastAsia"/>
          <w:bdr w:val="nil"/>
        </w:rPr>
        <w:t>’</w:t>
      </w:r>
      <w:r w:rsidR="00875132">
        <w:rPr>
          <w:bdr w:val="nil"/>
        </w:rPr>
        <w:t>ADN selon laquelle les dispositions concernant la sûreté</w:t>
      </w:r>
    </w:p>
    <w:p w:rsidR="00875132" w:rsidRPr="00B25D5E" w:rsidRDefault="00B329A1" w:rsidP="00B329A1">
      <w:pPr>
        <w:pStyle w:val="SingleTxtG"/>
        <w:rPr>
          <w:rFonts w:eastAsia="Arial Unicode MS"/>
          <w:bdr w:val="nil"/>
        </w:rPr>
      </w:pPr>
      <w:r>
        <w:rPr>
          <w:bdr w:val="nil"/>
        </w:rPr>
        <w:tab/>
      </w:r>
      <w:r>
        <w:rPr>
          <w:bdr w:val="nil"/>
        </w:rPr>
        <w:tab/>
      </w:r>
      <w:r w:rsidR="00875132">
        <w:rPr>
          <w:bdr w:val="nil"/>
        </w:rPr>
        <w:t>a)</w:t>
      </w:r>
      <w:r w:rsidR="00875132">
        <w:rPr>
          <w:bdr w:val="nil"/>
        </w:rPr>
        <w:tab/>
      </w:r>
      <w:r>
        <w:rPr>
          <w:bdr w:val="nil"/>
        </w:rPr>
        <w:t>N</w:t>
      </w:r>
      <w:r w:rsidR="00875132">
        <w:rPr>
          <w:bdr w:val="nil"/>
        </w:rPr>
        <w:t>e s</w:t>
      </w:r>
      <w:r w:rsidR="001E148F">
        <w:rPr>
          <w:rFonts w:hint="eastAsia"/>
          <w:bdr w:val="nil"/>
        </w:rPr>
        <w:t>’</w:t>
      </w:r>
      <w:r w:rsidR="00875132">
        <w:rPr>
          <w:bdr w:val="nil"/>
        </w:rPr>
        <w:t>appliquent pas aux Nos ONU 2908 et 2909</w:t>
      </w:r>
      <w:r>
        <w:rPr>
          <w:bdr w:val="nil"/>
        </w:rPr>
        <w:t> ;</w:t>
      </w:r>
    </w:p>
    <w:p w:rsidR="00875132" w:rsidRPr="00B25D5E" w:rsidRDefault="00B329A1" w:rsidP="00B329A1">
      <w:pPr>
        <w:pStyle w:val="SingleTxtG"/>
        <w:rPr>
          <w:rFonts w:eastAsia="Arial Unicode MS"/>
          <w:bdr w:val="nil"/>
        </w:rPr>
      </w:pPr>
      <w:r>
        <w:rPr>
          <w:bdr w:val="nil"/>
        </w:rPr>
        <w:tab/>
      </w:r>
      <w:r>
        <w:rPr>
          <w:bdr w:val="nil"/>
        </w:rPr>
        <w:tab/>
      </w:r>
      <w:r w:rsidR="00875132">
        <w:rPr>
          <w:bdr w:val="nil"/>
        </w:rPr>
        <w:t>b)</w:t>
      </w:r>
      <w:r w:rsidR="00875132">
        <w:rPr>
          <w:bdr w:val="nil"/>
        </w:rPr>
        <w:tab/>
      </w:r>
      <w:r>
        <w:rPr>
          <w:bdr w:val="nil"/>
        </w:rPr>
        <w:t>N</w:t>
      </w:r>
      <w:r w:rsidR="00875132">
        <w:rPr>
          <w:bdr w:val="nil"/>
        </w:rPr>
        <w:t>e s</w:t>
      </w:r>
      <w:r w:rsidR="001E148F">
        <w:rPr>
          <w:rFonts w:hint="eastAsia"/>
          <w:bdr w:val="nil"/>
        </w:rPr>
        <w:t>’</w:t>
      </w:r>
      <w:r w:rsidR="00875132">
        <w:rPr>
          <w:bdr w:val="nil"/>
        </w:rPr>
        <w:t>appliquent pas aux Nos ONU 2910 et 2911 si le niveau d</w:t>
      </w:r>
      <w:r w:rsidR="001E148F">
        <w:rPr>
          <w:rFonts w:hint="eastAsia"/>
          <w:bdr w:val="nil"/>
        </w:rPr>
        <w:t>’</w:t>
      </w:r>
      <w:r w:rsidR="00875132">
        <w:rPr>
          <w:bdr w:val="nil"/>
        </w:rPr>
        <w:t xml:space="preserve">activité des colis ne dépasse pas </w:t>
      </w:r>
      <w:r w:rsidR="00875132">
        <w:t>la valeur A</w:t>
      </w:r>
      <w:r w:rsidR="00875132">
        <w:rPr>
          <w:vertAlign w:val="subscript"/>
        </w:rPr>
        <w:t>2</w:t>
      </w:r>
      <w:r w:rsidR="00875132">
        <w:t>.</w:t>
      </w:r>
    </w:p>
    <w:p w:rsidR="00875132" w:rsidRPr="00B25D5E" w:rsidRDefault="00DA3D59" w:rsidP="00B329A1">
      <w:pPr>
        <w:pStyle w:val="SingleTxtG"/>
        <w:rPr>
          <w:rFonts w:eastAsia="Arial Unicode MS"/>
          <w:bdr w:val="nil"/>
        </w:rPr>
      </w:pPr>
      <w:r>
        <w:rPr>
          <w:bdr w:val="nil"/>
        </w:rPr>
        <w:t>10</w:t>
      </w:r>
      <w:r w:rsidR="00875132">
        <w:rPr>
          <w:bdr w:val="nil"/>
        </w:rPr>
        <w:t>.</w:t>
      </w:r>
      <w:r w:rsidR="00875132">
        <w:rPr>
          <w:bdr w:val="nil"/>
        </w:rPr>
        <w:tab/>
        <w:t>Tandis que le règlement d</w:t>
      </w:r>
      <w:r w:rsidR="001E148F">
        <w:rPr>
          <w:rFonts w:hint="eastAsia"/>
          <w:bdr w:val="nil"/>
        </w:rPr>
        <w:t>’</w:t>
      </w:r>
      <w:r w:rsidR="00875132">
        <w:rPr>
          <w:bdr w:val="nil"/>
        </w:rPr>
        <w:t>exemption visé à la sous-section 1.1.3.6 de l</w:t>
      </w:r>
      <w:r w:rsidR="001E148F">
        <w:rPr>
          <w:rFonts w:hint="eastAsia"/>
          <w:bdr w:val="nil"/>
        </w:rPr>
        <w:t>’</w:t>
      </w:r>
      <w:r w:rsidR="00875132">
        <w:rPr>
          <w:bdr w:val="nil"/>
        </w:rPr>
        <w:t xml:space="preserve">ADN précise les conditions qui pourtant </w:t>
      </w:r>
      <w:r w:rsidR="00875132">
        <w:rPr>
          <w:b/>
          <w:bdr w:val="nil"/>
        </w:rPr>
        <w:t>doivent être respectées</w:t>
      </w:r>
      <w:r w:rsidR="00875132">
        <w:rPr>
          <w:bdr w:val="nil"/>
        </w:rPr>
        <w:t>, l</w:t>
      </w:r>
      <w:r w:rsidR="001E148F">
        <w:rPr>
          <w:rFonts w:hint="eastAsia"/>
          <w:bdr w:val="nil"/>
        </w:rPr>
        <w:t>’</w:t>
      </w:r>
      <w:r w:rsidR="00875132">
        <w:rPr>
          <w:bdr w:val="nil"/>
        </w:rPr>
        <w:t xml:space="preserve">ADR/le RID </w:t>
      </w:r>
      <w:proofErr w:type="gramStart"/>
      <w:r w:rsidR="00875132">
        <w:rPr>
          <w:bdr w:val="nil"/>
        </w:rPr>
        <w:t>par contre</w:t>
      </w:r>
      <w:proofErr w:type="gramEnd"/>
      <w:r w:rsidR="00875132">
        <w:rPr>
          <w:bdr w:val="nil"/>
        </w:rPr>
        <w:t xml:space="preserve"> précisent les prescriptions qui </w:t>
      </w:r>
      <w:r w:rsidR="00875132">
        <w:rPr>
          <w:b/>
          <w:bdr w:val="nil"/>
        </w:rPr>
        <w:t>ne sont pas applicables</w:t>
      </w:r>
      <w:r w:rsidR="00875132">
        <w:rPr>
          <w:bdr w:val="nil"/>
        </w:rPr>
        <w:t>.</w:t>
      </w:r>
    </w:p>
    <w:p w:rsidR="00875132" w:rsidRPr="00B25D5E" w:rsidRDefault="00B329A1" w:rsidP="00B329A1">
      <w:pPr>
        <w:pStyle w:val="HChG"/>
      </w:pPr>
      <w:r>
        <w:tab/>
      </w:r>
      <w:r w:rsidR="004E6D86">
        <w:t>II.</w:t>
      </w:r>
      <w:r w:rsidR="004E6D86">
        <w:tab/>
      </w:r>
      <w:r w:rsidR="00875132">
        <w:t>Demande</w:t>
      </w:r>
    </w:p>
    <w:p w:rsidR="00875132" w:rsidRPr="00B25D5E" w:rsidRDefault="00875132" w:rsidP="00B329A1">
      <w:pPr>
        <w:pStyle w:val="SingleTxtG"/>
      </w:pPr>
      <w:r>
        <w:t>1</w:t>
      </w:r>
      <w:r w:rsidR="00DA3D59">
        <w:t>1</w:t>
      </w:r>
      <w:r>
        <w:t>.</w:t>
      </w:r>
      <w:r>
        <w:tab/>
        <w:t>L</w:t>
      </w:r>
      <w:r w:rsidR="001E148F">
        <w:rPr>
          <w:rFonts w:hint="eastAsia"/>
        </w:rPr>
        <w:t>’</w:t>
      </w:r>
      <w:r>
        <w:t>Allemagne propose au Comité de sécurité de reprendre pour l</w:t>
      </w:r>
      <w:r w:rsidR="001E148F">
        <w:rPr>
          <w:rFonts w:hint="eastAsia"/>
        </w:rPr>
        <w:t>’</w:t>
      </w:r>
      <w:r>
        <w:t>ADN le texte utilisé dans l</w:t>
      </w:r>
      <w:r w:rsidR="001E148F">
        <w:rPr>
          <w:rFonts w:hint="eastAsia"/>
        </w:rPr>
        <w:t>’</w:t>
      </w:r>
      <w:r>
        <w:t>ADR et le RID. L</w:t>
      </w:r>
      <w:r w:rsidR="001E148F">
        <w:rPr>
          <w:rFonts w:hint="eastAsia"/>
        </w:rPr>
        <w:t>’</w:t>
      </w:r>
      <w:r>
        <w:t>exemption de l</w:t>
      </w:r>
      <w:r w:rsidR="001E148F">
        <w:rPr>
          <w:rFonts w:hint="eastAsia"/>
        </w:rPr>
        <w:t>’</w:t>
      </w:r>
      <w:r>
        <w:t xml:space="preserve">application des prescriptions concernant la sûreté en cas de matières radioactives portant les Nos ONU 2908 à 2911 devrait être incluse tant dans la sous-section 1.1.3.6 </w:t>
      </w:r>
      <w:proofErr w:type="gramStart"/>
      <w:r>
        <w:t>relative</w:t>
      </w:r>
      <w:proofErr w:type="gramEnd"/>
      <w:r>
        <w:t xml:space="preserve"> aux exemptions liées aux quantités transportées à bord des bateaux, que dans la sous-section 1.10.4 relative aux exemptions des prescriptions en matière de sûreté.</w:t>
      </w:r>
    </w:p>
    <w:p w:rsidR="00875132" w:rsidRPr="00B25D5E" w:rsidRDefault="00875132" w:rsidP="00B329A1">
      <w:pPr>
        <w:pStyle w:val="SingleTxtG"/>
      </w:pPr>
      <w:r>
        <w:t>1</w:t>
      </w:r>
      <w:r w:rsidR="00DA3D59">
        <w:t>2</w:t>
      </w:r>
      <w:r>
        <w:t>.</w:t>
      </w:r>
      <w:r>
        <w:tab/>
        <w:t>Il est proposé de modifier le paragraphe 1.1.3.6.2 de l</w:t>
      </w:r>
      <w:r w:rsidR="001E148F">
        <w:rPr>
          <w:rFonts w:hint="eastAsia"/>
        </w:rPr>
        <w:t>’</w:t>
      </w:r>
      <w:r>
        <w:t>ADN pour lire comme suit :</w:t>
      </w:r>
    </w:p>
    <w:p w:rsidR="00875132" w:rsidRPr="00B25D5E" w:rsidRDefault="00875132" w:rsidP="00B329A1">
      <w:pPr>
        <w:pStyle w:val="SingleTxtG"/>
      </w:pPr>
      <w:r>
        <w:t>Insérer le nouveau sous-paragraphe b) suivant :</w:t>
      </w:r>
    </w:p>
    <w:p w:rsidR="00875132" w:rsidRPr="00B25D5E" w:rsidRDefault="004E6D86" w:rsidP="00B329A1">
      <w:pPr>
        <w:pStyle w:val="SingleTxtG"/>
      </w:pPr>
      <w:r>
        <w:tab/>
      </w:r>
      <w:r>
        <w:tab/>
      </w:r>
      <w:r w:rsidR="00875132">
        <w:t>« </w:t>
      </w:r>
      <w:proofErr w:type="gramStart"/>
      <w:r w:rsidR="00875132">
        <w:t>b</w:t>
      </w:r>
      <w:proofErr w:type="gramEnd"/>
      <w:r w:rsidR="00875132">
        <w:t>)</w:t>
      </w:r>
      <w:r w:rsidR="00875132">
        <w:tab/>
        <w:t>Les prescriptions des sections 1.10.1, 1.10.2 et 1.10.3 s</w:t>
      </w:r>
      <w:r w:rsidR="001E148F">
        <w:rPr>
          <w:rFonts w:hint="eastAsia"/>
        </w:rPr>
        <w:t>’</w:t>
      </w:r>
      <w:r w:rsidR="00875132">
        <w:t xml:space="preserve">appliquent aux colis </w:t>
      </w:r>
      <w:r w:rsidR="00D31F57">
        <w:tab/>
      </w:r>
      <w:r w:rsidR="00D31F57">
        <w:tab/>
      </w:r>
      <w:r w:rsidR="00D31F57">
        <w:tab/>
      </w:r>
      <w:r w:rsidR="00875132">
        <w:t>portant les Nos ONU 2910 et 2911 de la classe 7 si le niveau d</w:t>
      </w:r>
      <w:r w:rsidR="001E148F">
        <w:rPr>
          <w:rFonts w:hint="eastAsia"/>
        </w:rPr>
        <w:t>’</w:t>
      </w:r>
      <w:r w:rsidR="00875132">
        <w:t xml:space="preserve">activité (par colis) </w:t>
      </w:r>
      <w:r w:rsidR="00D31F57">
        <w:tab/>
      </w:r>
      <w:r w:rsidR="00D31F57">
        <w:tab/>
      </w:r>
      <w:r w:rsidR="00D31F57">
        <w:tab/>
      </w:r>
      <w:r w:rsidR="00875132">
        <w:t>dépasse la valeur A</w:t>
      </w:r>
      <w:r w:rsidR="00875132">
        <w:rPr>
          <w:vertAlign w:val="subscript"/>
        </w:rPr>
        <w:t>2</w:t>
      </w:r>
      <w:r w:rsidR="00875132">
        <w:t>. »</w:t>
      </w:r>
    </w:p>
    <w:p w:rsidR="00875132" w:rsidRPr="00B25D5E" w:rsidRDefault="00875132" w:rsidP="00B329A1">
      <w:pPr>
        <w:pStyle w:val="SingleTxtG"/>
      </w:pPr>
      <w:r>
        <w:t>Renuméroter les sous-paragraphes b) à e) en tant que c) à f).</w:t>
      </w:r>
    </w:p>
    <w:p w:rsidR="00875132" w:rsidRPr="00B25D5E" w:rsidRDefault="00875132" w:rsidP="00B329A1">
      <w:pPr>
        <w:pStyle w:val="SingleTxtG"/>
      </w:pPr>
      <w:r>
        <w:t>Le sous-paragraphe f) devient sous-paragraphe g) et les mots « sous d) et e) » sont remplacés par les mots « sous e) et f) ».</w:t>
      </w:r>
    </w:p>
    <w:p w:rsidR="00875132" w:rsidRPr="00B25D5E" w:rsidRDefault="00875132" w:rsidP="00B329A1">
      <w:pPr>
        <w:pStyle w:val="SingleTxtG"/>
      </w:pPr>
      <w:r>
        <w:t>1</w:t>
      </w:r>
      <w:r w:rsidR="00DA3D59">
        <w:t>3</w:t>
      </w:r>
      <w:r>
        <w:t>.</w:t>
      </w:r>
      <w:r>
        <w:tab/>
        <w:t>Il est proposé de modifier la section 1.10.4 de l</w:t>
      </w:r>
      <w:r w:rsidR="001E148F">
        <w:rPr>
          <w:rFonts w:hint="eastAsia"/>
        </w:rPr>
        <w:t>’</w:t>
      </w:r>
      <w:r>
        <w:t xml:space="preserve">ADN pour lire comme suit (le texte à insérer est </w:t>
      </w:r>
      <w:r>
        <w:rPr>
          <w:u w:val="single"/>
        </w:rPr>
        <w:t>souligné</w:t>
      </w:r>
      <w:r>
        <w:t>) :</w:t>
      </w:r>
    </w:p>
    <w:p w:rsidR="00875132" w:rsidRPr="00B25D5E" w:rsidRDefault="004E6D86" w:rsidP="00C510A4">
      <w:pPr>
        <w:pStyle w:val="SingleTxtG"/>
        <w:ind w:left="1701" w:hanging="567"/>
      </w:pPr>
      <w:r>
        <w:tab/>
      </w:r>
      <w:r>
        <w:tab/>
      </w:r>
      <w:r w:rsidR="00875132">
        <w:t>« 1.10.4</w:t>
      </w:r>
      <w:r w:rsidR="00B329A1">
        <w:tab/>
      </w:r>
      <w:r w:rsidR="00875132">
        <w:t>À l</w:t>
      </w:r>
      <w:r w:rsidR="001E148F">
        <w:rPr>
          <w:rFonts w:hint="eastAsia"/>
        </w:rPr>
        <w:t>’</w:t>
      </w:r>
      <w:r w:rsidR="00875132">
        <w:t xml:space="preserve">exception des matières radioactives </w:t>
      </w:r>
      <w:r w:rsidR="00875132">
        <w:rPr>
          <w:u w:val="single"/>
        </w:rPr>
        <w:t xml:space="preserve">portant les Nos ONU 2910 et </w:t>
      </w:r>
      <w:r>
        <w:rPr>
          <w:u w:val="single"/>
        </w:rPr>
        <w:tab/>
      </w:r>
      <w:r w:rsidR="00875132">
        <w:rPr>
          <w:u w:val="single"/>
        </w:rPr>
        <w:t>2911, si le niveau d</w:t>
      </w:r>
      <w:r w:rsidR="001E148F">
        <w:rPr>
          <w:rFonts w:hint="eastAsia"/>
          <w:u w:val="single"/>
        </w:rPr>
        <w:t>’</w:t>
      </w:r>
      <w:r w:rsidR="00875132">
        <w:rPr>
          <w:u w:val="single"/>
        </w:rPr>
        <w:t>activité (par colis) dépasse la valeur A</w:t>
      </w:r>
      <w:r w:rsidR="00875132">
        <w:rPr>
          <w:u w:val="single"/>
          <w:vertAlign w:val="subscript"/>
        </w:rPr>
        <w:t>2</w:t>
      </w:r>
      <w:r w:rsidR="00875132">
        <w:t>, les prescriptions des 1.10.1, 1.10.2 et 1.10.3 ne s</w:t>
      </w:r>
      <w:r w:rsidR="001E148F">
        <w:rPr>
          <w:rFonts w:hint="eastAsia"/>
        </w:rPr>
        <w:t>’</w:t>
      </w:r>
      <w:r w:rsidR="00875132">
        <w:t>appliquent pas lorsque les quantités transportées par bateau ne sont pas supérieures à celles prévues au 1.1.3.6.1.</w:t>
      </w:r>
      <w:r w:rsidR="00C510A4">
        <w:t xml:space="preserve"> </w:t>
      </w:r>
      <w:r w:rsidR="00875132">
        <w:t>En outre, les dispositions du présent chapitre ne s</w:t>
      </w:r>
      <w:r w:rsidR="001E148F">
        <w:rPr>
          <w:rFonts w:hint="eastAsia"/>
        </w:rPr>
        <w:t>’</w:t>
      </w:r>
      <w:r w:rsidR="00875132">
        <w:t>appliquent pas au transport du No ONU 2912 MATIÈRES RADIOACTIVES DE FAIBLE ACTIVITÉ SPÉCIFIQUE (LSA-1) et du No ONU 2913 MATIÈRES RADIOACTIVES, OBJETS CONTAMINÉS SUPERFICIELLEMENT (SCO-1).</w:t>
      </w:r>
      <w:r w:rsidR="00C510A4">
        <w:t> »</w:t>
      </w:r>
    </w:p>
    <w:p w:rsidR="00875132" w:rsidRPr="00B25D5E" w:rsidRDefault="004E6D86" w:rsidP="00B329A1">
      <w:pPr>
        <w:pStyle w:val="HChG"/>
      </w:pPr>
      <w:r>
        <w:lastRenderedPageBreak/>
        <w:tab/>
        <w:t>III.</w:t>
      </w:r>
      <w:r>
        <w:tab/>
      </w:r>
      <w:r w:rsidR="00875132">
        <w:t>Exposé des motifs</w:t>
      </w:r>
    </w:p>
    <w:p w:rsidR="00875132" w:rsidRPr="00B25D5E" w:rsidRDefault="00875132" w:rsidP="00C510A4">
      <w:pPr>
        <w:pStyle w:val="SingleTxtG"/>
      </w:pPr>
      <w:r>
        <w:rPr>
          <w:sz w:val="22"/>
          <w:szCs w:val="22"/>
        </w:rPr>
        <w:t>1</w:t>
      </w:r>
      <w:r w:rsidR="00DA3D59">
        <w:rPr>
          <w:sz w:val="22"/>
          <w:szCs w:val="22"/>
        </w:rPr>
        <w:t>4</w:t>
      </w:r>
      <w:r>
        <w:rPr>
          <w:sz w:val="22"/>
          <w:szCs w:val="22"/>
        </w:rPr>
        <w:t>.</w:t>
      </w:r>
      <w:r>
        <w:rPr>
          <w:sz w:val="22"/>
          <w:szCs w:val="22"/>
        </w:rPr>
        <w:tab/>
        <w:t>La réunion commune RID/ADR/ADN en septembre 2011 avait proposé sur la base du document</w:t>
      </w:r>
      <w:r w:rsidR="00B329A1">
        <w:rPr>
          <w:sz w:val="22"/>
          <w:szCs w:val="22"/>
        </w:rPr>
        <w:t> </w:t>
      </w:r>
      <w:r w:rsidR="00B329A1">
        <w:rPr>
          <w:bCs/>
        </w:rPr>
        <w:tab/>
      </w:r>
      <w:r>
        <w:rPr>
          <w:bCs/>
          <w:i/>
        </w:rPr>
        <w:t>ECE/TRANS/WP.15/AC.1/2011/30/Add.1</w:t>
      </w:r>
      <w:r w:rsidR="00C510A4">
        <w:rPr>
          <w:bCs/>
          <w:i/>
        </w:rPr>
        <w:t xml:space="preserve"> </w:t>
      </w:r>
      <w:r>
        <w:t>d</w:t>
      </w:r>
      <w:r w:rsidR="001E148F">
        <w:rPr>
          <w:rFonts w:hint="eastAsia"/>
        </w:rPr>
        <w:t>’</w:t>
      </w:r>
      <w:r>
        <w:t>apporter l</w:t>
      </w:r>
      <w:r w:rsidR="001E148F">
        <w:rPr>
          <w:rFonts w:hint="eastAsia"/>
        </w:rPr>
        <w:t>’</w:t>
      </w:r>
      <w:r>
        <w:t>amendement suivant aux trois réglementations ADR/RID/ADN :</w:t>
      </w:r>
    </w:p>
    <w:p w:rsidR="00C510A4" w:rsidRDefault="00B329A1" w:rsidP="00C510A4">
      <w:pPr>
        <w:pStyle w:val="H4G"/>
        <w:spacing w:before="120" w:line="240" w:lineRule="auto"/>
      </w:pPr>
      <w:r>
        <w:tab/>
      </w:r>
      <w:r>
        <w:tab/>
      </w:r>
      <w:r w:rsidR="00C510A4">
        <w:t>« </w:t>
      </w:r>
      <w:r w:rsidR="00875132">
        <w:t xml:space="preserve">1.1.3.6.2 </w:t>
      </w:r>
      <w:r w:rsidR="00875132">
        <w:tab/>
        <w:t>Au premier tiret, insérer à la fin avant le point-virgule :</w:t>
      </w:r>
    </w:p>
    <w:p w:rsidR="00875132" w:rsidRPr="00B25D5E" w:rsidRDefault="00B329A1" w:rsidP="00C510A4">
      <w:pPr>
        <w:pStyle w:val="H4G"/>
        <w:spacing w:before="120" w:line="240" w:lineRule="auto"/>
        <w:rPr>
          <w:rFonts w:cs="Arial"/>
        </w:rPr>
      </w:pPr>
      <w:r>
        <w:tab/>
      </w:r>
      <w:r>
        <w:tab/>
      </w:r>
      <w:r w:rsidR="00D91016">
        <w:tab/>
      </w:r>
      <w:r w:rsidR="00D91016">
        <w:tab/>
      </w:r>
      <w:r w:rsidR="00D91016">
        <w:tab/>
      </w:r>
      <w:proofErr w:type="gramStart"/>
      <w:r w:rsidR="00875132">
        <w:t>«  et</w:t>
      </w:r>
      <w:proofErr w:type="gramEnd"/>
      <w:r w:rsidR="00875132">
        <w:t xml:space="preserve"> à l</w:t>
      </w:r>
      <w:r w:rsidR="001E148F">
        <w:rPr>
          <w:rFonts w:hint="eastAsia"/>
        </w:rPr>
        <w:t>’</w:t>
      </w:r>
      <w:r w:rsidR="00875132">
        <w:t xml:space="preserve">exception des colis exceptés portant les Nos ONU 2910 et 2911 de la </w:t>
      </w:r>
      <w:r w:rsidR="00BC740F">
        <w:tab/>
      </w:r>
      <w:r w:rsidR="00BC740F">
        <w:tab/>
      </w:r>
      <w:r w:rsidR="00D91016">
        <w:tab/>
      </w:r>
      <w:r w:rsidR="00875132">
        <w:t>classe 7 si le niveau d</w:t>
      </w:r>
      <w:r w:rsidR="001E148F">
        <w:rPr>
          <w:rFonts w:hint="eastAsia"/>
        </w:rPr>
        <w:t>’</w:t>
      </w:r>
      <w:r w:rsidR="00875132">
        <w:t>activité dépasse la valeur A</w:t>
      </w:r>
      <w:r w:rsidR="00875132">
        <w:rPr>
          <w:vertAlign w:val="subscript"/>
        </w:rPr>
        <w:t>2</w:t>
      </w:r>
      <w:r w:rsidR="00875132">
        <w:t>. »</w:t>
      </w:r>
    </w:p>
    <w:p w:rsidR="00875132" w:rsidRPr="00B25D5E" w:rsidRDefault="00B329A1" w:rsidP="00D91016">
      <w:pPr>
        <w:pStyle w:val="H4G"/>
        <w:spacing w:before="120"/>
        <w:rPr>
          <w:rFonts w:cs="Arial"/>
        </w:rPr>
      </w:pPr>
      <w:r>
        <w:tab/>
      </w:r>
      <w:r>
        <w:tab/>
      </w:r>
      <w:r w:rsidR="00875132">
        <w:t>[Modification consécutive en relation avec 1.10.4]</w:t>
      </w:r>
    </w:p>
    <w:p w:rsidR="00875132" w:rsidRPr="00B25D5E" w:rsidRDefault="00B329A1" w:rsidP="00B329A1">
      <w:pPr>
        <w:pStyle w:val="H4G"/>
        <w:rPr>
          <w:rFonts w:cs="Arial"/>
        </w:rPr>
      </w:pPr>
      <w:r>
        <w:tab/>
      </w:r>
      <w:r>
        <w:tab/>
      </w:r>
      <w:r w:rsidR="00875132">
        <w:t>1.10.4</w:t>
      </w:r>
      <w:r w:rsidR="00875132">
        <w:tab/>
      </w:r>
      <w:r w:rsidR="00875132">
        <w:tab/>
        <w:t>Ajouter après « de la classe 1/sous-classe 1.4 » après « 0500 » :</w:t>
      </w:r>
    </w:p>
    <w:p w:rsidR="00875132" w:rsidRPr="00B25D5E" w:rsidRDefault="00B329A1" w:rsidP="00B329A1">
      <w:pPr>
        <w:pStyle w:val="H4G"/>
        <w:rPr>
          <w:rFonts w:cs="Arial"/>
        </w:rPr>
      </w:pPr>
      <w:r>
        <w:tab/>
      </w:r>
      <w:r>
        <w:tab/>
      </w:r>
      <w:r w:rsidR="00D91016">
        <w:tab/>
      </w:r>
      <w:r w:rsidR="00D91016">
        <w:tab/>
      </w:r>
      <w:r w:rsidR="00D91016">
        <w:tab/>
      </w:r>
      <w:proofErr w:type="gramStart"/>
      <w:r w:rsidR="00875132">
        <w:t>«  et</w:t>
      </w:r>
      <w:proofErr w:type="gramEnd"/>
      <w:r w:rsidR="00875132">
        <w:t xml:space="preserve"> à l</w:t>
      </w:r>
      <w:r w:rsidR="001E148F">
        <w:rPr>
          <w:rFonts w:hint="eastAsia"/>
        </w:rPr>
        <w:t>’</w:t>
      </w:r>
      <w:r w:rsidR="00875132">
        <w:t xml:space="preserve">exception </w:t>
      </w:r>
      <w:proofErr w:type="spellStart"/>
      <w:r w:rsidR="00875132">
        <w:t>des</w:t>
      </w:r>
      <w:proofErr w:type="spellEnd"/>
      <w:r w:rsidR="00875132">
        <w:t xml:space="preserve"> Nos ONU 2910 et 2911 si le niveau d</w:t>
      </w:r>
      <w:r w:rsidR="001E148F">
        <w:rPr>
          <w:rFonts w:hint="eastAsia"/>
        </w:rPr>
        <w:t>’</w:t>
      </w:r>
      <w:r w:rsidR="00875132">
        <w:t xml:space="preserve">activité dépasse </w:t>
      </w:r>
      <w:r w:rsidR="00D91016">
        <w:tab/>
      </w:r>
      <w:r w:rsidR="00D91016">
        <w:tab/>
      </w:r>
      <w:r w:rsidR="00D91016">
        <w:tab/>
      </w:r>
      <w:r w:rsidR="00875132">
        <w:t>la valeur A</w:t>
      </w:r>
      <w:r w:rsidR="00875132">
        <w:rPr>
          <w:vertAlign w:val="subscript"/>
        </w:rPr>
        <w:t>2</w:t>
      </w:r>
      <w:r w:rsidR="00875132">
        <w:t>. »</w:t>
      </w:r>
    </w:p>
    <w:p w:rsidR="00875132" w:rsidRPr="00B25D5E" w:rsidRDefault="00B329A1" w:rsidP="00D91016">
      <w:pPr>
        <w:pStyle w:val="H4G"/>
        <w:spacing w:before="120"/>
        <w:rPr>
          <w:rFonts w:cs="Arial"/>
        </w:rPr>
      </w:pPr>
      <w:r>
        <w:tab/>
      </w:r>
      <w:r>
        <w:tab/>
      </w:r>
      <w:r w:rsidR="00875132">
        <w:t>[Modification consécutive voir 1.1.3.2.6]</w:t>
      </w:r>
    </w:p>
    <w:p w:rsidR="00875132" w:rsidRPr="00B25D5E" w:rsidRDefault="00B329A1" w:rsidP="00B329A1">
      <w:pPr>
        <w:pStyle w:val="H4G"/>
        <w:rPr>
          <w:rFonts w:cs="Arial"/>
        </w:rPr>
      </w:pPr>
      <w:r>
        <w:tab/>
      </w:r>
      <w:r>
        <w:tab/>
      </w:r>
      <w:r w:rsidR="00875132">
        <w:t>Ajouter la phrase suivante à la fin :</w:t>
      </w:r>
    </w:p>
    <w:p w:rsidR="00875132" w:rsidRPr="00B25D5E" w:rsidRDefault="00B329A1" w:rsidP="00C47896">
      <w:pPr>
        <w:pStyle w:val="H4G"/>
        <w:jc w:val="both"/>
        <w:rPr>
          <w:rFonts w:cs="Arial"/>
        </w:rPr>
      </w:pPr>
      <w:r>
        <w:tab/>
      </w:r>
      <w:r>
        <w:tab/>
      </w:r>
      <w:r w:rsidR="004E6D86">
        <w:tab/>
      </w:r>
      <w:r w:rsidR="004E6D86">
        <w:tab/>
      </w:r>
      <w:r w:rsidR="00875132">
        <w:t>« En outre, les dispositions du présent chapitre ne s</w:t>
      </w:r>
      <w:r w:rsidR="001E148F">
        <w:rPr>
          <w:rFonts w:hint="eastAsia"/>
        </w:rPr>
        <w:t>’</w:t>
      </w:r>
      <w:r w:rsidR="00875132">
        <w:t xml:space="preserve">appliquent pas au transport du </w:t>
      </w:r>
      <w:r w:rsidR="004E6D86">
        <w:tab/>
      </w:r>
      <w:r w:rsidR="004E6D86">
        <w:tab/>
      </w:r>
      <w:r w:rsidR="004E6D86">
        <w:tab/>
      </w:r>
      <w:r w:rsidR="00875132">
        <w:t xml:space="preserve">No ONU 2912 MATIÈRES RADIOACTIVES DE FAIBLE ACTIVITÉ SPÉCIFIQUE </w:t>
      </w:r>
      <w:r w:rsidR="004E6D86">
        <w:tab/>
      </w:r>
      <w:r w:rsidR="004E6D86">
        <w:tab/>
      </w:r>
      <w:r w:rsidR="004E6D86">
        <w:tab/>
      </w:r>
      <w:r w:rsidR="00875132">
        <w:t xml:space="preserve">(LSA-1) et du No ONU 2913 MATIÈRES RADIOACTIVES, OBJETS CONTAMINÉS </w:t>
      </w:r>
      <w:r w:rsidR="004E6D86">
        <w:tab/>
      </w:r>
      <w:r w:rsidR="004E6D86">
        <w:tab/>
      </w:r>
      <w:r w:rsidR="00875132">
        <w:t>SUPERFICIELLEMENT (SCO-1). »</w:t>
      </w:r>
    </w:p>
    <w:p w:rsidR="00875132" w:rsidRPr="00B25D5E" w:rsidRDefault="00875132" w:rsidP="00D91016">
      <w:pPr>
        <w:pStyle w:val="SingleTxtG"/>
        <w:rPr>
          <w:rFonts w:cs="Arial"/>
        </w:rPr>
      </w:pPr>
      <w:r>
        <w:t>1</w:t>
      </w:r>
      <w:r w:rsidR="00DA3D59">
        <w:t>5</w:t>
      </w:r>
      <w:r>
        <w:t>.</w:t>
      </w:r>
      <w:r>
        <w:tab/>
        <w:t>La dernière phrase a également été ajoutée à la version ADN 2013. Les modifications relatives aux Nos 2910 et 2911 n</w:t>
      </w:r>
      <w:r w:rsidR="001E148F">
        <w:rPr>
          <w:rFonts w:hint="eastAsia"/>
        </w:rPr>
        <w:t>’</w:t>
      </w:r>
      <w:r>
        <w:t>ont pas été adoptées. Selon les recherches de la délégation allemande, il n</w:t>
      </w:r>
      <w:r w:rsidR="001E148F">
        <w:rPr>
          <w:rFonts w:hint="eastAsia"/>
        </w:rPr>
        <w:t>’</w:t>
      </w:r>
      <w:r>
        <w:t>y a pas eu de justification particulière, de sorte que l</w:t>
      </w:r>
      <w:r w:rsidR="001E148F">
        <w:rPr>
          <w:rFonts w:hint="eastAsia"/>
        </w:rPr>
        <w:t>’</w:t>
      </w:r>
      <w:r>
        <w:t>on peut supposer une erreur.</w:t>
      </w:r>
    </w:p>
    <w:p w:rsidR="00875132" w:rsidRPr="00B25D5E" w:rsidRDefault="00BC740F" w:rsidP="00D91016">
      <w:pPr>
        <w:pStyle w:val="SingleTxtG"/>
        <w:rPr>
          <w:rFonts w:cs="Arial"/>
        </w:rPr>
      </w:pPr>
      <w:r>
        <w:t>1</w:t>
      </w:r>
      <w:r w:rsidR="00DA3D59">
        <w:t>6</w:t>
      </w:r>
      <w:r>
        <w:t>.</w:t>
      </w:r>
      <w:r>
        <w:tab/>
      </w:r>
      <w:r w:rsidR="00875132">
        <w:t>La modification apportée à l</w:t>
      </w:r>
      <w:r w:rsidR="001E148F">
        <w:rPr>
          <w:rFonts w:hint="eastAsia"/>
        </w:rPr>
        <w:t>’</w:t>
      </w:r>
      <w:r w:rsidR="00875132">
        <w:t xml:space="preserve">ADR et au RID 2013 devrait donc également être acceptée </w:t>
      </w:r>
      <w:r w:rsidR="004E6D86">
        <w:t>–</w:t>
      </w:r>
      <w:r w:rsidR="00875132">
        <w:t xml:space="preserve"> avec retard </w:t>
      </w:r>
      <w:r w:rsidR="004E6D86">
        <w:t xml:space="preserve">– </w:t>
      </w:r>
      <w:r w:rsidR="00875132">
        <w:t>pour l</w:t>
      </w:r>
      <w:r w:rsidR="001E148F">
        <w:rPr>
          <w:rFonts w:hint="eastAsia"/>
        </w:rPr>
        <w:t>’</w:t>
      </w:r>
      <w:r w:rsidR="00875132">
        <w:t>ADN.</w:t>
      </w:r>
    </w:p>
    <w:p w:rsidR="00875132" w:rsidRPr="00B25D5E" w:rsidRDefault="00875132" w:rsidP="00D91016">
      <w:pPr>
        <w:pStyle w:val="SingleTxtG"/>
        <w:rPr>
          <w:rFonts w:cs="Arial"/>
        </w:rPr>
      </w:pPr>
      <w:r>
        <w:t>1</w:t>
      </w:r>
      <w:r w:rsidR="00DA3D59">
        <w:t>7</w:t>
      </w:r>
      <w:r>
        <w:t>.</w:t>
      </w:r>
      <w:r>
        <w:tab/>
        <w:t>Il n</w:t>
      </w:r>
      <w:r w:rsidR="001E148F">
        <w:rPr>
          <w:rFonts w:hint="eastAsia"/>
        </w:rPr>
        <w:t>’</w:t>
      </w:r>
      <w:r>
        <w:t>y a pas lieu d</w:t>
      </w:r>
      <w:r w:rsidR="001E148F">
        <w:rPr>
          <w:rFonts w:hint="eastAsia"/>
        </w:rPr>
        <w:t>’</w:t>
      </w:r>
      <w:r>
        <w:t>appliquer aux matières portant les Nos ONU 2910 et 2911 avec un niveau d</w:t>
      </w:r>
      <w:r w:rsidR="001E148F">
        <w:rPr>
          <w:rFonts w:hint="eastAsia"/>
        </w:rPr>
        <w:t>’</w:t>
      </w:r>
      <w:r>
        <w:t>activité (par colis) dépassant la valeur A</w:t>
      </w:r>
      <w:r>
        <w:rPr>
          <w:vertAlign w:val="subscript"/>
        </w:rPr>
        <w:t>2</w:t>
      </w:r>
      <w:r>
        <w:t>, hormis le chapitre 1.10, l</w:t>
      </w:r>
      <w:r w:rsidR="001E148F">
        <w:rPr>
          <w:rFonts w:hint="eastAsia"/>
        </w:rPr>
        <w:t>’</w:t>
      </w:r>
      <w:r>
        <w:t>ADN dans son ensemble ou de prévoir un plus grand nombre de conditions qu</w:t>
      </w:r>
      <w:r w:rsidR="001E148F">
        <w:rPr>
          <w:rFonts w:hint="eastAsia"/>
        </w:rPr>
        <w:t>’</w:t>
      </w:r>
      <w:r>
        <w:t>auparavant (1.1.3.6.2 de l</w:t>
      </w:r>
      <w:r w:rsidR="001E148F">
        <w:rPr>
          <w:rFonts w:hint="eastAsia"/>
        </w:rPr>
        <w:t>’</w:t>
      </w:r>
      <w:r>
        <w:t>ADN).</w:t>
      </w:r>
    </w:p>
    <w:p w:rsidR="00875132" w:rsidRPr="00B25D5E" w:rsidRDefault="00D91016" w:rsidP="00D91016">
      <w:pPr>
        <w:pStyle w:val="HChG"/>
      </w:pPr>
      <w:r>
        <w:tab/>
      </w:r>
      <w:r w:rsidR="004E6D86">
        <w:t>IV.</w:t>
      </w:r>
      <w:r w:rsidR="004E6D86">
        <w:tab/>
      </w:r>
      <w:r w:rsidR="00875132">
        <w:t>Sécurité</w:t>
      </w:r>
    </w:p>
    <w:p w:rsidR="00875132" w:rsidRPr="00B25D5E" w:rsidRDefault="00875132" w:rsidP="00D91016">
      <w:pPr>
        <w:pStyle w:val="SingleTxtG"/>
      </w:pPr>
      <w:r>
        <w:t>1</w:t>
      </w:r>
      <w:r w:rsidR="00DA3D59">
        <w:t>8</w:t>
      </w:r>
      <w:r>
        <w:t>.</w:t>
      </w:r>
      <w:r>
        <w:tab/>
        <w:t>Des problèmes de sécurité ne se posent pas étant donné que l</w:t>
      </w:r>
      <w:r w:rsidR="001E148F">
        <w:rPr>
          <w:rFonts w:hint="eastAsia"/>
        </w:rPr>
        <w:t>’</w:t>
      </w:r>
      <w:r>
        <w:t>exemption des dispositions de sûreté en cas de transports de matières portant les Nos ONU 2908 à 2911 par route et par voie ferroviaire n</w:t>
      </w:r>
      <w:r w:rsidR="001E148F">
        <w:rPr>
          <w:rFonts w:hint="eastAsia"/>
        </w:rPr>
        <w:t>’</w:t>
      </w:r>
      <w:r>
        <w:t>a pas soulevé de problèmes majeurs.</w:t>
      </w:r>
    </w:p>
    <w:p w:rsidR="00875132" w:rsidRPr="00B25D5E" w:rsidRDefault="00DA3D59" w:rsidP="00D91016">
      <w:pPr>
        <w:pStyle w:val="SingleTxtG"/>
      </w:pPr>
      <w:r>
        <w:t>19</w:t>
      </w:r>
      <w:r w:rsidR="00BC740F">
        <w:t>.</w:t>
      </w:r>
      <w:r w:rsidR="00BC740F">
        <w:tab/>
      </w:r>
      <w:r w:rsidR="00875132">
        <w:t>Les prescriptions contradictoires, susceptibles d</w:t>
      </w:r>
      <w:r w:rsidR="001E148F">
        <w:rPr>
          <w:rFonts w:hint="eastAsia"/>
        </w:rPr>
        <w:t>’</w:t>
      </w:r>
      <w:r w:rsidR="00875132">
        <w:t>entraîner une perte de sécurité à cause de difficultés d</w:t>
      </w:r>
      <w:r w:rsidR="001E148F">
        <w:rPr>
          <w:rFonts w:hint="eastAsia"/>
        </w:rPr>
        <w:t>’</w:t>
      </w:r>
      <w:r w:rsidR="00875132">
        <w:t>interprétation seront corrigées.</w:t>
      </w:r>
    </w:p>
    <w:p w:rsidR="00875132" w:rsidRPr="00B25D5E" w:rsidRDefault="00D91016" w:rsidP="00D91016">
      <w:pPr>
        <w:pStyle w:val="HChG"/>
      </w:pPr>
      <w:r>
        <w:tab/>
      </w:r>
      <w:r w:rsidR="00BC740F">
        <w:tab/>
      </w:r>
      <w:r w:rsidR="00875132">
        <w:t>Applicabilité</w:t>
      </w:r>
    </w:p>
    <w:p w:rsidR="00875132" w:rsidRPr="00B25D5E" w:rsidRDefault="00051845" w:rsidP="00D91016">
      <w:pPr>
        <w:pStyle w:val="SingleTxtG"/>
      </w:pPr>
      <w:r>
        <w:t>2</w:t>
      </w:r>
      <w:r w:rsidR="00DA3D59">
        <w:t>0</w:t>
      </w:r>
      <w:r w:rsidR="00875132">
        <w:t>.</w:t>
      </w:r>
      <w:r w:rsidR="00875132">
        <w:tab/>
        <w:t>Il ne découle de la demande aucune modification aux niveaux de l</w:t>
      </w:r>
      <w:r w:rsidR="001E148F">
        <w:rPr>
          <w:rFonts w:hint="eastAsia"/>
        </w:rPr>
        <w:t>’</w:t>
      </w:r>
      <w:r w:rsidR="00875132">
        <w:t xml:space="preserve">organisation ou de la construction navale en ce qui concerne le transport de colis de la classe 7. </w:t>
      </w:r>
    </w:p>
    <w:p w:rsidR="00875132" w:rsidRDefault="00051845" w:rsidP="00D91016">
      <w:pPr>
        <w:pStyle w:val="SingleTxtG"/>
      </w:pPr>
      <w:r>
        <w:t>2</w:t>
      </w:r>
      <w:r w:rsidR="00DA3D59">
        <w:t>1</w:t>
      </w:r>
      <w:r w:rsidR="00BC740F">
        <w:t>.</w:t>
      </w:r>
      <w:r>
        <w:tab/>
      </w:r>
      <w:r w:rsidR="00875132">
        <w:t>Il y aura une facilitation dans la mesure où les prescriptions de sûreté applicables aux Nos</w:t>
      </w:r>
      <w:r w:rsidR="00D91016">
        <w:t> </w:t>
      </w:r>
      <w:r w:rsidR="00875132">
        <w:t xml:space="preserve">ONU 2908 et 2909 et aux </w:t>
      </w:r>
      <w:r w:rsidR="00875132">
        <w:rPr>
          <w:bCs/>
        </w:rPr>
        <w:t>Nos ONU 2910 et 2911 si le niveau d</w:t>
      </w:r>
      <w:r w:rsidR="001E148F">
        <w:rPr>
          <w:rFonts w:hint="eastAsia"/>
          <w:bCs/>
        </w:rPr>
        <w:t>’</w:t>
      </w:r>
      <w:r w:rsidR="00875132">
        <w:rPr>
          <w:bCs/>
        </w:rPr>
        <w:t>activité ne dépasse pas la valeur A</w:t>
      </w:r>
      <w:r w:rsidR="00875132">
        <w:rPr>
          <w:bCs/>
          <w:vertAlign w:val="subscript"/>
        </w:rPr>
        <w:t>2</w:t>
      </w:r>
      <w:r w:rsidR="00875132">
        <w:rPr>
          <w:bCs/>
        </w:rPr>
        <w:t>,</w:t>
      </w:r>
      <w:r w:rsidR="00875132">
        <w:rPr>
          <w:bCs/>
          <w:vertAlign w:val="subscript"/>
        </w:rPr>
        <w:t xml:space="preserve"> </w:t>
      </w:r>
      <w:r w:rsidR="00875132">
        <w:rPr>
          <w:bCs/>
        </w:rPr>
        <w:t xml:space="preserve">ne devront </w:t>
      </w:r>
      <w:r w:rsidR="00875132">
        <w:t>pas (plus) être respectées.</w:t>
      </w:r>
    </w:p>
    <w:p w:rsidR="00D91016" w:rsidRPr="00D91016" w:rsidRDefault="00D91016" w:rsidP="00D91016">
      <w:pPr>
        <w:spacing w:before="240"/>
        <w:jc w:val="center"/>
        <w:rPr>
          <w:u w:val="single"/>
        </w:rPr>
      </w:pPr>
      <w:r>
        <w:rPr>
          <w:u w:val="single"/>
        </w:rPr>
        <w:tab/>
      </w:r>
      <w:r>
        <w:rPr>
          <w:u w:val="single"/>
        </w:rPr>
        <w:tab/>
      </w:r>
      <w:r>
        <w:rPr>
          <w:u w:val="single"/>
        </w:rPr>
        <w:tab/>
      </w:r>
    </w:p>
    <w:p w:rsidR="00875132" w:rsidRDefault="00875132" w:rsidP="00875132">
      <w:pPr>
        <w:rPr>
          <w:b/>
          <w:bCs/>
        </w:rPr>
      </w:pPr>
    </w:p>
    <w:p w:rsidR="00875132" w:rsidRDefault="00875132" w:rsidP="00D3775F">
      <w:pPr>
        <w:spacing w:before="120"/>
        <w:rPr>
          <w:b/>
          <w:sz w:val="28"/>
          <w:szCs w:val="28"/>
        </w:rPr>
      </w:pPr>
    </w:p>
    <w:sectPr w:rsidR="00875132" w:rsidSect="00DA3D5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82B" w:rsidRDefault="00D2682B" w:rsidP="00F95C08">
      <w:pPr>
        <w:spacing w:line="240" w:lineRule="auto"/>
      </w:pPr>
    </w:p>
  </w:endnote>
  <w:endnote w:type="continuationSeparator" w:id="0">
    <w:p w:rsidR="00D2682B" w:rsidRPr="00AC3823" w:rsidRDefault="00D2682B" w:rsidP="00AC3823">
      <w:pPr>
        <w:pStyle w:val="Footer"/>
      </w:pPr>
    </w:p>
  </w:endnote>
  <w:endnote w:type="continuationNotice" w:id="1">
    <w:p w:rsidR="00D2682B" w:rsidRDefault="00D268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2B" w:rsidRPr="00D2682B" w:rsidRDefault="00D2682B" w:rsidP="00D2682B">
    <w:pPr>
      <w:pStyle w:val="Footer"/>
      <w:tabs>
        <w:tab w:val="right" w:pos="9638"/>
      </w:tabs>
      <w:rPr>
        <w:sz w:val="18"/>
      </w:rPr>
    </w:pPr>
    <w:r w:rsidRPr="00D2682B">
      <w:rPr>
        <w:b/>
        <w:sz w:val="18"/>
      </w:rPr>
      <w:fldChar w:fldCharType="begin"/>
    </w:r>
    <w:r w:rsidRPr="00D2682B">
      <w:rPr>
        <w:b/>
        <w:sz w:val="18"/>
      </w:rPr>
      <w:instrText xml:space="preserve"> PAGE  \* MERGEFORMAT </w:instrText>
    </w:r>
    <w:r w:rsidRPr="00D2682B">
      <w:rPr>
        <w:b/>
        <w:sz w:val="18"/>
      </w:rPr>
      <w:fldChar w:fldCharType="separate"/>
    </w:r>
    <w:r w:rsidRPr="00D2682B">
      <w:rPr>
        <w:b/>
        <w:noProof/>
        <w:sz w:val="18"/>
      </w:rPr>
      <w:t>2</w:t>
    </w:r>
    <w:r w:rsidRPr="00D2682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2B" w:rsidRPr="00D2682B" w:rsidRDefault="00D2682B" w:rsidP="00D2682B">
    <w:pPr>
      <w:pStyle w:val="Footer"/>
      <w:tabs>
        <w:tab w:val="right" w:pos="9638"/>
      </w:tabs>
      <w:rPr>
        <w:b/>
        <w:sz w:val="18"/>
      </w:rPr>
    </w:pPr>
    <w:r>
      <w:tab/>
    </w:r>
    <w:r w:rsidRPr="00D2682B">
      <w:rPr>
        <w:b/>
        <w:sz w:val="18"/>
      </w:rPr>
      <w:fldChar w:fldCharType="begin"/>
    </w:r>
    <w:r w:rsidRPr="00D2682B">
      <w:rPr>
        <w:b/>
        <w:sz w:val="18"/>
      </w:rPr>
      <w:instrText xml:space="preserve"> PAGE  \* MERGEFORMAT </w:instrText>
    </w:r>
    <w:r w:rsidRPr="00D2682B">
      <w:rPr>
        <w:b/>
        <w:sz w:val="18"/>
      </w:rPr>
      <w:fldChar w:fldCharType="separate"/>
    </w:r>
    <w:r w:rsidRPr="00D2682B">
      <w:rPr>
        <w:b/>
        <w:noProof/>
        <w:sz w:val="18"/>
      </w:rPr>
      <w:t>3</w:t>
    </w:r>
    <w:r w:rsidRPr="00D268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D2682B"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82B" w:rsidRPr="00AC3823" w:rsidRDefault="00D2682B" w:rsidP="00AC3823">
      <w:pPr>
        <w:pStyle w:val="Footer"/>
        <w:tabs>
          <w:tab w:val="right" w:pos="2155"/>
        </w:tabs>
        <w:spacing w:after="80" w:line="240" w:lineRule="atLeast"/>
        <w:ind w:left="680"/>
        <w:rPr>
          <w:u w:val="single"/>
        </w:rPr>
      </w:pPr>
      <w:r>
        <w:rPr>
          <w:u w:val="single"/>
        </w:rPr>
        <w:tab/>
      </w:r>
    </w:p>
  </w:footnote>
  <w:footnote w:type="continuationSeparator" w:id="0">
    <w:p w:rsidR="00D2682B" w:rsidRPr="00AC3823" w:rsidRDefault="00D2682B" w:rsidP="00AC3823">
      <w:pPr>
        <w:pStyle w:val="Footer"/>
        <w:tabs>
          <w:tab w:val="right" w:pos="2155"/>
        </w:tabs>
        <w:spacing w:after="80" w:line="240" w:lineRule="atLeast"/>
        <w:ind w:left="680"/>
        <w:rPr>
          <w:u w:val="single"/>
        </w:rPr>
      </w:pPr>
      <w:r>
        <w:rPr>
          <w:u w:val="single"/>
        </w:rPr>
        <w:tab/>
      </w:r>
    </w:p>
  </w:footnote>
  <w:footnote w:type="continuationNotice" w:id="1">
    <w:p w:rsidR="00D2682B" w:rsidRPr="00AC3823" w:rsidRDefault="00D2682B">
      <w:pPr>
        <w:spacing w:line="240" w:lineRule="auto"/>
        <w:rPr>
          <w:sz w:val="2"/>
          <w:szCs w:val="2"/>
        </w:rPr>
      </w:pPr>
    </w:p>
  </w:footnote>
  <w:footnote w:id="2">
    <w:p w:rsidR="00291F65" w:rsidRPr="00156EA2" w:rsidRDefault="00291F65" w:rsidP="00291F65">
      <w:pPr>
        <w:pStyle w:val="FootnoteText"/>
      </w:pPr>
      <w:r>
        <w:rPr>
          <w:rStyle w:val="FootnoteReference"/>
        </w:rPr>
        <w:tab/>
      </w:r>
      <w:r w:rsidRPr="00291F65">
        <w:rPr>
          <w:rStyle w:val="FootnoteReference"/>
          <w:sz w:val="20"/>
          <w:vertAlign w:val="baseline"/>
        </w:rPr>
        <w:t>*</w:t>
      </w:r>
      <w:r>
        <w:rPr>
          <w:rStyle w:val="FootnoteReference"/>
          <w:sz w:val="20"/>
          <w:vertAlign w:val="baseline"/>
        </w:rPr>
        <w:tab/>
      </w:r>
      <w:r w:rsidRPr="00291F65">
        <w:rPr>
          <w:rStyle w:val="FootnoteReference"/>
          <w:sz w:val="20"/>
          <w:vertAlign w:val="baseline"/>
        </w:rPr>
        <w:tab/>
      </w:r>
      <w:r w:rsidRPr="00156EA2">
        <w:t xml:space="preserve">Diffusé en langue allemande par la Commission centrale pour la navigation du Rhin sous la </w:t>
      </w:r>
      <w:proofErr w:type="gramStart"/>
      <w:r w:rsidRPr="00156EA2">
        <w:t>cote  CCNR</w:t>
      </w:r>
      <w:proofErr w:type="gramEnd"/>
      <w:r w:rsidRPr="00156EA2">
        <w:t>/ZKR/ADN/WP.15/AC.2/2019/</w:t>
      </w:r>
      <w:r w:rsidR="00A95F13">
        <w:t>19</w:t>
      </w:r>
      <w:r w:rsidRPr="00156EA2">
        <w:t>.</w:t>
      </w:r>
    </w:p>
    <w:p w:rsidR="00291F65" w:rsidRPr="00156EA2" w:rsidRDefault="00291F65" w:rsidP="00291F65">
      <w:pPr>
        <w:pStyle w:val="FootnoteText"/>
      </w:pPr>
      <w:r>
        <w:rPr>
          <w:sz w:val="20"/>
        </w:rPr>
        <w:tab/>
      </w:r>
      <w:r w:rsidRPr="00291F65">
        <w:rPr>
          <w:rStyle w:val="FootnoteReference"/>
          <w:sz w:val="20"/>
          <w:vertAlign w:val="baseline"/>
        </w:rPr>
        <w:t>**</w:t>
      </w:r>
      <w:r w:rsidRPr="00291F65">
        <w:rPr>
          <w:rStyle w:val="FootnoteReference"/>
          <w:sz w:val="20"/>
          <w:vertAlign w:val="baseline"/>
        </w:rPr>
        <w:tab/>
      </w:r>
      <w:r w:rsidRPr="00156EA2">
        <w:t>Conformément au programme de travail du Comité des transports intérieurs pour 2018-2019 (ECE/TRANS/2018/21/Add.1, (9.3)).</w:t>
      </w:r>
    </w:p>
  </w:footnote>
  <w:footnote w:id="3">
    <w:p w:rsidR="00291F65" w:rsidRPr="00291F65" w:rsidRDefault="00291F65">
      <w:pPr>
        <w:pStyle w:val="FootnoteText"/>
      </w:pPr>
      <w:r>
        <w:rPr>
          <w:rStyle w:val="FootnoteReference"/>
          <w:sz w:val="20"/>
          <w:vertAlign w:val="baselin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2B" w:rsidRPr="00D2682B" w:rsidRDefault="00900E10">
    <w:pPr>
      <w:pStyle w:val="Header"/>
    </w:pPr>
    <w:r>
      <w:t>ECE/TRANS/WP.15/AC.2/2019/</w:t>
    </w:r>
    <w:r w:rsidR="00A95F13">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2B" w:rsidRPr="00D2682B" w:rsidRDefault="00900E10" w:rsidP="00D2682B">
    <w:pPr>
      <w:pStyle w:val="Header"/>
      <w:jc w:val="right"/>
    </w:pPr>
    <w:r>
      <w:t>ECE/TRANS/WP.15/AC.2/2019/</w:t>
    </w:r>
    <w:r w:rsidR="00A95F13">
      <w:t>19</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6D1" w:rsidRDefault="003446D1" w:rsidP="000E671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B01D1"/>
    <w:multiLevelType w:val="hybridMultilevel"/>
    <w:tmpl w:val="FFDC65D4"/>
    <w:lvl w:ilvl="0" w:tplc="82C8A63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DA2391E"/>
    <w:multiLevelType w:val="hybridMultilevel"/>
    <w:tmpl w:val="DB04BD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D4714FB"/>
    <w:multiLevelType w:val="hybridMultilevel"/>
    <w:tmpl w:val="8E9CA136"/>
    <w:lvl w:ilvl="0" w:tplc="63E261A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5"/>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567"/>
  <w:hyphenationZone w:val="425"/>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D2682B"/>
    <w:rsid w:val="0001207F"/>
    <w:rsid w:val="00017F94"/>
    <w:rsid w:val="00023842"/>
    <w:rsid w:val="000334F9"/>
    <w:rsid w:val="00051845"/>
    <w:rsid w:val="0007796D"/>
    <w:rsid w:val="000942EE"/>
    <w:rsid w:val="000A52BF"/>
    <w:rsid w:val="000B7790"/>
    <w:rsid w:val="000D3EE9"/>
    <w:rsid w:val="000D62F3"/>
    <w:rsid w:val="000E6717"/>
    <w:rsid w:val="00111F2F"/>
    <w:rsid w:val="001433FD"/>
    <w:rsid w:val="0014365E"/>
    <w:rsid w:val="001541D3"/>
    <w:rsid w:val="00156EA2"/>
    <w:rsid w:val="00176178"/>
    <w:rsid w:val="001B28F1"/>
    <w:rsid w:val="001D400F"/>
    <w:rsid w:val="001E148F"/>
    <w:rsid w:val="001F525A"/>
    <w:rsid w:val="00215240"/>
    <w:rsid w:val="00223272"/>
    <w:rsid w:val="0023215B"/>
    <w:rsid w:val="002354EE"/>
    <w:rsid w:val="00240333"/>
    <w:rsid w:val="0024779E"/>
    <w:rsid w:val="002832AC"/>
    <w:rsid w:val="00291F65"/>
    <w:rsid w:val="002B6AFF"/>
    <w:rsid w:val="002D7C93"/>
    <w:rsid w:val="003446D1"/>
    <w:rsid w:val="0037241C"/>
    <w:rsid w:val="003819FF"/>
    <w:rsid w:val="003C360F"/>
    <w:rsid w:val="004342FC"/>
    <w:rsid w:val="00441C3B"/>
    <w:rsid w:val="00446B0A"/>
    <w:rsid w:val="00446FE5"/>
    <w:rsid w:val="00452396"/>
    <w:rsid w:val="0049687C"/>
    <w:rsid w:val="004E468C"/>
    <w:rsid w:val="004E6D86"/>
    <w:rsid w:val="005316B0"/>
    <w:rsid w:val="005505B7"/>
    <w:rsid w:val="00573BE5"/>
    <w:rsid w:val="00586ED3"/>
    <w:rsid w:val="00596AA9"/>
    <w:rsid w:val="005B4D0F"/>
    <w:rsid w:val="0061559F"/>
    <w:rsid w:val="0063409E"/>
    <w:rsid w:val="00703D0F"/>
    <w:rsid w:val="00706363"/>
    <w:rsid w:val="0071601D"/>
    <w:rsid w:val="0073510B"/>
    <w:rsid w:val="00793210"/>
    <w:rsid w:val="00794C49"/>
    <w:rsid w:val="007A62E6"/>
    <w:rsid w:val="0080684C"/>
    <w:rsid w:val="008204DA"/>
    <w:rsid w:val="00871C75"/>
    <w:rsid w:val="00875132"/>
    <w:rsid w:val="008767E8"/>
    <w:rsid w:val="008776DC"/>
    <w:rsid w:val="00883605"/>
    <w:rsid w:val="008E6043"/>
    <w:rsid w:val="00900E10"/>
    <w:rsid w:val="00961E7B"/>
    <w:rsid w:val="009705C8"/>
    <w:rsid w:val="009C1CF4"/>
    <w:rsid w:val="009F02C9"/>
    <w:rsid w:val="00A23CD0"/>
    <w:rsid w:val="00A30353"/>
    <w:rsid w:val="00A3244A"/>
    <w:rsid w:val="00A62D91"/>
    <w:rsid w:val="00A90D54"/>
    <w:rsid w:val="00A95F13"/>
    <w:rsid w:val="00AA113A"/>
    <w:rsid w:val="00AC3823"/>
    <w:rsid w:val="00AE323C"/>
    <w:rsid w:val="00AF774C"/>
    <w:rsid w:val="00B00181"/>
    <w:rsid w:val="00B00B0D"/>
    <w:rsid w:val="00B329A1"/>
    <w:rsid w:val="00B40927"/>
    <w:rsid w:val="00B50E25"/>
    <w:rsid w:val="00B64918"/>
    <w:rsid w:val="00B765F7"/>
    <w:rsid w:val="00BA0CA9"/>
    <w:rsid w:val="00BC740F"/>
    <w:rsid w:val="00BD78D7"/>
    <w:rsid w:val="00C02897"/>
    <w:rsid w:val="00C47896"/>
    <w:rsid w:val="00C510A4"/>
    <w:rsid w:val="00C7616F"/>
    <w:rsid w:val="00CB16B5"/>
    <w:rsid w:val="00CE0608"/>
    <w:rsid w:val="00D2682B"/>
    <w:rsid w:val="00D31F57"/>
    <w:rsid w:val="00D3439C"/>
    <w:rsid w:val="00D3775F"/>
    <w:rsid w:val="00D44CF3"/>
    <w:rsid w:val="00D91016"/>
    <w:rsid w:val="00DA3D59"/>
    <w:rsid w:val="00DB1831"/>
    <w:rsid w:val="00DD3BFD"/>
    <w:rsid w:val="00DE239D"/>
    <w:rsid w:val="00DF431C"/>
    <w:rsid w:val="00DF6678"/>
    <w:rsid w:val="00EF2E22"/>
    <w:rsid w:val="00F0592C"/>
    <w:rsid w:val="00F06ED4"/>
    <w:rsid w:val="00F43289"/>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2B9318"/>
  <w15:docId w15:val="{9F5FCFAE-4055-4D0D-A415-1DF5F513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paragraph" w:customStyle="1" w:styleId="N5">
    <w:name w:val="N5"/>
    <w:basedOn w:val="Normal"/>
    <w:rsid w:val="00875132"/>
    <w:pPr>
      <w:widowControl w:val="0"/>
      <w:suppressAutoHyphens w:val="0"/>
      <w:kinsoku/>
      <w:snapToGrid/>
      <w:spacing w:line="240" w:lineRule="auto"/>
      <w:ind w:left="1418" w:hanging="284"/>
      <w:jc w:val="both"/>
      <w:textAlignment w:val="baseline"/>
    </w:pPr>
    <w:rPr>
      <w:rFonts w:ascii="Arial" w:hAnsi="Aria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TRANS_F.dotm</Template>
  <TotalTime>1</TotalTime>
  <Pages>4</Pages>
  <Words>1534</Words>
  <Characters>8746</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ECE/TRANS/WP.15/AC.2/2019/FRDEf</vt:lpstr>
      <vt:lpstr>ECE/EX/22</vt:lpstr>
    </vt:vector>
  </TitlesOfParts>
  <Company>DCM</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ECE/TRANS/WP.15/AC.2/2019/FRDEf</dc:title>
  <dc:subject>FINAL</dc:subject>
  <dc:creator>Marie-Claude Collet</dc:creator>
  <cp:keywords/>
  <dc:description/>
  <cp:lastModifiedBy>Marie-Claude Collet</cp:lastModifiedBy>
  <cp:revision>2</cp:revision>
  <cp:lastPrinted>2019-06-06T11:41:00Z</cp:lastPrinted>
  <dcterms:created xsi:type="dcterms:W3CDTF">2019-06-06T12:25:00Z</dcterms:created>
  <dcterms:modified xsi:type="dcterms:W3CDTF">2019-06-06T12:25:00Z</dcterms:modified>
</cp:coreProperties>
</file>