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B0D2D0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9DEAE8" w14:textId="77777777" w:rsidR="002D5AAC" w:rsidRDefault="002D5AAC" w:rsidP="005C74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49767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8525ED7" w14:textId="77777777" w:rsidR="002D5AAC" w:rsidRDefault="005C7441" w:rsidP="005C7441">
            <w:pPr>
              <w:jc w:val="right"/>
            </w:pPr>
            <w:r w:rsidRPr="005C7441">
              <w:rPr>
                <w:sz w:val="40"/>
              </w:rPr>
              <w:t>ECE</w:t>
            </w:r>
            <w:r>
              <w:t>/TRANS/WP.15/AC.2/2019/18</w:t>
            </w:r>
          </w:p>
        </w:tc>
      </w:tr>
      <w:tr w:rsidR="002D5AAC" w:rsidRPr="005C7441" w14:paraId="68F733A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84637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375030" wp14:editId="530C240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E8BFD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14A5BA" w14:textId="77777777" w:rsidR="002D5AAC" w:rsidRDefault="005C744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726858B" w14:textId="77777777" w:rsidR="005C7441" w:rsidRDefault="005C7441" w:rsidP="005C744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June 2019</w:t>
            </w:r>
          </w:p>
          <w:p w14:paraId="1BDE0F72" w14:textId="77777777" w:rsidR="005C7441" w:rsidRDefault="005C7441" w:rsidP="005C744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1035C43" w14:textId="77777777" w:rsidR="005C7441" w:rsidRPr="008D53B6" w:rsidRDefault="005C7441" w:rsidP="005C744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6E8497A7" w14:textId="77777777" w:rsidR="005C744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FBADEA5" w14:textId="77777777" w:rsidR="005C7441" w:rsidRPr="006B2D27" w:rsidRDefault="005C7441" w:rsidP="005C7441">
      <w:pPr>
        <w:spacing w:before="120"/>
        <w:rPr>
          <w:sz w:val="28"/>
          <w:szCs w:val="28"/>
        </w:rPr>
      </w:pPr>
      <w:r w:rsidRPr="00417FBD">
        <w:rPr>
          <w:sz w:val="28"/>
          <w:szCs w:val="28"/>
        </w:rPr>
        <w:t>Комитет по внутреннему транспорту</w:t>
      </w:r>
    </w:p>
    <w:p w14:paraId="6EFC5F3E" w14:textId="77777777" w:rsidR="005C7441" w:rsidRPr="00417FBD" w:rsidRDefault="005C7441" w:rsidP="005C7441">
      <w:pPr>
        <w:spacing w:before="120"/>
        <w:rPr>
          <w:b/>
          <w:sz w:val="24"/>
          <w:szCs w:val="24"/>
        </w:rPr>
      </w:pPr>
      <w:r w:rsidRPr="00417FBD">
        <w:rPr>
          <w:b/>
          <w:bCs/>
          <w:sz w:val="24"/>
          <w:szCs w:val="24"/>
        </w:rPr>
        <w:t>Рабочая группа по перевозкам опасных грузов</w:t>
      </w:r>
    </w:p>
    <w:p w14:paraId="62DEBEBD" w14:textId="77777777" w:rsidR="005C7441" w:rsidRPr="00E971BD" w:rsidRDefault="005C7441" w:rsidP="005C7441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1648442F" w14:textId="77777777" w:rsidR="005C7441" w:rsidRPr="00E971BD" w:rsidRDefault="005C7441" w:rsidP="005C7441">
      <w:pPr>
        <w:spacing w:before="120"/>
        <w:rPr>
          <w:b/>
        </w:rPr>
      </w:pPr>
      <w:r>
        <w:rPr>
          <w:b/>
          <w:bCs/>
        </w:rPr>
        <w:t>Тридцать пятая сессия</w:t>
      </w:r>
    </w:p>
    <w:p w14:paraId="6D6C8BA6" w14:textId="77777777" w:rsidR="005C7441" w:rsidRPr="00E971BD" w:rsidRDefault="005C7441" w:rsidP="005C7441">
      <w:r>
        <w:t>Женева, 26–30 августа 2019 года</w:t>
      </w:r>
    </w:p>
    <w:p w14:paraId="78365191" w14:textId="77777777" w:rsidR="005C7441" w:rsidRPr="00E971BD" w:rsidRDefault="005C7441" w:rsidP="005C7441">
      <w:r>
        <w:t>Пункт 4 b) предварительной повестки дня</w:t>
      </w:r>
    </w:p>
    <w:p w14:paraId="56E42807" w14:textId="77777777" w:rsidR="005C7441" w:rsidRPr="00E971BD" w:rsidRDefault="005C7441" w:rsidP="005C7441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 другие предложения</w:t>
      </w:r>
    </w:p>
    <w:p w14:paraId="09E0743B" w14:textId="77777777" w:rsidR="005C7441" w:rsidRPr="00E971BD" w:rsidRDefault="005C7441" w:rsidP="005C7441">
      <w:pPr>
        <w:pStyle w:val="HChG"/>
      </w:pPr>
      <w:r>
        <w:tab/>
      </w:r>
      <w:r>
        <w:tab/>
      </w:r>
      <w:r>
        <w:rPr>
          <w:bCs/>
        </w:rPr>
        <w:t>Исправления в ВОПОГ 2019 года</w:t>
      </w:r>
    </w:p>
    <w:p w14:paraId="02D7AD31" w14:textId="77777777" w:rsidR="005C7441" w:rsidRPr="00E971BD" w:rsidRDefault="005C7441" w:rsidP="005C7441">
      <w:pPr>
        <w:pStyle w:val="H1G"/>
      </w:pPr>
      <w:r>
        <w:tab/>
      </w:r>
      <w:r>
        <w:tab/>
        <w:t>Передано правительством Австрии</w:t>
      </w:r>
      <w:r w:rsidRPr="005C744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5C7441">
        <w:rPr>
          <w:b w:val="0"/>
          <w:sz w:val="20"/>
          <w:lang w:val="en-US"/>
        </w:rPr>
        <w:t xml:space="preserve"> </w:t>
      </w:r>
      <w:r w:rsidRPr="005C7441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p w14:paraId="271BD54B" w14:textId="77777777" w:rsidR="005C7441" w:rsidRPr="00E971BD" w:rsidRDefault="005C7441" w:rsidP="005C7441">
      <w:pPr>
        <w:pStyle w:val="H1G"/>
        <w:rPr>
          <w:bCs/>
        </w:rPr>
      </w:pPr>
      <w:r>
        <w:tab/>
        <w:t>A.</w:t>
      </w:r>
      <w:r>
        <w:tab/>
      </w:r>
      <w:r w:rsidRPr="006B2D27">
        <w:rPr>
          <w:color w:val="333333"/>
          <w:szCs w:val="24"/>
        </w:rPr>
        <w:t>Уточнения по поводу</w:t>
      </w:r>
      <w:r>
        <w:rPr>
          <w:color w:val="333333"/>
          <w:szCs w:val="24"/>
        </w:rPr>
        <w:t xml:space="preserve"> </w:t>
      </w:r>
      <w:r>
        <w:rPr>
          <w:bCs/>
        </w:rPr>
        <w:t>исправления в подразделе 1.6.7.2.2.2</w:t>
      </w:r>
    </w:p>
    <w:p w14:paraId="71D26354" w14:textId="77777777" w:rsidR="005C7441" w:rsidRPr="00E971BD" w:rsidRDefault="005C7441" w:rsidP="005C7441">
      <w:pPr>
        <w:pStyle w:val="SingleTxtG"/>
      </w:pPr>
      <w:r>
        <w:t>1.</w:t>
      </w:r>
      <w:r>
        <w:tab/>
        <w:t>Переходное положение для пункта 7.2.2.19.4, изложенное в подразделе 1.6.7.2.2.2, содержит в колонке «Сроки и замечания» перечень разделов, подразделов и пунктов, которые должны соблюдаться на борту судов, находящихся в эксплуатации, используемых для обеспечения движения толкаемого состава или счаленной группы.</w:t>
      </w:r>
    </w:p>
    <w:p w14:paraId="2F39907E" w14:textId="77777777" w:rsidR="005C7441" w:rsidRPr="00E971BD" w:rsidRDefault="005C7441" w:rsidP="005C7441">
      <w:pPr>
        <w:pStyle w:val="SingleTxtG"/>
      </w:pPr>
      <w:r>
        <w:t>2.</w:t>
      </w:r>
      <w:r>
        <w:tab/>
        <w:t>Для новых судов эти положения изложены в пункте 7.2.2.19.3.</w:t>
      </w:r>
    </w:p>
    <w:p w14:paraId="4E68F8BB" w14:textId="77777777" w:rsidR="005C7441" w:rsidRPr="00E971BD" w:rsidRDefault="005C7441" w:rsidP="005C7441">
      <w:pPr>
        <w:pStyle w:val="SingleTxtG"/>
      </w:pPr>
      <w:r>
        <w:t>3.</w:t>
      </w:r>
      <w:r>
        <w:tab/>
        <w:t>В пункте 7.2.2.19.4 содержатся положения, указывающие, какие установки и оборудование могут использоваться на палубе других судов состава во время погрузки и разгрузки.</w:t>
      </w:r>
    </w:p>
    <w:p w14:paraId="2C1AF84C" w14:textId="77777777" w:rsidR="005C7441" w:rsidRPr="00E971BD" w:rsidRDefault="005C7441" w:rsidP="005C7441">
      <w:pPr>
        <w:pStyle w:val="SingleTxtG"/>
      </w:pPr>
      <w:r>
        <w:t>4.</w:t>
      </w:r>
      <w:r>
        <w:tab/>
        <w:t>Таким образом, данные положения, касающиеся использования судов, находящихся в эксплуатации, были помещены в неправильную графу в подразделе 1.6.7.2.2.2.</w:t>
      </w:r>
    </w:p>
    <w:p w14:paraId="21B457B3" w14:textId="77777777" w:rsidR="005C7441" w:rsidRPr="00E971BD" w:rsidRDefault="005C7441" w:rsidP="005C7441">
      <w:pPr>
        <w:pStyle w:val="HChG"/>
      </w:pPr>
      <w:r>
        <w:lastRenderedPageBreak/>
        <w:tab/>
      </w:r>
      <w:r>
        <w:tab/>
      </w:r>
      <w:r>
        <w:rPr>
          <w:bCs/>
        </w:rPr>
        <w:t>Предложение</w:t>
      </w:r>
    </w:p>
    <w:p w14:paraId="1E952A92" w14:textId="77777777" w:rsidR="005C7441" w:rsidRPr="00E971BD" w:rsidRDefault="005C7441" w:rsidP="005C7441">
      <w:pPr>
        <w:pStyle w:val="SingleTxtG"/>
      </w:pPr>
      <w:r>
        <w:t>5.</w:t>
      </w:r>
      <w:r>
        <w:tab/>
        <w:t>В таблице подраздела 1.6.7.2.2.2 слова «До этой даты на борту судов, находящихся в эксплуатации, применяются следующие предписания:», содержащиеся в колонке «Сроки и замечания» в графе 7.2.2.19.4, следует поэтому перенести в графу 7.2.2.19.3.</w:t>
      </w:r>
    </w:p>
    <w:p w14:paraId="5B8EF3E3" w14:textId="77777777" w:rsidR="005C7441" w:rsidRPr="006B2D27" w:rsidRDefault="005C7441" w:rsidP="005C7441">
      <w:pPr>
        <w:pStyle w:val="H1G"/>
      </w:pPr>
      <w:r>
        <w:tab/>
      </w:r>
      <w:r>
        <w:tab/>
      </w:r>
      <w:r>
        <w:rPr>
          <w:bCs/>
        </w:rPr>
        <w:t>Последствия и осуществимость</w:t>
      </w:r>
    </w:p>
    <w:p w14:paraId="162F24EF" w14:textId="77777777" w:rsidR="005C7441" w:rsidRPr="00E971BD" w:rsidRDefault="005C7441" w:rsidP="005C7441">
      <w:pPr>
        <w:pStyle w:val="SingleTxtG"/>
      </w:pPr>
      <w:r>
        <w:t>6.</w:t>
      </w:r>
      <w:r>
        <w:tab/>
        <w:t>Содержание требований, предъявляемых к судам, находящимся в эксплуатации, не изменяется; эти требования лишь переносятся в правильную графу.</w:t>
      </w:r>
    </w:p>
    <w:p w14:paraId="29A893A8" w14:textId="77777777" w:rsidR="005C7441" w:rsidRPr="00E971BD" w:rsidRDefault="005C7441" w:rsidP="005C7441">
      <w:pPr>
        <w:pStyle w:val="H1G"/>
      </w:pPr>
      <w:r>
        <w:tab/>
        <w:t>B.</w:t>
      </w:r>
      <w:r>
        <w:tab/>
      </w:r>
      <w:r>
        <w:rPr>
          <w:bCs/>
        </w:rPr>
        <w:t xml:space="preserve">Уточнения </w:t>
      </w:r>
      <w:r w:rsidRPr="006B2D27">
        <w:rPr>
          <w:color w:val="333333"/>
          <w:szCs w:val="24"/>
        </w:rPr>
        <w:t>по поводу</w:t>
      </w:r>
      <w:r>
        <w:rPr>
          <w:color w:val="333333"/>
          <w:szCs w:val="24"/>
        </w:rPr>
        <w:t xml:space="preserve"> </w:t>
      </w:r>
      <w:r>
        <w:rPr>
          <w:bCs/>
        </w:rPr>
        <w:t>исправления в пункте 7.2.3.1.5</w:t>
      </w:r>
    </w:p>
    <w:p w14:paraId="43355BAA" w14:textId="77777777" w:rsidR="005C7441" w:rsidRDefault="005C7441" w:rsidP="005C7441">
      <w:pPr>
        <w:pStyle w:val="SingleTxtG"/>
      </w:pPr>
      <w:r>
        <w:t>7.</w:t>
      </w:r>
      <w:r>
        <w:tab/>
        <w:t>В соответствии с пунктом 7.2.3.1.</w:t>
      </w:r>
      <w:r w:rsidRPr="00C526F7">
        <w:t>5</w:t>
      </w:r>
      <w:r w:rsidRPr="00C526F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«</w:t>
      </w:r>
      <w:r w:rsidRPr="00C526F7">
        <w:rPr>
          <w:color w:val="333333"/>
          <w:shd w:val="clear" w:color="auto" w:fill="FFFFFF"/>
        </w:rPr>
        <w:t>до входа любого лица в грузовые танки, цистерны для остатков груза, подпалубные отделения грузовых насосов, коффердамы, междубортовые пространства, междудонные пространства, трюмные помещения или другие замкнутые пространства</w:t>
      </w:r>
      <w:r>
        <w:rPr>
          <w:color w:val="333333"/>
          <w:shd w:val="clear" w:color="auto" w:fill="FFFFFF"/>
        </w:rPr>
        <w:t>»</w:t>
      </w:r>
      <w:r>
        <w:t xml:space="preserve"> необходимо с помощью индикатора газов удостовериться, что концентрация воспламеняющихся газов и паров, выделяемых грузом, составляет не более 50% НПВ.</w:t>
      </w:r>
    </w:p>
    <w:p w14:paraId="710A551B" w14:textId="77777777" w:rsidR="005C7441" w:rsidRPr="00E971BD" w:rsidRDefault="005C7441" w:rsidP="005C7441">
      <w:pPr>
        <w:pStyle w:val="SingleTxtG"/>
      </w:pPr>
      <w:r>
        <w:t>8.</w:t>
      </w:r>
      <w:r>
        <w:tab/>
        <w:t>В соответствии с пунктом 7.2.3.1.6 вход в грузовые танки, цистерны для остатков груза, подпалубные отделения грузовых насосов, коффердамы, междубортовые пространства, междудонные пространства, трюмные помещения или другие замкнутые пространства разрешается только в том случае, если концентрация воспламеняющихся газов и паров, выделяемых грузом, составляет менее 10% НПВ.</w:t>
      </w:r>
    </w:p>
    <w:p w14:paraId="346FF089" w14:textId="77777777" w:rsidR="005C7441" w:rsidRDefault="005C7441" w:rsidP="005C7441">
      <w:pPr>
        <w:pStyle w:val="SingleTxtG"/>
      </w:pPr>
      <w:r>
        <w:t>9.</w:t>
      </w:r>
      <w:r>
        <w:tab/>
        <w:t xml:space="preserve">В связи с этим возникает вопрос, почему концентрация не должна превышать 50% НПВ «до входа», если вход запрещается, когда концентрация превышает </w:t>
      </w:r>
      <w:r>
        <w:br/>
        <w:t>10% НПВ.</w:t>
      </w:r>
    </w:p>
    <w:p w14:paraId="456B77D5" w14:textId="77777777" w:rsidR="005C7441" w:rsidRPr="00A93DC2" w:rsidRDefault="005C7441" w:rsidP="005C7441">
      <w:pPr>
        <w:pStyle w:val="SingleTxtG"/>
      </w:pPr>
      <w:r>
        <w:t>10.</w:t>
      </w:r>
      <w:r>
        <w:tab/>
        <w:t>Сравнение с положениями, применимыми к сухогрузным судам, показывает, что в первом положении в пункте 7.1.3.1.4 упоминается только обязанность проводить измерения до входа, а во втором положении в пункте 7.1.3.1.5 указаны конкретные допустимые концентрации газа, идентичные тем, которые указаны в пункте 7.2.3.1.6.</w:t>
      </w:r>
    </w:p>
    <w:p w14:paraId="46E10BD5" w14:textId="77777777" w:rsidR="005C7441" w:rsidRPr="00A93DC2" w:rsidRDefault="005C7441" w:rsidP="005C7441">
      <w:pPr>
        <w:pStyle w:val="SingleTxtG"/>
      </w:pPr>
      <w:r>
        <w:t>11.</w:t>
      </w:r>
      <w:r>
        <w:tab/>
        <w:t>Таким образом, предельные значения, указанные в пункте 7.2.3.1.5, вероятно, являются результатом ошибки, допущенной при переносе текста из издания</w:t>
      </w:r>
      <w:r>
        <w:rPr>
          <w:b/>
          <w:bCs/>
        </w:rPr>
        <w:t xml:space="preserve"> </w:t>
      </w:r>
      <w:r>
        <w:t>ВОПОГ 2017 года. Содержание пункта 7.2.3.1.5 следует привести в соответствие с содержанием пункта 7.1.3.1.4.</w:t>
      </w:r>
    </w:p>
    <w:p w14:paraId="428FC1F8" w14:textId="77777777" w:rsidR="005C7441" w:rsidRPr="00A93DC2" w:rsidRDefault="005C7441" w:rsidP="005C7441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20112DE6" w14:textId="77777777" w:rsidR="005C7441" w:rsidRPr="00A93DC2" w:rsidRDefault="005C7441" w:rsidP="005C7441">
      <w:pPr>
        <w:pStyle w:val="SingleTxtG"/>
      </w:pPr>
      <w:r>
        <w:t>Изменить пункт 7.2.3.1.5 следующим образом:</w:t>
      </w:r>
    </w:p>
    <w:p w14:paraId="4E1A8C1F" w14:textId="77777777" w:rsidR="005C7441" w:rsidRPr="00A93DC2" w:rsidRDefault="005C7441" w:rsidP="005C7441">
      <w:pPr>
        <w:pStyle w:val="SingleTxtG"/>
      </w:pPr>
      <w:r>
        <w:t>«До входа любого лица в грузовые танки, цистерны для остатков груза, подпалубные отделения грузовых насосов, коффердамы, междубортовые пространства, междудонные пространства, трюмные помещения или другие замкнутые пространства при перевозке опасных веществ классов 2, 3, 4.1, 6.1, 8 или 9, в отношении которых в колонке 18 таблицы С главы 3.2 проставлены буквы "EX" и/или "ТОХ", в этих грузовых танках, цистернах для остатков груза, подпалубных отделениях грузовых насосов, коффердамах, междубортовых пространствах, междудонных пространствах или трюмных помещениях должна быть измерена концентрация воспламеняющихся и/или токсичных газов и паров, выделяемых грузом.».</w:t>
      </w:r>
    </w:p>
    <w:p w14:paraId="6B7E6A9C" w14:textId="77777777" w:rsidR="005C7441" w:rsidRPr="00A93DC2" w:rsidRDefault="005C7441" w:rsidP="005C7441">
      <w:pPr>
        <w:pStyle w:val="HChG"/>
      </w:pPr>
      <w:r>
        <w:tab/>
      </w:r>
      <w:r>
        <w:tab/>
      </w:r>
      <w:r>
        <w:rPr>
          <w:bCs/>
        </w:rPr>
        <w:t>Последствия и осуществимость</w:t>
      </w:r>
    </w:p>
    <w:p w14:paraId="6BCCCB58" w14:textId="77777777" w:rsidR="005C7441" w:rsidRPr="00A93DC2" w:rsidRDefault="005C7441" w:rsidP="005C7441">
      <w:pPr>
        <w:pStyle w:val="SingleTxtG"/>
      </w:pPr>
      <w:r>
        <w:t>12.</w:t>
      </w:r>
      <w:r>
        <w:tab/>
        <w:t xml:space="preserve">Уровень безопасности не снижается, так как исключается только ссылка на менее ограничительные предельные значения. Не предполагается никаких изменений </w:t>
      </w:r>
      <w:r>
        <w:lastRenderedPageBreak/>
        <w:t>на практике, поскольку даже в соответствии с действующими положениями измерения, вероятно, проводятся только один раз перед входом в помещения.</w:t>
      </w:r>
    </w:p>
    <w:p w14:paraId="2AA1E5BB" w14:textId="77777777" w:rsidR="005C7441" w:rsidRPr="00A93DC2" w:rsidRDefault="005C7441" w:rsidP="005C7441">
      <w:pPr>
        <w:pStyle w:val="H1G"/>
        <w:tabs>
          <w:tab w:val="left" w:pos="8505"/>
        </w:tabs>
      </w:pPr>
      <w:r>
        <w:tab/>
        <w:t>C.</w:t>
      </w:r>
      <w:r>
        <w:tab/>
      </w:r>
      <w:r>
        <w:rPr>
          <w:bCs/>
        </w:rPr>
        <w:t>Уточнения по поводу исправления в пункте 7.2.4.16.4</w:t>
      </w:r>
    </w:p>
    <w:p w14:paraId="1FF70D07" w14:textId="77777777" w:rsidR="005C7441" w:rsidRPr="00A93DC2" w:rsidRDefault="005C7441" w:rsidP="005C7441">
      <w:pPr>
        <w:pStyle w:val="SingleTxtG"/>
      </w:pPr>
      <w:r>
        <w:t>13.</w:t>
      </w:r>
      <w:r>
        <w:tab/>
        <w:t>Пункт 7.2.4.16.4 воспроизведен без изменений по сравнению с предыдущими изданиями ВОПОГ:</w:t>
      </w:r>
    </w:p>
    <w:p w14:paraId="63BB9411" w14:textId="77777777" w:rsidR="005C7441" w:rsidRPr="00A93DC2" w:rsidRDefault="005C7441" w:rsidP="005C7441">
      <w:pPr>
        <w:pStyle w:val="SingleTxtG"/>
        <w:rPr>
          <w:color w:val="000000"/>
        </w:rPr>
      </w:pPr>
      <w:r>
        <w:t>«Если судно имеет поперечную переборку в соответствии с пунктами 9.3.1.25.3, 9.3.2.25.3 или 9.3.3.25.3, то во время погрузочно-разгрузочных операций двери в этой переборке должны быть закрыты.».</w:t>
      </w:r>
    </w:p>
    <w:p w14:paraId="2E2C37CE" w14:textId="77777777" w:rsidR="005C7441" w:rsidRPr="00A93DC2" w:rsidRDefault="005C7441" w:rsidP="005C7441">
      <w:pPr>
        <w:pStyle w:val="SingleTxtG"/>
      </w:pPr>
      <w:r>
        <w:t>14.</w:t>
      </w:r>
      <w:r>
        <w:tab/>
        <w:t>Поскольку пункт 9.3.x.25.3 был исключен в ВОПОГ 2019 года, данная ссылка устарела.</w:t>
      </w:r>
    </w:p>
    <w:p w14:paraId="71659554" w14:textId="77777777" w:rsidR="005C7441" w:rsidRPr="00A93DC2" w:rsidRDefault="005C7441" w:rsidP="005C7441">
      <w:pPr>
        <w:pStyle w:val="SingleTxtG"/>
      </w:pPr>
      <w:r>
        <w:t>15.</w:t>
      </w:r>
      <w:r>
        <w:tab/>
        <w:t>В издании 2017 года пункт 9.3.x.25.3 был сформулирован следующим образом:</w:t>
      </w:r>
    </w:p>
    <w:p w14:paraId="611E99E5" w14:textId="77777777" w:rsidR="005C7441" w:rsidRPr="00D6232F" w:rsidRDefault="005C7441" w:rsidP="005C7441">
      <w:pPr>
        <w:pStyle w:val="SingleTxtG"/>
        <w:rPr>
          <w:bCs/>
        </w:rPr>
      </w:pPr>
      <w:r>
        <w:t>«Расстояние, указанное в пунктах 9.3.х.25.1 и 9.3.х.25.2 e), может быть уменьшено до 3,00 м, если в конце грузового пространства расположена поперечная переборка, отвечающая требованиям пункта 9.3.х.10.2. В этом случае проходы должны быть оборудованы дверями. На дверях должна быть вывешена табличка со следующим указанием:</w:t>
      </w:r>
    </w:p>
    <w:p w14:paraId="6E02D30F" w14:textId="77777777" w:rsidR="005C7441" w:rsidRDefault="005C7441" w:rsidP="005C7441">
      <w:pPr>
        <w:pStyle w:val="SingleTxtG"/>
        <w:spacing w:after="0"/>
        <w:jc w:val="center"/>
        <w:rPr>
          <w:b/>
          <w:bCs/>
        </w:rPr>
      </w:pPr>
      <w:r>
        <w:rPr>
          <w:b/>
          <w:bCs/>
        </w:rPr>
        <w:t>Во время погрузочно-разгрузочных операций</w:t>
      </w:r>
    </w:p>
    <w:p w14:paraId="7D67E3BA" w14:textId="77777777" w:rsidR="005C7441" w:rsidRPr="00A93DC2" w:rsidRDefault="005C7441" w:rsidP="005C7441">
      <w:pPr>
        <w:pStyle w:val="SingleTxtG"/>
        <w:spacing w:after="0"/>
        <w:jc w:val="center"/>
        <w:rPr>
          <w:b/>
          <w:bCs/>
        </w:rPr>
      </w:pPr>
      <w:r>
        <w:rPr>
          <w:b/>
          <w:bCs/>
        </w:rPr>
        <w:t>без разрешения судоводителя не открывать.</w:t>
      </w:r>
    </w:p>
    <w:p w14:paraId="15984B63" w14:textId="77777777" w:rsidR="005C7441" w:rsidRPr="00A93DC2" w:rsidRDefault="005C7441" w:rsidP="005C7441">
      <w:pPr>
        <w:pStyle w:val="SingleTxtG"/>
        <w:jc w:val="center"/>
        <w:rPr>
          <w:b/>
          <w:bCs/>
        </w:rPr>
      </w:pPr>
      <w:r>
        <w:rPr>
          <w:b/>
          <w:bCs/>
        </w:rPr>
        <w:t>Закрывать немедленно.</w:t>
      </w:r>
      <w:r w:rsidRPr="0046107A">
        <w:rPr>
          <w:bCs/>
        </w:rPr>
        <w:t>».</w:t>
      </w:r>
      <w:r>
        <w:t xml:space="preserve"> </w:t>
      </w:r>
    </w:p>
    <w:p w14:paraId="0E90CF56" w14:textId="77777777" w:rsidR="005C7441" w:rsidRPr="00A93DC2" w:rsidRDefault="005C7441" w:rsidP="005C7441">
      <w:pPr>
        <w:pStyle w:val="SingleTxtG"/>
      </w:pPr>
      <w:r>
        <w:t>Пункт 9.3.x.10.2 сформулирован следующим образом:</w:t>
      </w:r>
    </w:p>
    <w:p w14:paraId="646EDCD3" w14:textId="77777777" w:rsidR="005C7441" w:rsidRPr="00A93DC2" w:rsidRDefault="005C7441" w:rsidP="005C7441">
      <w:pPr>
        <w:pStyle w:val="SingleTxtG"/>
        <w:ind w:left="1701" w:hanging="567"/>
      </w:pPr>
      <w:r>
        <w:tab/>
        <w:t>« […] Это требование может не выполняться при условии, что стенка надстроек, обращенная в сторону грузового пространства, тянется от одного борта к другому и имеет двери, высота комингсов которых составляет не менее 0,50 м над уровнем палубы. Высота этой стенки должна быть не менее 2,00 м. […] ».</w:t>
      </w:r>
    </w:p>
    <w:p w14:paraId="0C1A688A" w14:textId="77777777" w:rsidR="005C7441" w:rsidRPr="00A93DC2" w:rsidRDefault="005C7441" w:rsidP="005C7441">
      <w:pPr>
        <w:pStyle w:val="SingleTxtG"/>
      </w:pPr>
      <w:r>
        <w:t>16.</w:t>
      </w:r>
      <w:r>
        <w:tab/>
        <w:t>Поскольку суда, оборудованные такой поперечной переборкой, могут продолжать эксплуатироваться и закрытие дверей во время погрузки и разгрузки в значительной степени усиливает взрывозащиту на борту таких судов, находящихся в эксплуатации, положение пункта 7.2.4.16.4 не следует исключать, однако его формулировку следует адаптировать.</w:t>
      </w:r>
    </w:p>
    <w:p w14:paraId="6C294076" w14:textId="77777777" w:rsidR="005C7441" w:rsidRPr="00A93DC2" w:rsidRDefault="005C7441" w:rsidP="005C7441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059ACFE7" w14:textId="77777777" w:rsidR="005C7441" w:rsidRPr="00A93DC2" w:rsidRDefault="005C7441" w:rsidP="005C7441">
      <w:pPr>
        <w:pStyle w:val="SingleTxtG"/>
      </w:pPr>
      <w:r>
        <w:t>Изменить пункт 7.2.4.16.4 следующим образом:</w:t>
      </w:r>
    </w:p>
    <w:p w14:paraId="1F268D16" w14:textId="77777777" w:rsidR="005C7441" w:rsidRPr="002E10FB" w:rsidRDefault="005C7441" w:rsidP="005C7441">
      <w:pPr>
        <w:pStyle w:val="SingleTxtG"/>
      </w:pPr>
      <w:r>
        <w:t>«Если судно оборудовано в конце грузового пространства стенкой, которая тянется от одного борта судна до другого (поперечная перебо</w:t>
      </w:r>
      <w:r w:rsidR="0046107A">
        <w:t>рка), в соответствии с пунктами </w:t>
      </w:r>
      <w:r>
        <w:t xml:space="preserve">9.3.1.10.2, 9.3.2.10.2 или 9.3.3.10.2 варианта ВОПОГ, </w:t>
      </w:r>
      <w:r w:rsidR="0046107A">
        <w:t>действующего до 31 </w:t>
      </w:r>
      <w:r>
        <w:t xml:space="preserve">декабря 2018 года, то во время погрузочно-разгрузочных операций двери в этой переборке должны быть закрыты.». </w:t>
      </w:r>
    </w:p>
    <w:p w14:paraId="24FF595D" w14:textId="77777777" w:rsidR="005C7441" w:rsidRPr="002E10FB" w:rsidRDefault="005C7441" w:rsidP="005C7441">
      <w:pPr>
        <w:pStyle w:val="HChG"/>
      </w:pPr>
      <w:r>
        <w:tab/>
      </w:r>
      <w:r>
        <w:tab/>
      </w:r>
      <w:r>
        <w:rPr>
          <w:bCs/>
        </w:rPr>
        <w:t>Последствия и осуществимость</w:t>
      </w:r>
    </w:p>
    <w:p w14:paraId="73140C7D" w14:textId="77777777" w:rsidR="005C7441" w:rsidRPr="002E10FB" w:rsidRDefault="005C7441" w:rsidP="005C7441">
      <w:pPr>
        <w:pStyle w:val="SingleTxtG"/>
      </w:pPr>
      <w:r>
        <w:t>17.</w:t>
      </w:r>
      <w:r>
        <w:tab/>
        <w:t>Данная поправка восстанавливает для судов, уже находящихся в эксплуатации, требование, действовавшее до конца 2018 года. На борту судов, уже находящихся в эксплуатации, никаких изменений не требуется. Если судно адаптируется для приведения его в соответствие с положениями новой концепции взрывозащиты, то указанное положение больше не применяется.</w:t>
      </w:r>
    </w:p>
    <w:p w14:paraId="63301118" w14:textId="77777777" w:rsidR="005C7441" w:rsidRDefault="005C7441">
      <w:pPr>
        <w:suppressAutoHyphens w:val="0"/>
        <w:spacing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>
        <w:br w:type="page"/>
      </w:r>
    </w:p>
    <w:p w14:paraId="460C9EF5" w14:textId="77777777" w:rsidR="005C7441" w:rsidRPr="002E10FB" w:rsidRDefault="005C7441" w:rsidP="005C7441">
      <w:pPr>
        <w:pStyle w:val="H1G"/>
      </w:pPr>
      <w:r>
        <w:lastRenderedPageBreak/>
        <w:tab/>
        <w:t>D.</w:t>
      </w:r>
      <w:r>
        <w:tab/>
      </w:r>
      <w:r>
        <w:rPr>
          <w:bCs/>
        </w:rPr>
        <w:t>Уточнения по поводу исправления в пункте 8.2.1.3</w:t>
      </w:r>
    </w:p>
    <w:p w14:paraId="6D3B03A7" w14:textId="77777777" w:rsidR="005C7441" w:rsidRPr="002E10FB" w:rsidRDefault="005C7441" w:rsidP="005C7441">
      <w:pPr>
        <w:pStyle w:val="SingleTxtG"/>
      </w:pPr>
      <w:r>
        <w:t>18.</w:t>
      </w:r>
      <w:r>
        <w:tab/>
        <w:t>Пункт 8.1.2.1 f) сформулирован следующим образом:</w:t>
      </w:r>
    </w:p>
    <w:p w14:paraId="0C081808" w14:textId="77777777" w:rsidR="005C7441" w:rsidRPr="002E10FB" w:rsidRDefault="005C7441" w:rsidP="005C7441">
      <w:pPr>
        <w:pStyle w:val="SingleTxtG"/>
        <w:ind w:left="1701" w:hanging="567"/>
      </w:pPr>
      <w:r>
        <w:tab/>
        <w:t xml:space="preserve">«f) свидетельство о проверке пожарных рукавов, предписанное в пункте 8.1.6.1, и свидетельство о проверке специального оборудования, предписанное в </w:t>
      </w:r>
      <w:r w:rsidR="0046107A">
        <w:t>пункте </w:t>
      </w:r>
      <w:r>
        <w:t>8.1.6.3;».</w:t>
      </w:r>
    </w:p>
    <w:p w14:paraId="2D8E8FD9" w14:textId="77777777" w:rsidR="005C7441" w:rsidRPr="002E10FB" w:rsidRDefault="005C7441" w:rsidP="005C7441">
      <w:pPr>
        <w:pStyle w:val="SingleTxtG"/>
        <w:keepNext/>
        <w:keepLines/>
      </w:pPr>
      <w:r>
        <w:t>19.</w:t>
      </w:r>
      <w:r>
        <w:tab/>
        <w:t>Пункт 8.1.2.3 f) сформулирован следующим образом:</w:t>
      </w:r>
    </w:p>
    <w:p w14:paraId="5131405D" w14:textId="77777777" w:rsidR="005C7441" w:rsidRPr="002E10FB" w:rsidRDefault="005C7441" w:rsidP="005C7441">
      <w:pPr>
        <w:pStyle w:val="SingleTxtG"/>
        <w:keepNext/>
        <w:keepLines/>
        <w:ind w:left="1701" w:hanging="567"/>
      </w:pPr>
      <w:r>
        <w:tab/>
        <w:t>«свидетельства о проверке специального оборудования, газодетекторных систем и системы измерения содержания к</w:t>
      </w:r>
      <w:r w:rsidR="0046107A">
        <w:t>ислорода, предписанные в пункте </w:t>
      </w:r>
      <w:r>
        <w:t>8.1.6.3;».</w:t>
      </w:r>
    </w:p>
    <w:p w14:paraId="697F0307" w14:textId="77777777" w:rsidR="005C7441" w:rsidRPr="002E10FB" w:rsidRDefault="005C7441" w:rsidP="005C7441">
      <w:pPr>
        <w:pStyle w:val="SingleTxtG"/>
      </w:pPr>
      <w:r>
        <w:t>20.</w:t>
      </w:r>
      <w:r>
        <w:tab/>
        <w:t>Таким образом, свидетельство о проверке специального оборудования, предусмотренное в пункте 8.1.6.3, упоминается как в пункте 8.1.2.1 (для всех судов), так и в пункте 8.1.2.3 (для танкеров). С учетом того, что в пункте 8.1.2.3 должны быть упомянуты только документы, которые должны находиться на борту танкеров, помимо документов, предписанных в пункте 8.1.2.1, формулировку пункта 8.1.2.3 f)</w:t>
      </w:r>
      <w:r w:rsidRPr="00BA0CDA">
        <w:t xml:space="preserve"> </w:t>
      </w:r>
      <w:r>
        <w:t>следует адаптировать.</w:t>
      </w:r>
    </w:p>
    <w:p w14:paraId="48A41C2D" w14:textId="77777777" w:rsidR="005C7441" w:rsidRPr="002E10FB" w:rsidRDefault="005C7441" w:rsidP="005C7441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5AD9D51F" w14:textId="77777777" w:rsidR="005C7441" w:rsidRPr="002E10FB" w:rsidRDefault="005C7441" w:rsidP="005C7441">
      <w:pPr>
        <w:pStyle w:val="SingleTxtG"/>
      </w:pPr>
      <w:r>
        <w:t>Изменить пункт 8.1.2.3 f) следующим образом:</w:t>
      </w:r>
    </w:p>
    <w:p w14:paraId="71D1D9E1" w14:textId="77777777" w:rsidR="005C7441" w:rsidRPr="002E10FB" w:rsidRDefault="005C7441" w:rsidP="005C7441">
      <w:pPr>
        <w:pStyle w:val="SingleTxtG"/>
        <w:ind w:left="1701" w:hanging="567"/>
      </w:pPr>
      <w:r>
        <w:tab/>
        <w:t>«свидетельства о проверке газодетекторных систем и системы измерения содержания кислорода, предписанные в пункте 8.1.6.3;».</w:t>
      </w:r>
    </w:p>
    <w:p w14:paraId="1AA081DB" w14:textId="77777777" w:rsidR="005C7441" w:rsidRPr="002E10FB" w:rsidRDefault="005C7441" w:rsidP="005C7441">
      <w:pPr>
        <w:pStyle w:val="HChG"/>
      </w:pPr>
      <w:r>
        <w:tab/>
      </w:r>
      <w:r>
        <w:tab/>
      </w:r>
      <w:r>
        <w:rPr>
          <w:bCs/>
        </w:rPr>
        <w:t>Последствия</w:t>
      </w:r>
    </w:p>
    <w:p w14:paraId="1AA25E71" w14:textId="77777777" w:rsidR="00E12C5F" w:rsidRDefault="005C7441" w:rsidP="005C7441">
      <w:pPr>
        <w:pStyle w:val="SingleTxtG"/>
      </w:pPr>
      <w:r>
        <w:t>21.</w:t>
      </w:r>
      <w:r>
        <w:tab/>
        <w:t>Данная поправка не имеет последствий с точки зрения документов, которые должны находиться на борту. Речь идет лишь об устранении дублирования положений.</w:t>
      </w:r>
    </w:p>
    <w:p w14:paraId="620DCB26" w14:textId="77777777" w:rsidR="005C7441" w:rsidRPr="005C7441" w:rsidRDefault="005C7441" w:rsidP="005C744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7441" w:rsidRPr="005C7441" w:rsidSect="005C744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7EDCA" w14:textId="77777777" w:rsidR="00F2733B" w:rsidRPr="00A312BC" w:rsidRDefault="00F2733B" w:rsidP="00A312BC"/>
  </w:endnote>
  <w:endnote w:type="continuationSeparator" w:id="0">
    <w:p w14:paraId="37035B3C" w14:textId="77777777" w:rsidR="00F2733B" w:rsidRPr="00A312BC" w:rsidRDefault="00F2733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9428" w14:textId="77777777" w:rsidR="005C7441" w:rsidRPr="005C7441" w:rsidRDefault="005C7441">
    <w:pPr>
      <w:pStyle w:val="Footer"/>
    </w:pPr>
    <w:r w:rsidRPr="005C7441">
      <w:rPr>
        <w:b/>
        <w:sz w:val="18"/>
      </w:rPr>
      <w:fldChar w:fldCharType="begin"/>
    </w:r>
    <w:r w:rsidRPr="005C7441">
      <w:rPr>
        <w:b/>
        <w:sz w:val="18"/>
      </w:rPr>
      <w:instrText xml:space="preserve"> PAGE  \* MERGEFORMAT </w:instrText>
    </w:r>
    <w:r w:rsidRPr="005C7441">
      <w:rPr>
        <w:b/>
        <w:sz w:val="18"/>
      </w:rPr>
      <w:fldChar w:fldCharType="separate"/>
    </w:r>
    <w:r w:rsidR="00D24995">
      <w:rPr>
        <w:b/>
        <w:noProof/>
        <w:sz w:val="18"/>
      </w:rPr>
      <w:t>4</w:t>
    </w:r>
    <w:r w:rsidRPr="005C7441">
      <w:rPr>
        <w:b/>
        <w:sz w:val="18"/>
      </w:rPr>
      <w:fldChar w:fldCharType="end"/>
    </w:r>
    <w:r>
      <w:rPr>
        <w:b/>
        <w:sz w:val="18"/>
      </w:rPr>
      <w:tab/>
    </w:r>
    <w:r>
      <w:t>GE.19-09145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4B51" w14:textId="77777777" w:rsidR="005C7441" w:rsidRPr="005C7441" w:rsidRDefault="005C7441" w:rsidP="005C7441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GE.19-09145</w:t>
    </w:r>
    <w:r>
      <w:tab/>
    </w:r>
    <w:r w:rsidRPr="005C7441">
      <w:rPr>
        <w:b/>
        <w:sz w:val="18"/>
      </w:rPr>
      <w:fldChar w:fldCharType="begin"/>
    </w:r>
    <w:r w:rsidRPr="005C7441">
      <w:rPr>
        <w:b/>
        <w:sz w:val="18"/>
      </w:rPr>
      <w:instrText xml:space="preserve"> PAGE  \* MERGEFORMAT </w:instrText>
    </w:r>
    <w:r w:rsidRPr="005C7441">
      <w:rPr>
        <w:b/>
        <w:sz w:val="18"/>
      </w:rPr>
      <w:fldChar w:fldCharType="separate"/>
    </w:r>
    <w:r w:rsidR="00D24995">
      <w:rPr>
        <w:b/>
        <w:noProof/>
        <w:sz w:val="18"/>
      </w:rPr>
      <w:t>3</w:t>
    </w:r>
    <w:r w:rsidRPr="005C74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088C7" w14:textId="77777777" w:rsidR="00042B72" w:rsidRPr="005C7441" w:rsidRDefault="005C7441" w:rsidP="005C744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EC2CBB8" wp14:editId="220E2EA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19-09145  (R)</w:t>
    </w:r>
    <w:r>
      <w:rPr>
        <w:lang w:val="en-US"/>
      </w:rPr>
      <w:t xml:space="preserve">  110619  110619</w:t>
    </w:r>
    <w:r>
      <w:br/>
    </w:r>
    <w:r w:rsidRPr="005C7441">
      <w:rPr>
        <w:rFonts w:ascii="C39T30Lfz" w:hAnsi="C39T30Lfz"/>
        <w:kern w:val="14"/>
        <w:sz w:val="56"/>
      </w:rPr>
      <w:t></w:t>
    </w:r>
    <w:r w:rsidRPr="005C7441">
      <w:rPr>
        <w:rFonts w:ascii="C39T30Lfz" w:hAnsi="C39T30Lfz"/>
        <w:kern w:val="14"/>
        <w:sz w:val="56"/>
      </w:rPr>
      <w:t></w:t>
    </w:r>
    <w:r w:rsidRPr="005C7441">
      <w:rPr>
        <w:rFonts w:ascii="C39T30Lfz" w:hAnsi="C39T30Lfz"/>
        <w:kern w:val="14"/>
        <w:sz w:val="56"/>
      </w:rPr>
      <w:t></w:t>
    </w:r>
    <w:r w:rsidRPr="005C7441">
      <w:rPr>
        <w:rFonts w:ascii="C39T30Lfz" w:hAnsi="C39T30Lfz"/>
        <w:kern w:val="14"/>
        <w:sz w:val="56"/>
      </w:rPr>
      <w:t></w:t>
    </w:r>
    <w:r w:rsidRPr="005C7441">
      <w:rPr>
        <w:rFonts w:ascii="C39T30Lfz" w:hAnsi="C39T30Lfz"/>
        <w:kern w:val="14"/>
        <w:sz w:val="56"/>
      </w:rPr>
      <w:t></w:t>
    </w:r>
    <w:r w:rsidRPr="005C7441">
      <w:rPr>
        <w:rFonts w:ascii="C39T30Lfz" w:hAnsi="C39T30Lfz"/>
        <w:kern w:val="14"/>
        <w:sz w:val="56"/>
      </w:rPr>
      <w:t></w:t>
    </w:r>
    <w:r w:rsidRPr="005C7441">
      <w:rPr>
        <w:rFonts w:ascii="C39T30Lfz" w:hAnsi="C39T30Lfz"/>
        <w:kern w:val="14"/>
        <w:sz w:val="56"/>
      </w:rPr>
      <w:t></w:t>
    </w:r>
    <w:r w:rsidRPr="005C7441">
      <w:rPr>
        <w:rFonts w:ascii="C39T30Lfz" w:hAnsi="C39T30Lfz"/>
        <w:kern w:val="14"/>
        <w:sz w:val="56"/>
      </w:rPr>
      <w:t></w:t>
    </w:r>
    <w:r w:rsidRPr="005C744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521A513" wp14:editId="46C697E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F9556" w14:textId="77777777" w:rsidR="00F2733B" w:rsidRPr="001075E9" w:rsidRDefault="00F2733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1EE3B6" w14:textId="77777777" w:rsidR="00F2733B" w:rsidRDefault="00F2733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BE5621" w14:textId="77777777" w:rsidR="005C7441" w:rsidRPr="005C7441" w:rsidRDefault="005C7441">
      <w:pPr>
        <w:pStyle w:val="FootnoteText"/>
        <w:rPr>
          <w:sz w:val="20"/>
        </w:rPr>
      </w:pPr>
      <w:r>
        <w:tab/>
      </w:r>
      <w:r w:rsidRPr="005C7441">
        <w:rPr>
          <w:rStyle w:val="FootnoteReference"/>
          <w:sz w:val="20"/>
          <w:vertAlign w:val="baseline"/>
        </w:rPr>
        <w:t>*</w:t>
      </w:r>
      <w:r w:rsidRPr="005C7441">
        <w:rPr>
          <w:rStyle w:val="FootnoteReference"/>
          <w:vertAlign w:val="baseline"/>
        </w:rPr>
        <w:tab/>
      </w:r>
      <w:r w:rsidRPr="005C7441">
        <w:t>Распространено на немецком языке Центральной комиссией судоходства по Рейну под условным обозначением CCNR/ZKR/ADN/WP.15/AC.2/2019/18.</w:t>
      </w:r>
    </w:p>
  </w:footnote>
  <w:footnote w:id="2">
    <w:p w14:paraId="5FFB0854" w14:textId="77777777" w:rsidR="005C7441" w:rsidRPr="005C7441" w:rsidRDefault="005C7441">
      <w:pPr>
        <w:pStyle w:val="FootnoteText"/>
        <w:rPr>
          <w:sz w:val="20"/>
        </w:rPr>
      </w:pPr>
      <w:r>
        <w:tab/>
      </w:r>
      <w:r w:rsidRPr="005C7441">
        <w:rPr>
          <w:rStyle w:val="FootnoteReference"/>
          <w:sz w:val="20"/>
          <w:vertAlign w:val="baseline"/>
        </w:rPr>
        <w:t>**</w:t>
      </w:r>
      <w:r w:rsidRPr="005C7441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41F8" w14:textId="325CA527" w:rsidR="005C7441" w:rsidRPr="005C7441" w:rsidRDefault="00BB6E4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E03BB" w14:textId="4059F1DA" w:rsidR="005C7441" w:rsidRPr="005C7441" w:rsidRDefault="00BB6E45" w:rsidP="005C744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3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3AFD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107A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744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6E45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4995"/>
    <w:rsid w:val="00D33D63"/>
    <w:rsid w:val="00D5253A"/>
    <w:rsid w:val="00D873A8"/>
    <w:rsid w:val="00D90028"/>
    <w:rsid w:val="00D90138"/>
    <w:rsid w:val="00D9145B"/>
    <w:rsid w:val="00D930F5"/>
    <w:rsid w:val="00DD78D1"/>
    <w:rsid w:val="00DE32CD"/>
    <w:rsid w:val="00DF5767"/>
    <w:rsid w:val="00DF71B9"/>
    <w:rsid w:val="00E12C5F"/>
    <w:rsid w:val="00E73F76"/>
    <w:rsid w:val="00EA2C9F"/>
    <w:rsid w:val="00EA420E"/>
    <w:rsid w:val="00EA576A"/>
    <w:rsid w:val="00ED0BDA"/>
    <w:rsid w:val="00EE142A"/>
    <w:rsid w:val="00EF1360"/>
    <w:rsid w:val="00EF3220"/>
    <w:rsid w:val="00F2523A"/>
    <w:rsid w:val="00F2733B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7C8B0"/>
  <w15:docId w15:val="{17E8A843-048C-42B4-BACE-116C8FE5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5C7441"/>
    <w:rPr>
      <w:lang w:val="ru-RU" w:eastAsia="en-US"/>
    </w:rPr>
  </w:style>
  <w:style w:type="character" w:customStyle="1" w:styleId="HChGChar">
    <w:name w:val="_ H _Ch_G Char"/>
    <w:link w:val="HChG"/>
    <w:rsid w:val="005C744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ECE/TRANS/WP.15/AC.2/2019/18</vt:lpstr>
      <vt:lpstr>ECE/TRANS/WP.15/AC.2/2019/18</vt:lpstr>
      <vt:lpstr>A/</vt:lpstr>
    </vt:vector>
  </TitlesOfParts>
  <Company>DCM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ECE/TRANS/WP.15/AC.2/2019/18</dc:title>
  <dc:subject/>
  <dc:creator>Elena IZOTOVA</dc:creator>
  <cp:keywords/>
  <cp:lastModifiedBy>Marie-Claude Collet</cp:lastModifiedBy>
  <cp:revision>3</cp:revision>
  <cp:lastPrinted>2019-06-20T14:52:00Z</cp:lastPrinted>
  <dcterms:created xsi:type="dcterms:W3CDTF">2019-06-20T14:52:00Z</dcterms:created>
  <dcterms:modified xsi:type="dcterms:W3CDTF">2019-06-20T14:52:00Z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