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6417F" w14:textId="1C00A3A0" w:rsidR="00096154" w:rsidRPr="00DF2832" w:rsidRDefault="00096154" w:rsidP="00FA5034">
      <w:pPr>
        <w:spacing w:after="0"/>
        <w:ind w:left="5387" w:right="-286"/>
        <w:jc w:val="both"/>
        <w:outlineLvl w:val="0"/>
        <w:rPr>
          <w:rFonts w:ascii="Arial" w:eastAsia="Arial" w:hAnsi="Arial" w:cs="Arial"/>
          <w:bCs/>
          <w:sz w:val="20"/>
          <w:szCs w:val="24"/>
          <w:lang w:eastAsia="de-DE"/>
        </w:rPr>
      </w:pPr>
      <w:r>
        <w:rPr>
          <w:rFonts w:ascii="Arial" w:eastAsia="Arial" w:hAnsi="Arial" w:cs="Arial"/>
          <w:bCs/>
          <w:noProof/>
          <w:sz w:val="20"/>
          <w:szCs w:val="24"/>
          <w:lang w:val="de-DE" w:eastAsia="de-DE"/>
        </w:rPr>
        <w:drawing>
          <wp:anchor distT="0" distB="0" distL="114300" distR="114300" simplePos="0" relativeHeight="251658240" behindDoc="0" locked="0" layoutInCell="1" allowOverlap="1" wp14:anchorId="3FE2937B" wp14:editId="7240AE8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DF2832">
        <w:rPr>
          <w:rFonts w:ascii="Arial" w:eastAsia="Arial" w:hAnsi="Arial" w:cs="Arial"/>
          <w:bCs/>
          <w:sz w:val="20"/>
          <w:szCs w:val="24"/>
          <w:lang w:eastAsia="de-DE"/>
        </w:rPr>
        <w:t>CCNR-ZKR/ADN/WP.15/AC.2/</w:t>
      </w:r>
      <w:r w:rsidR="00FA5034" w:rsidRPr="00DF2832">
        <w:rPr>
          <w:rFonts w:ascii="Arial" w:eastAsia="Arial" w:hAnsi="Arial" w:cs="Arial"/>
          <w:bCs/>
          <w:sz w:val="20"/>
          <w:szCs w:val="24"/>
          <w:lang w:eastAsia="de-DE"/>
        </w:rPr>
        <w:t>35</w:t>
      </w:r>
      <w:r w:rsidRPr="00DF2832">
        <w:rPr>
          <w:rFonts w:ascii="Arial" w:eastAsia="Arial" w:hAnsi="Arial" w:cs="Arial"/>
          <w:bCs/>
          <w:sz w:val="20"/>
          <w:szCs w:val="24"/>
          <w:lang w:eastAsia="de-DE"/>
        </w:rPr>
        <w:t>/</w:t>
      </w:r>
      <w:r w:rsidR="00FA5034" w:rsidRPr="00DF2832">
        <w:rPr>
          <w:rFonts w:ascii="Arial" w:eastAsia="Arial" w:hAnsi="Arial" w:cs="Arial"/>
          <w:bCs/>
          <w:sz w:val="20"/>
          <w:szCs w:val="24"/>
          <w:lang w:eastAsia="de-DE"/>
        </w:rPr>
        <w:t>INF</w:t>
      </w:r>
      <w:r w:rsidR="007110E7" w:rsidRPr="00DF2832">
        <w:rPr>
          <w:rFonts w:ascii="Arial" w:eastAsia="Arial" w:hAnsi="Arial" w:cs="Arial"/>
          <w:bCs/>
          <w:sz w:val="20"/>
          <w:szCs w:val="24"/>
          <w:lang w:eastAsia="de-DE"/>
        </w:rPr>
        <w:t>.7</w:t>
      </w:r>
    </w:p>
    <w:p w14:paraId="277AF5AA" w14:textId="39561908" w:rsidR="00096154" w:rsidRPr="00EA2AB2" w:rsidRDefault="00EA2AB2" w:rsidP="00EA2AB2">
      <w:pPr>
        <w:tabs>
          <w:tab w:val="right" w:pos="3856"/>
        </w:tabs>
        <w:spacing w:after="0"/>
        <w:ind w:left="5387"/>
        <w:jc w:val="both"/>
        <w:rPr>
          <w:rFonts w:ascii="Arial" w:eastAsia="Arial" w:hAnsi="Arial" w:cs="Arial"/>
          <w:sz w:val="20"/>
          <w:szCs w:val="24"/>
          <w:lang w:val="de-DE" w:eastAsia="de-DE"/>
        </w:rPr>
      </w:pPr>
      <w:r w:rsidRPr="00EA2AB2">
        <w:rPr>
          <w:rFonts w:ascii="Arial" w:eastAsia="Arial" w:hAnsi="Arial" w:cs="Arial"/>
          <w:sz w:val="20"/>
          <w:szCs w:val="24"/>
          <w:lang w:val="de-DE" w:eastAsia="de-DE"/>
        </w:rPr>
        <w:t>1</w:t>
      </w:r>
      <w:r w:rsidR="007110E7">
        <w:rPr>
          <w:rFonts w:ascii="Arial" w:eastAsia="Arial" w:hAnsi="Arial" w:cs="Arial"/>
          <w:sz w:val="20"/>
          <w:szCs w:val="24"/>
          <w:lang w:val="de-DE" w:eastAsia="de-DE"/>
        </w:rPr>
        <w:t>0</w:t>
      </w:r>
      <w:r w:rsidRPr="00EA2AB2">
        <w:rPr>
          <w:rFonts w:ascii="Arial" w:eastAsia="Arial" w:hAnsi="Arial" w:cs="Arial"/>
          <w:sz w:val="20"/>
          <w:szCs w:val="24"/>
          <w:lang w:val="de-DE" w:eastAsia="de-DE"/>
        </w:rPr>
        <w:t>. Juli</w:t>
      </w:r>
      <w:r w:rsidR="00096154" w:rsidRPr="00EA2AB2">
        <w:rPr>
          <w:rFonts w:ascii="Arial" w:eastAsia="Arial" w:hAnsi="Arial" w:cs="Arial"/>
          <w:sz w:val="20"/>
          <w:szCs w:val="24"/>
          <w:lang w:val="de-DE" w:eastAsia="de-DE"/>
        </w:rPr>
        <w:t xml:space="preserve"> 201</w:t>
      </w:r>
      <w:r w:rsidR="00D73CA6" w:rsidRPr="00EA2AB2">
        <w:rPr>
          <w:rFonts w:ascii="Arial" w:eastAsia="Arial" w:hAnsi="Arial" w:cs="Arial"/>
          <w:sz w:val="20"/>
          <w:szCs w:val="24"/>
          <w:lang w:val="de-DE" w:eastAsia="de-DE"/>
        </w:rPr>
        <w:t>9</w:t>
      </w:r>
    </w:p>
    <w:p w14:paraId="332F3C2C" w14:textId="77777777" w:rsidR="00096154" w:rsidRPr="00096154" w:rsidRDefault="00096154" w:rsidP="00FA5034">
      <w:pPr>
        <w:tabs>
          <w:tab w:val="right" w:pos="3856"/>
          <w:tab w:val="left" w:pos="5670"/>
        </w:tabs>
        <w:spacing w:after="0"/>
        <w:ind w:left="5387" w:right="565"/>
        <w:jc w:val="both"/>
        <w:rPr>
          <w:rFonts w:ascii="Arial" w:hAnsi="Arial" w:cs="Arial"/>
          <w:sz w:val="16"/>
          <w:szCs w:val="24"/>
          <w:lang w:val="de-DE" w:eastAsia="de-DE"/>
        </w:rPr>
      </w:pPr>
      <w:proofErr w:type="spellStart"/>
      <w:r w:rsidRPr="00096154">
        <w:rPr>
          <w:rFonts w:ascii="Arial" w:eastAsia="Arial" w:hAnsi="Arial" w:cs="Arial"/>
          <w:sz w:val="16"/>
          <w:szCs w:val="24"/>
          <w:lang w:val="de-DE" w:eastAsia="de-DE"/>
        </w:rPr>
        <w:t>Or</w:t>
      </w:r>
      <w:proofErr w:type="spellEnd"/>
      <w:r w:rsidRPr="00096154">
        <w:rPr>
          <w:rFonts w:ascii="Arial" w:eastAsia="Arial" w:hAnsi="Arial" w:cs="Arial"/>
          <w:sz w:val="16"/>
          <w:szCs w:val="24"/>
          <w:lang w:val="de-DE" w:eastAsia="de-DE"/>
        </w:rPr>
        <w:t>. DEUTSCH</w:t>
      </w:r>
    </w:p>
    <w:p w14:paraId="3624446B" w14:textId="77777777" w:rsidR="00096154" w:rsidRPr="00096154" w:rsidRDefault="00096154" w:rsidP="00FA5034">
      <w:pPr>
        <w:spacing w:after="0"/>
        <w:jc w:val="both"/>
        <w:rPr>
          <w:rFonts w:ascii="Arial" w:hAnsi="Arial" w:cs="Arial"/>
          <w:sz w:val="16"/>
          <w:szCs w:val="24"/>
          <w:lang w:val="de-DE" w:eastAsia="de-DE"/>
        </w:rPr>
      </w:pPr>
    </w:p>
    <w:p w14:paraId="28618DF2" w14:textId="77777777" w:rsidR="00096154" w:rsidRPr="00096154" w:rsidRDefault="00096154" w:rsidP="00FA5034">
      <w:pPr>
        <w:spacing w:after="0"/>
        <w:jc w:val="both"/>
        <w:rPr>
          <w:rFonts w:ascii="Arial" w:hAnsi="Arial" w:cs="Arial"/>
          <w:sz w:val="16"/>
          <w:szCs w:val="24"/>
          <w:lang w:val="de-DE" w:eastAsia="de-DE"/>
        </w:rPr>
      </w:pPr>
    </w:p>
    <w:p w14:paraId="418F44EC" w14:textId="77777777" w:rsidR="00096154" w:rsidRPr="00096154" w:rsidRDefault="00096154" w:rsidP="00FA5034">
      <w:pPr>
        <w:tabs>
          <w:tab w:val="left" w:pos="2977"/>
        </w:tabs>
        <w:spacing w:after="0"/>
        <w:ind w:left="3958"/>
        <w:jc w:val="both"/>
        <w:rPr>
          <w:rFonts w:ascii="Arial" w:hAnsi="Arial"/>
          <w:noProof/>
          <w:snapToGrid w:val="0"/>
          <w:sz w:val="16"/>
          <w:szCs w:val="24"/>
          <w:lang w:val="de-DE" w:eastAsia="fr-FR"/>
        </w:rPr>
      </w:pPr>
      <w:r w:rsidRPr="00096154">
        <w:rPr>
          <w:rFonts w:ascii="Arial" w:hAnsi="Arial"/>
          <w:noProof/>
          <w:snapToGrid w:val="0"/>
          <w:sz w:val="16"/>
          <w:szCs w:val="24"/>
          <w:lang w:val="de-DE" w:eastAsia="fr-FR"/>
        </w:rPr>
        <w:t>GEMEINSAME EXPERTENTAGUNG FÜR DIE DEM</w:t>
      </w:r>
    </w:p>
    <w:p w14:paraId="3053DA91" w14:textId="77777777" w:rsidR="00096154" w:rsidRPr="00096154" w:rsidRDefault="00096154" w:rsidP="00FA5034">
      <w:pPr>
        <w:tabs>
          <w:tab w:val="left" w:pos="2977"/>
        </w:tabs>
        <w:spacing w:after="0"/>
        <w:ind w:left="3958"/>
        <w:jc w:val="both"/>
        <w:rPr>
          <w:rFonts w:ascii="Arial" w:hAnsi="Arial"/>
          <w:noProof/>
          <w:snapToGrid w:val="0"/>
          <w:sz w:val="16"/>
          <w:szCs w:val="24"/>
          <w:lang w:val="de-DE" w:eastAsia="fr-FR"/>
        </w:rPr>
      </w:pPr>
      <w:r w:rsidRPr="00096154">
        <w:rPr>
          <w:rFonts w:ascii="Arial" w:hAnsi="Arial"/>
          <w:noProof/>
          <w:snapToGrid w:val="0"/>
          <w:sz w:val="16"/>
          <w:szCs w:val="24"/>
          <w:lang w:val="de-DE" w:eastAsia="fr-FR"/>
        </w:rPr>
        <w:t>ÜBEREINKOMMEN ÜBER DIE INTERNATIONALE BEFÖRDERUNG</w:t>
      </w:r>
    </w:p>
    <w:p w14:paraId="1BF4B56F" w14:textId="77777777" w:rsidR="00096154" w:rsidRPr="00096154" w:rsidRDefault="00096154" w:rsidP="00FA5034">
      <w:pPr>
        <w:tabs>
          <w:tab w:val="left" w:pos="2977"/>
        </w:tabs>
        <w:spacing w:after="0"/>
        <w:ind w:left="3958"/>
        <w:jc w:val="both"/>
        <w:rPr>
          <w:rFonts w:ascii="Arial" w:hAnsi="Arial"/>
          <w:noProof/>
          <w:snapToGrid w:val="0"/>
          <w:sz w:val="16"/>
          <w:szCs w:val="24"/>
          <w:lang w:val="de-DE" w:eastAsia="fr-FR"/>
        </w:rPr>
      </w:pPr>
      <w:r w:rsidRPr="00096154">
        <w:rPr>
          <w:rFonts w:ascii="Arial" w:hAnsi="Arial"/>
          <w:noProof/>
          <w:snapToGrid w:val="0"/>
          <w:sz w:val="16"/>
          <w:szCs w:val="24"/>
          <w:lang w:val="de-DE" w:eastAsia="fr-FR"/>
        </w:rPr>
        <w:t>VON GEFÄHRLICHEN GÜTERN AUF BINNENWASSERSTRASSEN</w:t>
      </w:r>
    </w:p>
    <w:p w14:paraId="15E1251D" w14:textId="77777777" w:rsidR="00096154" w:rsidRPr="00096154" w:rsidRDefault="00096154" w:rsidP="00FA5034">
      <w:pPr>
        <w:tabs>
          <w:tab w:val="left" w:pos="2977"/>
        </w:tabs>
        <w:spacing w:after="0"/>
        <w:ind w:left="3958"/>
        <w:jc w:val="both"/>
        <w:rPr>
          <w:rFonts w:ascii="Arial" w:hAnsi="Arial"/>
          <w:noProof/>
          <w:snapToGrid w:val="0"/>
          <w:sz w:val="16"/>
          <w:szCs w:val="24"/>
          <w:lang w:val="de-DE" w:eastAsia="fr-FR"/>
        </w:rPr>
      </w:pPr>
      <w:r w:rsidRPr="00096154">
        <w:rPr>
          <w:rFonts w:ascii="Arial" w:hAnsi="Arial"/>
          <w:noProof/>
          <w:snapToGrid w:val="0"/>
          <w:sz w:val="16"/>
          <w:szCs w:val="24"/>
          <w:lang w:val="de-DE" w:eastAsia="fr-FR"/>
        </w:rPr>
        <w:t>BEIGEFÜGTE VERORDNUNG (ADN)</w:t>
      </w:r>
    </w:p>
    <w:p w14:paraId="79598F71" w14:textId="77777777" w:rsidR="00096154" w:rsidRPr="00096154" w:rsidRDefault="00096154" w:rsidP="00FA5034">
      <w:pPr>
        <w:tabs>
          <w:tab w:val="left" w:pos="2977"/>
        </w:tabs>
        <w:spacing w:after="0"/>
        <w:ind w:left="3958"/>
        <w:jc w:val="both"/>
        <w:rPr>
          <w:rFonts w:ascii="Arial" w:hAnsi="Arial"/>
          <w:noProof/>
          <w:snapToGrid w:val="0"/>
          <w:sz w:val="16"/>
          <w:szCs w:val="24"/>
          <w:lang w:val="de-DE" w:eastAsia="fr-FR"/>
        </w:rPr>
      </w:pPr>
      <w:r w:rsidRPr="00096154">
        <w:rPr>
          <w:rFonts w:ascii="Arial" w:hAnsi="Arial"/>
          <w:noProof/>
          <w:snapToGrid w:val="0"/>
          <w:sz w:val="16"/>
          <w:szCs w:val="24"/>
          <w:lang w:val="de-DE" w:eastAsia="fr-FR"/>
        </w:rPr>
        <w:t>(SICHERHEITSAUSSCHUSS)</w:t>
      </w:r>
    </w:p>
    <w:p w14:paraId="7BE0CDF2" w14:textId="77777777" w:rsidR="00096154" w:rsidRPr="00096154" w:rsidRDefault="00096154" w:rsidP="00FA5034">
      <w:pPr>
        <w:tabs>
          <w:tab w:val="left" w:pos="2977"/>
        </w:tabs>
        <w:spacing w:after="0"/>
        <w:ind w:left="3960"/>
        <w:jc w:val="both"/>
        <w:rPr>
          <w:rFonts w:ascii="Arial" w:hAnsi="Arial"/>
          <w:snapToGrid w:val="0"/>
          <w:sz w:val="16"/>
          <w:szCs w:val="24"/>
          <w:lang w:val="de-DE" w:eastAsia="fr-FR"/>
        </w:rPr>
      </w:pPr>
      <w:r w:rsidRPr="00096154">
        <w:rPr>
          <w:rFonts w:ascii="Arial" w:hAnsi="Arial"/>
          <w:snapToGrid w:val="0"/>
          <w:sz w:val="16"/>
          <w:szCs w:val="24"/>
          <w:lang w:val="de-DE" w:eastAsia="fr-FR"/>
        </w:rPr>
        <w:t>(3</w:t>
      </w:r>
      <w:r w:rsidR="00D73CA6">
        <w:rPr>
          <w:rFonts w:ascii="Arial" w:hAnsi="Arial"/>
          <w:snapToGrid w:val="0"/>
          <w:sz w:val="16"/>
          <w:szCs w:val="24"/>
          <w:lang w:val="de-DE" w:eastAsia="fr-FR"/>
        </w:rPr>
        <w:t>5</w:t>
      </w:r>
      <w:r w:rsidRPr="00096154">
        <w:rPr>
          <w:rFonts w:ascii="Arial" w:hAnsi="Arial"/>
          <w:snapToGrid w:val="0"/>
          <w:sz w:val="16"/>
          <w:szCs w:val="24"/>
          <w:lang w:val="de-DE" w:eastAsia="fr-FR"/>
        </w:rPr>
        <w:t>. Tagung, Genf, 2</w:t>
      </w:r>
      <w:r w:rsidR="00D73CA6">
        <w:rPr>
          <w:rFonts w:ascii="Arial" w:hAnsi="Arial"/>
          <w:snapToGrid w:val="0"/>
          <w:sz w:val="16"/>
          <w:szCs w:val="24"/>
          <w:lang w:val="de-DE" w:eastAsia="fr-FR"/>
        </w:rPr>
        <w:t>6</w:t>
      </w:r>
      <w:r w:rsidRPr="00096154">
        <w:rPr>
          <w:rFonts w:ascii="Arial" w:hAnsi="Arial"/>
          <w:snapToGrid w:val="0"/>
          <w:sz w:val="16"/>
          <w:szCs w:val="24"/>
          <w:lang w:val="de-DE" w:eastAsia="fr-FR"/>
        </w:rPr>
        <w:t>. bis 3</w:t>
      </w:r>
      <w:r w:rsidR="008B36BE">
        <w:rPr>
          <w:rFonts w:ascii="Arial" w:hAnsi="Arial"/>
          <w:snapToGrid w:val="0"/>
          <w:sz w:val="16"/>
          <w:szCs w:val="24"/>
          <w:lang w:val="de-DE" w:eastAsia="fr-FR"/>
        </w:rPr>
        <w:t>0</w:t>
      </w:r>
      <w:r w:rsidRPr="00096154">
        <w:rPr>
          <w:rFonts w:ascii="Arial" w:hAnsi="Arial"/>
          <w:snapToGrid w:val="0"/>
          <w:sz w:val="16"/>
          <w:szCs w:val="24"/>
          <w:lang w:val="de-DE" w:eastAsia="fr-FR"/>
        </w:rPr>
        <w:t>. August 201</w:t>
      </w:r>
      <w:r w:rsidR="00D73CA6">
        <w:rPr>
          <w:rFonts w:ascii="Arial" w:hAnsi="Arial"/>
          <w:snapToGrid w:val="0"/>
          <w:sz w:val="16"/>
          <w:szCs w:val="24"/>
          <w:lang w:val="de-DE" w:eastAsia="fr-FR"/>
        </w:rPr>
        <w:t>9</w:t>
      </w:r>
      <w:r w:rsidRPr="00096154">
        <w:rPr>
          <w:rFonts w:ascii="Arial" w:hAnsi="Arial"/>
          <w:snapToGrid w:val="0"/>
          <w:sz w:val="16"/>
          <w:szCs w:val="24"/>
          <w:lang w:val="de-DE" w:eastAsia="fr-FR"/>
        </w:rPr>
        <w:t>)</w:t>
      </w:r>
    </w:p>
    <w:p w14:paraId="7A49AC54" w14:textId="731917CE" w:rsidR="00096154" w:rsidRPr="00096154" w:rsidRDefault="00096154" w:rsidP="00FA5034">
      <w:pPr>
        <w:tabs>
          <w:tab w:val="left" w:pos="2977"/>
        </w:tabs>
        <w:spacing w:after="0"/>
        <w:ind w:left="3960"/>
        <w:jc w:val="both"/>
        <w:rPr>
          <w:rFonts w:ascii="Arial" w:hAnsi="Arial" w:cs="Arial"/>
          <w:sz w:val="16"/>
          <w:szCs w:val="16"/>
          <w:lang w:val="de-DE"/>
        </w:rPr>
      </w:pPr>
      <w:r w:rsidRPr="00096154">
        <w:rPr>
          <w:rFonts w:ascii="Arial" w:hAnsi="Arial" w:cs="Arial"/>
          <w:sz w:val="16"/>
          <w:szCs w:val="16"/>
          <w:lang w:val="de-DE"/>
        </w:rPr>
        <w:t xml:space="preserve">Punkt </w:t>
      </w:r>
      <w:r w:rsidR="00DF2832">
        <w:rPr>
          <w:rFonts w:ascii="Arial" w:hAnsi="Arial" w:cs="Arial"/>
          <w:sz w:val="16"/>
          <w:szCs w:val="16"/>
          <w:lang w:val="de-DE"/>
        </w:rPr>
        <w:t>5</w:t>
      </w:r>
      <w:r w:rsidRPr="00096154">
        <w:rPr>
          <w:rFonts w:ascii="Arial" w:hAnsi="Arial" w:cs="Arial"/>
          <w:sz w:val="16"/>
          <w:szCs w:val="16"/>
          <w:lang w:val="de-DE"/>
        </w:rPr>
        <w:t xml:space="preserve"> zur vorläufigen Tagesordnung</w:t>
      </w:r>
    </w:p>
    <w:p w14:paraId="128F775F" w14:textId="044E9AEF" w:rsidR="007110E7" w:rsidRPr="00DF2832" w:rsidRDefault="00DF2832" w:rsidP="007110E7">
      <w:pPr>
        <w:tabs>
          <w:tab w:val="left" w:pos="2977"/>
        </w:tabs>
        <w:spacing w:after="0"/>
        <w:ind w:left="3960"/>
        <w:jc w:val="both"/>
        <w:rPr>
          <w:rFonts w:ascii="Arial" w:hAnsi="Arial" w:cs="Arial"/>
          <w:b/>
          <w:bCs/>
          <w:sz w:val="16"/>
          <w:szCs w:val="16"/>
          <w:lang w:val="de-DE"/>
        </w:rPr>
      </w:pPr>
      <w:r w:rsidRPr="00DF2832">
        <w:rPr>
          <w:rFonts w:ascii="Arial" w:hAnsi="Arial" w:cs="Arial"/>
          <w:b/>
          <w:bCs/>
          <w:sz w:val="16"/>
          <w:szCs w:val="16"/>
          <w:lang w:val="de-DE"/>
        </w:rPr>
        <w:t>Berichte informeller Arbeitsgruppen</w:t>
      </w:r>
      <w:bookmarkStart w:id="0" w:name="_GoBack"/>
      <w:bookmarkEnd w:id="0"/>
    </w:p>
    <w:p w14:paraId="289A799B" w14:textId="77777777" w:rsidR="00096154" w:rsidRPr="00096154" w:rsidRDefault="00096154" w:rsidP="00FA5034">
      <w:pPr>
        <w:widowControl w:val="0"/>
        <w:overflowPunct w:val="0"/>
        <w:autoSpaceDE w:val="0"/>
        <w:autoSpaceDN w:val="0"/>
        <w:adjustRightInd w:val="0"/>
        <w:spacing w:after="0"/>
        <w:jc w:val="both"/>
        <w:textAlignment w:val="baseline"/>
        <w:rPr>
          <w:rFonts w:ascii="Arial" w:hAnsi="Arial"/>
          <w:color w:val="000000"/>
          <w:sz w:val="22"/>
          <w:lang w:val="de-DE" w:eastAsia="fr-FR"/>
        </w:rPr>
      </w:pPr>
    </w:p>
    <w:p w14:paraId="4937ED93" w14:textId="77777777" w:rsidR="00096154" w:rsidRDefault="00096154" w:rsidP="00D93C93">
      <w:pPr>
        <w:suppressAutoHyphens/>
        <w:snapToGrid w:val="0"/>
        <w:spacing w:after="0" w:line="240" w:lineRule="atLeast"/>
        <w:ind w:left="1134" w:right="424"/>
        <w:jc w:val="both"/>
        <w:rPr>
          <w:b/>
          <w:bCs/>
          <w:sz w:val="28"/>
          <w:szCs w:val="24"/>
          <w:lang w:val="de-DE" w:eastAsia="fr-FR"/>
        </w:rPr>
      </w:pPr>
      <w:r w:rsidRPr="00096154">
        <w:rPr>
          <w:b/>
          <w:bCs/>
          <w:sz w:val="28"/>
          <w:szCs w:val="24"/>
          <w:lang w:val="de-DE" w:eastAsia="fr-FR"/>
        </w:rPr>
        <w:t xml:space="preserve">Bericht über die </w:t>
      </w:r>
      <w:r w:rsidR="008B36BE">
        <w:rPr>
          <w:b/>
          <w:bCs/>
          <w:sz w:val="28"/>
          <w:szCs w:val="24"/>
          <w:lang w:val="de-DE" w:eastAsia="fr-FR"/>
        </w:rPr>
        <w:t>1</w:t>
      </w:r>
      <w:r w:rsidR="00D73CA6">
        <w:rPr>
          <w:b/>
          <w:bCs/>
          <w:sz w:val="28"/>
          <w:szCs w:val="24"/>
          <w:lang w:val="de-DE" w:eastAsia="fr-FR"/>
        </w:rPr>
        <w:t>1</w:t>
      </w:r>
      <w:r w:rsidRPr="00096154">
        <w:rPr>
          <w:b/>
          <w:bCs/>
          <w:sz w:val="28"/>
          <w:szCs w:val="24"/>
          <w:lang w:val="de-DE" w:eastAsia="fr-FR"/>
        </w:rPr>
        <w:t>. Sitzung der Informellen Arbeitsgruppe „Stoffe“</w:t>
      </w:r>
    </w:p>
    <w:p w14:paraId="01A1F813" w14:textId="77777777" w:rsidR="00D73CA6" w:rsidRPr="00096154" w:rsidRDefault="00D73CA6" w:rsidP="00FA5034">
      <w:pPr>
        <w:suppressAutoHyphens/>
        <w:snapToGrid w:val="0"/>
        <w:spacing w:after="0" w:line="240" w:lineRule="atLeast"/>
        <w:ind w:left="1134" w:right="1134"/>
        <w:jc w:val="both"/>
        <w:rPr>
          <w:b/>
          <w:bCs/>
          <w:sz w:val="28"/>
          <w:szCs w:val="24"/>
          <w:lang w:val="de-DE" w:eastAsia="fr-FR"/>
        </w:rPr>
      </w:pPr>
    </w:p>
    <w:p w14:paraId="3DB691F2" w14:textId="3A257ADC" w:rsidR="00D73CA6" w:rsidRPr="000B697D" w:rsidRDefault="00D73CA6" w:rsidP="00FA5034">
      <w:pPr>
        <w:suppressAutoHyphens/>
        <w:spacing w:after="0" w:line="240" w:lineRule="atLeast"/>
        <w:ind w:left="1134"/>
        <w:jc w:val="both"/>
        <w:rPr>
          <w:sz w:val="20"/>
          <w:vertAlign w:val="superscript"/>
          <w:lang w:val="de-DE"/>
        </w:rPr>
      </w:pPr>
      <w:r w:rsidRPr="000B697D">
        <w:rPr>
          <w:b/>
          <w:szCs w:val="24"/>
          <w:lang w:val="de-DE"/>
        </w:rPr>
        <w:t>Eingereicht durch die Zentralkommission für die Rheinschifffahrt (ZKR)</w:t>
      </w:r>
    </w:p>
    <w:p w14:paraId="2009CEBA" w14:textId="77777777" w:rsidR="00A909D8" w:rsidRPr="000B697D" w:rsidRDefault="00A909D8" w:rsidP="00EA2AB2">
      <w:pPr>
        <w:spacing w:after="0" w:line="360" w:lineRule="auto"/>
        <w:ind w:right="566"/>
        <w:jc w:val="both"/>
        <w:rPr>
          <w:sz w:val="20"/>
          <w:lang w:val="de-DE"/>
        </w:rPr>
      </w:pPr>
    </w:p>
    <w:p w14:paraId="334C8465" w14:textId="77777777" w:rsidR="00A24DD5" w:rsidRPr="00FC7353" w:rsidRDefault="00A909D8" w:rsidP="00EA2AB2">
      <w:pPr>
        <w:autoSpaceDE w:val="0"/>
        <w:autoSpaceDN w:val="0"/>
        <w:adjustRightInd w:val="0"/>
        <w:spacing w:after="0"/>
        <w:ind w:right="566"/>
        <w:jc w:val="both"/>
        <w:rPr>
          <w:b/>
          <w:szCs w:val="24"/>
          <w:lang w:val="de-DE"/>
        </w:rPr>
      </w:pPr>
      <w:r w:rsidRPr="00FC7353">
        <w:rPr>
          <w:b/>
          <w:szCs w:val="24"/>
          <w:lang w:val="de-DE"/>
        </w:rPr>
        <w:t>Einleitung</w:t>
      </w:r>
    </w:p>
    <w:p w14:paraId="197FF3D4" w14:textId="77777777" w:rsidR="00A24DD5" w:rsidRPr="000B697D" w:rsidRDefault="00A24DD5" w:rsidP="00EA2AB2">
      <w:pPr>
        <w:autoSpaceDE w:val="0"/>
        <w:autoSpaceDN w:val="0"/>
        <w:adjustRightInd w:val="0"/>
        <w:spacing w:after="0"/>
        <w:ind w:right="566"/>
        <w:jc w:val="both"/>
        <w:rPr>
          <w:sz w:val="20"/>
          <w:lang w:val="de-DE"/>
        </w:rPr>
      </w:pPr>
    </w:p>
    <w:p w14:paraId="5CB9DD63" w14:textId="77777777" w:rsidR="00377B53" w:rsidRDefault="00377B53" w:rsidP="00EA2AB2">
      <w:pPr>
        <w:spacing w:after="0"/>
        <w:ind w:right="566"/>
        <w:jc w:val="both"/>
        <w:rPr>
          <w:sz w:val="20"/>
          <w:lang w:val="de-DE"/>
        </w:rPr>
      </w:pPr>
      <w:r w:rsidRPr="00377B53">
        <w:rPr>
          <w:sz w:val="20"/>
          <w:lang w:val="de-DE"/>
        </w:rPr>
        <w:t>1.</w:t>
      </w:r>
      <w:r>
        <w:rPr>
          <w:sz w:val="20"/>
          <w:lang w:val="de-DE"/>
        </w:rPr>
        <w:tab/>
      </w:r>
      <w:r w:rsidR="006F6522" w:rsidRPr="000B697D">
        <w:rPr>
          <w:sz w:val="20"/>
          <w:lang w:val="de-DE"/>
        </w:rPr>
        <w:t xml:space="preserve">Die </w:t>
      </w:r>
      <w:r w:rsidR="00D73CA6">
        <w:rPr>
          <w:sz w:val="20"/>
          <w:lang w:val="de-DE"/>
        </w:rPr>
        <w:t>elf</w:t>
      </w:r>
      <w:r w:rsidR="004F6F62" w:rsidRPr="000B697D">
        <w:rPr>
          <w:sz w:val="20"/>
          <w:lang w:val="de-DE"/>
        </w:rPr>
        <w:t>te</w:t>
      </w:r>
      <w:r w:rsidR="006F6522" w:rsidRPr="000B697D">
        <w:rPr>
          <w:sz w:val="20"/>
          <w:lang w:val="de-DE"/>
        </w:rPr>
        <w:t xml:space="preserve"> Sitzung der Informellen Arbeitsgruppe „Stoffe“ fand </w:t>
      </w:r>
      <w:r w:rsidR="00D73CA6">
        <w:rPr>
          <w:sz w:val="20"/>
          <w:lang w:val="de-DE"/>
        </w:rPr>
        <w:t>vo</w:t>
      </w:r>
      <w:r w:rsidR="006F6522" w:rsidRPr="000B697D">
        <w:rPr>
          <w:sz w:val="20"/>
          <w:lang w:val="de-DE"/>
        </w:rPr>
        <w:t xml:space="preserve">m </w:t>
      </w:r>
      <w:r w:rsidR="00D73CA6">
        <w:rPr>
          <w:sz w:val="20"/>
          <w:lang w:val="de-DE"/>
        </w:rPr>
        <w:t>13</w:t>
      </w:r>
      <w:r w:rsidR="00E24726" w:rsidRPr="000B697D">
        <w:rPr>
          <w:sz w:val="20"/>
          <w:lang w:val="de-DE"/>
        </w:rPr>
        <w:t xml:space="preserve">. </w:t>
      </w:r>
      <w:r w:rsidR="00D73CA6">
        <w:rPr>
          <w:sz w:val="20"/>
          <w:lang w:val="de-DE"/>
        </w:rPr>
        <w:t>bis</w:t>
      </w:r>
      <w:r w:rsidR="00E24726" w:rsidRPr="000B697D">
        <w:rPr>
          <w:sz w:val="20"/>
          <w:lang w:val="de-DE"/>
        </w:rPr>
        <w:t xml:space="preserve"> </w:t>
      </w:r>
      <w:r w:rsidR="00D73CA6">
        <w:rPr>
          <w:sz w:val="20"/>
          <w:lang w:val="de-DE"/>
        </w:rPr>
        <w:t>15</w:t>
      </w:r>
      <w:r w:rsidR="00E24726" w:rsidRPr="000B697D">
        <w:rPr>
          <w:sz w:val="20"/>
          <w:lang w:val="de-DE"/>
        </w:rPr>
        <w:t xml:space="preserve">. </w:t>
      </w:r>
      <w:r w:rsidR="00D73CA6">
        <w:rPr>
          <w:sz w:val="20"/>
          <w:lang w:val="de-DE"/>
        </w:rPr>
        <w:t>Mai</w:t>
      </w:r>
      <w:r w:rsidR="00E24726" w:rsidRPr="000B697D">
        <w:rPr>
          <w:sz w:val="20"/>
          <w:lang w:val="de-DE"/>
        </w:rPr>
        <w:t xml:space="preserve"> 20</w:t>
      </w:r>
      <w:r w:rsidR="006F6522" w:rsidRPr="000B697D">
        <w:rPr>
          <w:sz w:val="20"/>
          <w:lang w:val="de-DE"/>
        </w:rPr>
        <w:t>1</w:t>
      </w:r>
      <w:r w:rsidR="00D73CA6">
        <w:rPr>
          <w:sz w:val="20"/>
          <w:lang w:val="de-DE"/>
        </w:rPr>
        <w:t>9</w:t>
      </w:r>
      <w:r w:rsidR="006F6522" w:rsidRPr="000B697D">
        <w:rPr>
          <w:sz w:val="20"/>
          <w:lang w:val="de-DE"/>
        </w:rPr>
        <w:t xml:space="preserve"> </w:t>
      </w:r>
      <w:r w:rsidR="008E4E36">
        <w:rPr>
          <w:sz w:val="20"/>
          <w:lang w:val="de-DE"/>
        </w:rPr>
        <w:t xml:space="preserve">in </w:t>
      </w:r>
      <w:r w:rsidR="00D73CA6">
        <w:rPr>
          <w:sz w:val="20"/>
          <w:lang w:val="de-DE"/>
        </w:rPr>
        <w:t>Straßburg</w:t>
      </w:r>
      <w:r w:rsidR="008E4E36">
        <w:rPr>
          <w:sz w:val="20"/>
          <w:lang w:val="de-DE"/>
        </w:rPr>
        <w:t xml:space="preserve"> </w:t>
      </w:r>
      <w:r w:rsidR="00D73CA6" w:rsidRPr="000B697D">
        <w:rPr>
          <w:sz w:val="20"/>
          <w:lang w:val="de-DE"/>
        </w:rPr>
        <w:t>im Rheinpalais auf Einladung der Zentralkommission für Rheinschifffahrt (ZKR) statt.</w:t>
      </w:r>
    </w:p>
    <w:p w14:paraId="616F02D8" w14:textId="77777777" w:rsidR="00377B53" w:rsidRDefault="00377B53" w:rsidP="00EA2AB2">
      <w:pPr>
        <w:spacing w:after="0"/>
        <w:ind w:right="566"/>
        <w:jc w:val="both"/>
        <w:rPr>
          <w:sz w:val="20"/>
          <w:lang w:val="de-DE"/>
        </w:rPr>
      </w:pPr>
    </w:p>
    <w:p w14:paraId="7ACCF72D" w14:textId="192BB374" w:rsidR="00240A17" w:rsidRDefault="00670847" w:rsidP="00EA2AB2">
      <w:pPr>
        <w:spacing w:after="0"/>
        <w:ind w:right="566"/>
        <w:jc w:val="both"/>
        <w:rPr>
          <w:color w:val="000000"/>
          <w:sz w:val="20"/>
          <w:lang w:val="de-DE"/>
        </w:rPr>
      </w:pPr>
      <w:r>
        <w:rPr>
          <w:sz w:val="20"/>
          <w:lang w:val="de-DE"/>
        </w:rPr>
        <w:t>2.</w:t>
      </w:r>
      <w:r>
        <w:rPr>
          <w:sz w:val="20"/>
          <w:lang w:val="de-DE"/>
        </w:rPr>
        <w:tab/>
      </w:r>
      <w:r w:rsidR="00096154" w:rsidRPr="00FA519A">
        <w:rPr>
          <w:color w:val="000000"/>
          <w:sz w:val="20"/>
          <w:lang w:val="de-DE"/>
        </w:rPr>
        <w:t xml:space="preserve">Herr Krischok (Deutschland) </w:t>
      </w:r>
      <w:r w:rsidR="000151E1">
        <w:rPr>
          <w:color w:val="000000"/>
          <w:sz w:val="20"/>
          <w:lang w:val="de-DE"/>
        </w:rPr>
        <w:t>führte</w:t>
      </w:r>
      <w:r w:rsidR="00096154" w:rsidRPr="00FA519A">
        <w:rPr>
          <w:color w:val="000000"/>
          <w:sz w:val="20"/>
          <w:lang w:val="de-DE"/>
        </w:rPr>
        <w:t xml:space="preserve"> den Vorsitz und an der Sitzung nahmen Vertreter von Deutschland, </w:t>
      </w:r>
      <w:r w:rsidR="00FA519A">
        <w:rPr>
          <w:color w:val="000000"/>
          <w:sz w:val="20"/>
          <w:lang w:val="de-DE"/>
        </w:rPr>
        <w:t xml:space="preserve">von </w:t>
      </w:r>
      <w:r w:rsidR="00096154" w:rsidRPr="00FA519A">
        <w:rPr>
          <w:color w:val="000000"/>
          <w:sz w:val="20"/>
          <w:lang w:val="de-DE"/>
        </w:rPr>
        <w:t xml:space="preserve">den Niederlanden, </w:t>
      </w:r>
      <w:r w:rsidR="00FA519A">
        <w:rPr>
          <w:color w:val="000000"/>
          <w:sz w:val="20"/>
          <w:lang w:val="de-DE"/>
        </w:rPr>
        <w:t xml:space="preserve">vom </w:t>
      </w:r>
      <w:r w:rsidR="00FA519A" w:rsidRPr="00FA519A">
        <w:rPr>
          <w:color w:val="000000"/>
          <w:sz w:val="20"/>
          <w:lang w:val="de-DE"/>
        </w:rPr>
        <w:t>Europäische</w:t>
      </w:r>
      <w:r w:rsidR="004721EA">
        <w:rPr>
          <w:color w:val="000000"/>
          <w:sz w:val="20"/>
          <w:lang w:val="de-DE"/>
        </w:rPr>
        <w:t>n</w:t>
      </w:r>
      <w:r w:rsidR="00FA519A" w:rsidRPr="00FA519A">
        <w:rPr>
          <w:color w:val="000000"/>
          <w:sz w:val="20"/>
          <w:lang w:val="de-DE"/>
        </w:rPr>
        <w:t xml:space="preserve"> Rat der Chemischen Industrieverbände </w:t>
      </w:r>
      <w:r w:rsidR="00096154" w:rsidRPr="00FA519A">
        <w:rPr>
          <w:color w:val="000000"/>
          <w:sz w:val="20"/>
          <w:lang w:val="de-DE"/>
        </w:rPr>
        <w:t xml:space="preserve">(CEFIC), </w:t>
      </w:r>
      <w:r w:rsidR="00FA519A">
        <w:rPr>
          <w:color w:val="000000"/>
          <w:sz w:val="20"/>
          <w:lang w:val="de-DE"/>
        </w:rPr>
        <w:t xml:space="preserve">von </w:t>
      </w:r>
      <w:r w:rsidR="00FA519A" w:rsidRPr="00FA519A">
        <w:rPr>
          <w:color w:val="000000"/>
          <w:sz w:val="20"/>
          <w:lang w:val="de-DE"/>
        </w:rPr>
        <w:t>der Europäischen Binnenschifffahrts</w:t>
      </w:r>
      <w:r w:rsidR="002B75F4">
        <w:rPr>
          <w:color w:val="000000"/>
          <w:sz w:val="20"/>
          <w:lang w:val="de-DE"/>
        </w:rPr>
        <w:t>-</w:t>
      </w:r>
      <w:r w:rsidR="00FA519A" w:rsidRPr="00FA519A">
        <w:rPr>
          <w:color w:val="000000"/>
          <w:sz w:val="20"/>
          <w:lang w:val="de-DE"/>
        </w:rPr>
        <w:t>Union</w:t>
      </w:r>
      <w:r w:rsidR="00096154" w:rsidRPr="00AF7C6A">
        <w:rPr>
          <w:color w:val="000000"/>
          <w:sz w:val="20"/>
          <w:lang w:val="de-DE"/>
        </w:rPr>
        <w:t xml:space="preserve"> (EBU</w:t>
      </w:r>
      <w:r w:rsidR="00096154" w:rsidRPr="00D73CA6">
        <w:rPr>
          <w:sz w:val="20"/>
          <w:lang w:val="de-DE"/>
        </w:rPr>
        <w:t>)</w:t>
      </w:r>
      <w:r w:rsidR="003913F8" w:rsidRPr="00D73CA6">
        <w:rPr>
          <w:sz w:val="20"/>
          <w:lang w:val="de-DE"/>
        </w:rPr>
        <w:t>, von der European Skipper Organisation (ESO)</w:t>
      </w:r>
      <w:r w:rsidR="00D73CA6">
        <w:rPr>
          <w:sz w:val="20"/>
          <w:lang w:val="de-DE"/>
        </w:rPr>
        <w:t>,</w:t>
      </w:r>
      <w:r w:rsidR="003913F8" w:rsidRPr="00D73CA6">
        <w:rPr>
          <w:sz w:val="20"/>
          <w:lang w:val="de-DE"/>
        </w:rPr>
        <w:t xml:space="preserve"> </w:t>
      </w:r>
      <w:r w:rsidR="00C01430">
        <w:rPr>
          <w:color w:val="000000"/>
          <w:sz w:val="20"/>
          <w:lang w:val="de-DE"/>
        </w:rPr>
        <w:t xml:space="preserve">von </w:t>
      </w:r>
      <w:proofErr w:type="spellStart"/>
      <w:r w:rsidR="00B227FA">
        <w:rPr>
          <w:color w:val="000000"/>
          <w:sz w:val="20"/>
          <w:lang w:val="de-DE"/>
        </w:rPr>
        <w:t>FuelsEurope</w:t>
      </w:r>
      <w:proofErr w:type="spellEnd"/>
      <w:r w:rsidR="003D0C6D" w:rsidRPr="00FA519A">
        <w:rPr>
          <w:color w:val="000000"/>
          <w:sz w:val="20"/>
          <w:lang w:val="de-DE"/>
        </w:rPr>
        <w:t xml:space="preserve"> </w:t>
      </w:r>
      <w:r w:rsidR="00D73CA6">
        <w:rPr>
          <w:color w:val="000000"/>
          <w:sz w:val="20"/>
          <w:lang w:val="de-DE"/>
        </w:rPr>
        <w:t xml:space="preserve">und von den anerkannten Klassifikationsgesellschaften </w:t>
      </w:r>
      <w:r w:rsidR="00096154" w:rsidRPr="00FA519A">
        <w:rPr>
          <w:color w:val="000000"/>
          <w:sz w:val="20"/>
          <w:lang w:val="de-DE"/>
        </w:rPr>
        <w:t>teil.</w:t>
      </w:r>
    </w:p>
    <w:p w14:paraId="243369F8" w14:textId="77777777" w:rsidR="00240A17" w:rsidRDefault="00240A17" w:rsidP="00EA2AB2">
      <w:pPr>
        <w:spacing w:after="0"/>
        <w:ind w:right="566"/>
        <w:jc w:val="both"/>
        <w:rPr>
          <w:color w:val="000000"/>
          <w:sz w:val="20"/>
          <w:lang w:val="de-DE"/>
        </w:rPr>
      </w:pPr>
    </w:p>
    <w:p w14:paraId="637502DE" w14:textId="77777777" w:rsidR="00FC7353" w:rsidRDefault="00FC7353" w:rsidP="00EA2AB2">
      <w:pPr>
        <w:spacing w:after="0"/>
        <w:ind w:right="566"/>
        <w:jc w:val="both"/>
        <w:rPr>
          <w:b/>
          <w:szCs w:val="24"/>
          <w:lang w:val="de-DE"/>
        </w:rPr>
      </w:pPr>
    </w:p>
    <w:p w14:paraId="1AFBEC32" w14:textId="77777777" w:rsidR="00BB27CA" w:rsidRPr="00FC7353" w:rsidRDefault="00BB27CA" w:rsidP="00EA2AB2">
      <w:pPr>
        <w:spacing w:after="0"/>
        <w:ind w:right="566"/>
        <w:jc w:val="both"/>
        <w:rPr>
          <w:b/>
          <w:szCs w:val="24"/>
          <w:lang w:val="de-DE"/>
        </w:rPr>
      </w:pPr>
      <w:r w:rsidRPr="00FC7353">
        <w:rPr>
          <w:b/>
          <w:szCs w:val="24"/>
          <w:lang w:val="de-DE"/>
        </w:rPr>
        <w:t>Ergebnisse</w:t>
      </w:r>
    </w:p>
    <w:p w14:paraId="4DA10312" w14:textId="77777777" w:rsidR="00BB27CA" w:rsidRPr="000B697D" w:rsidRDefault="00BB27CA" w:rsidP="00EA2AB2">
      <w:pPr>
        <w:spacing w:after="0"/>
        <w:ind w:right="566"/>
        <w:jc w:val="both"/>
        <w:rPr>
          <w:sz w:val="20"/>
          <w:lang w:val="de-DE"/>
        </w:rPr>
      </w:pPr>
    </w:p>
    <w:p w14:paraId="34FF9944" w14:textId="77777777" w:rsidR="001B478E" w:rsidRPr="000B697D" w:rsidRDefault="00521D94" w:rsidP="00EA2AB2">
      <w:pPr>
        <w:spacing w:after="0"/>
        <w:ind w:right="566"/>
        <w:jc w:val="both"/>
        <w:rPr>
          <w:sz w:val="20"/>
          <w:lang w:val="de-DE"/>
        </w:rPr>
      </w:pPr>
      <w:r>
        <w:rPr>
          <w:sz w:val="20"/>
          <w:lang w:val="de-DE"/>
        </w:rPr>
        <w:t>3</w:t>
      </w:r>
      <w:r w:rsidR="00AF42C7" w:rsidRPr="000B697D">
        <w:rPr>
          <w:sz w:val="20"/>
          <w:lang w:val="de-DE"/>
        </w:rPr>
        <w:t xml:space="preserve">. </w:t>
      </w:r>
      <w:r w:rsidR="00AF42C7" w:rsidRPr="000B697D">
        <w:rPr>
          <w:sz w:val="20"/>
          <w:lang w:val="de-DE"/>
        </w:rPr>
        <w:tab/>
      </w:r>
      <w:r w:rsidR="00BB27CA" w:rsidRPr="000B697D">
        <w:rPr>
          <w:bCs/>
          <w:sz w:val="20"/>
          <w:lang w:val="de-DE"/>
        </w:rPr>
        <w:t>Entsprechend dem Mandat des Sicherheitsausschusses befasste sich die Gruppe mit folgenden Themen:</w:t>
      </w:r>
    </w:p>
    <w:p w14:paraId="4CA7835E" w14:textId="77777777" w:rsidR="00986F59" w:rsidRDefault="00986F59" w:rsidP="00EA2AB2">
      <w:pPr>
        <w:spacing w:after="0"/>
        <w:ind w:right="566"/>
        <w:jc w:val="both"/>
        <w:rPr>
          <w:b/>
          <w:sz w:val="20"/>
          <w:lang w:val="de-DE"/>
        </w:rPr>
      </w:pPr>
    </w:p>
    <w:p w14:paraId="516799CB" w14:textId="77777777" w:rsidR="001F4AD7" w:rsidRPr="00E62169" w:rsidRDefault="004B1341" w:rsidP="00EA2AB2">
      <w:pPr>
        <w:spacing w:after="0"/>
        <w:ind w:left="570" w:right="566" w:hanging="570"/>
        <w:jc w:val="both"/>
        <w:rPr>
          <w:b/>
          <w:szCs w:val="24"/>
          <w:lang w:val="de-DE"/>
        </w:rPr>
      </w:pPr>
      <w:r w:rsidRPr="00E62169">
        <w:rPr>
          <w:b/>
          <w:szCs w:val="24"/>
          <w:lang w:val="de-DE"/>
        </w:rPr>
        <w:t>A.</w:t>
      </w:r>
      <w:r w:rsidRPr="00E62169">
        <w:rPr>
          <w:b/>
          <w:szCs w:val="24"/>
          <w:lang w:val="de-DE"/>
        </w:rPr>
        <w:tab/>
      </w:r>
      <w:r w:rsidR="00D73CA6" w:rsidRPr="00E62169">
        <w:rPr>
          <w:b/>
          <w:bCs/>
          <w:szCs w:val="24"/>
          <w:lang w:val="de-DE"/>
        </w:rPr>
        <w:t>Master-Tabelle</w:t>
      </w:r>
    </w:p>
    <w:p w14:paraId="0E83E920" w14:textId="77777777" w:rsidR="00B64AF3" w:rsidRDefault="00B64AF3" w:rsidP="00EA2AB2">
      <w:pPr>
        <w:spacing w:after="0"/>
        <w:ind w:right="566"/>
        <w:jc w:val="both"/>
        <w:rPr>
          <w:sz w:val="20"/>
          <w:lang w:val="de-DE"/>
        </w:rPr>
      </w:pPr>
    </w:p>
    <w:p w14:paraId="75932512" w14:textId="2596BC87" w:rsidR="00381341" w:rsidRDefault="00521D94" w:rsidP="00EA2AB2">
      <w:pPr>
        <w:spacing w:after="0"/>
        <w:ind w:right="566"/>
        <w:jc w:val="both"/>
        <w:rPr>
          <w:sz w:val="20"/>
          <w:lang w:val="de-DE"/>
        </w:rPr>
      </w:pPr>
      <w:r>
        <w:rPr>
          <w:sz w:val="20"/>
          <w:lang w:val="de-DE"/>
        </w:rPr>
        <w:t>4</w:t>
      </w:r>
      <w:r w:rsidR="00830E22">
        <w:rPr>
          <w:sz w:val="20"/>
          <w:lang w:val="de-DE"/>
        </w:rPr>
        <w:t>.</w:t>
      </w:r>
      <w:r w:rsidR="00830E22">
        <w:rPr>
          <w:sz w:val="20"/>
          <w:lang w:val="de-DE"/>
        </w:rPr>
        <w:tab/>
      </w:r>
      <w:r w:rsidR="00F2387B">
        <w:rPr>
          <w:sz w:val="20"/>
          <w:lang w:val="de-DE"/>
        </w:rPr>
        <w:t>Die informelle Arbeitsgruppe „</w:t>
      </w:r>
      <w:r w:rsidR="00F2387B" w:rsidRPr="00F2387B">
        <w:rPr>
          <w:sz w:val="20"/>
          <w:lang w:val="de-DE"/>
        </w:rPr>
        <w:t>Stoffe</w:t>
      </w:r>
      <w:r w:rsidR="00F2387B">
        <w:rPr>
          <w:sz w:val="20"/>
          <w:lang w:val="de-DE"/>
        </w:rPr>
        <w:t>“</w:t>
      </w:r>
      <w:r w:rsidR="00F2387B" w:rsidRPr="00F2387B">
        <w:rPr>
          <w:sz w:val="20"/>
          <w:lang w:val="de-DE"/>
        </w:rPr>
        <w:t xml:space="preserve"> </w:t>
      </w:r>
      <w:r w:rsidR="00F2387B">
        <w:rPr>
          <w:sz w:val="20"/>
          <w:lang w:val="de-DE"/>
        </w:rPr>
        <w:t>erhielt</w:t>
      </w:r>
      <w:r w:rsidR="00F2387B" w:rsidRPr="00F2387B">
        <w:rPr>
          <w:sz w:val="20"/>
          <w:lang w:val="de-DE"/>
        </w:rPr>
        <w:t xml:space="preserve"> vom Sicherheitsausschuss den Auftrag, </w:t>
      </w:r>
      <w:r w:rsidR="00381341">
        <w:rPr>
          <w:sz w:val="20"/>
          <w:lang w:val="de-DE"/>
        </w:rPr>
        <w:t xml:space="preserve">einen Vorschlag zu unterbreiten, wie </w:t>
      </w:r>
      <w:r w:rsidR="00F2387B" w:rsidRPr="00F2387B">
        <w:rPr>
          <w:sz w:val="20"/>
          <w:lang w:val="de-DE"/>
        </w:rPr>
        <w:t xml:space="preserve">Unstimmigkeiten in den Benennungen und Beschreibungen in den Tabellen A und C </w:t>
      </w:r>
      <w:r w:rsidR="00F2387B">
        <w:rPr>
          <w:sz w:val="20"/>
          <w:lang w:val="de-DE"/>
        </w:rPr>
        <w:t>einschließlich</w:t>
      </w:r>
      <w:r w:rsidR="00F2387B" w:rsidRPr="00F2387B">
        <w:rPr>
          <w:sz w:val="20"/>
          <w:lang w:val="de-DE"/>
        </w:rPr>
        <w:t xml:space="preserve"> der verschiedenen Sprachfassungen des ADN, wie sie in einer Reihe von Einzelfällen immer wieder zu Tage treten, nach Möglichkeit </w:t>
      </w:r>
      <w:r w:rsidR="00381341">
        <w:rPr>
          <w:sz w:val="20"/>
          <w:lang w:val="de-DE"/>
        </w:rPr>
        <w:t>vermieden werden können</w:t>
      </w:r>
      <w:r w:rsidR="00F2387B" w:rsidRPr="00F2387B">
        <w:rPr>
          <w:sz w:val="20"/>
          <w:lang w:val="de-DE"/>
        </w:rPr>
        <w:t>.</w:t>
      </w:r>
      <w:r w:rsidR="00F2387B">
        <w:rPr>
          <w:sz w:val="20"/>
          <w:lang w:val="de-DE"/>
        </w:rPr>
        <w:t xml:space="preserve"> Für diesen Zweck wurde eine sogenannte „Master-Tabelle“ vorgestellt. </w:t>
      </w:r>
      <w:r w:rsidR="00F2387B" w:rsidRPr="00F2387B">
        <w:rPr>
          <w:sz w:val="20"/>
          <w:lang w:val="de-DE"/>
        </w:rPr>
        <w:t>In d</w:t>
      </w:r>
      <w:r w:rsidR="00F2387B">
        <w:rPr>
          <w:sz w:val="20"/>
          <w:lang w:val="de-DE"/>
        </w:rPr>
        <w:t>ies</w:t>
      </w:r>
      <w:r w:rsidR="00F2387B" w:rsidRPr="00F2387B">
        <w:rPr>
          <w:sz w:val="20"/>
          <w:lang w:val="de-DE"/>
        </w:rPr>
        <w:t xml:space="preserve">er </w:t>
      </w:r>
      <w:r w:rsidR="001045F3">
        <w:rPr>
          <w:sz w:val="20"/>
          <w:lang w:val="de-DE"/>
        </w:rPr>
        <w:t>E</w:t>
      </w:r>
      <w:r w:rsidR="00F2387B" w:rsidRPr="00F2387B">
        <w:rPr>
          <w:sz w:val="20"/>
          <w:lang w:val="de-DE"/>
        </w:rPr>
        <w:t xml:space="preserve">xcel-Tabelle </w:t>
      </w:r>
      <w:r w:rsidR="00F2387B">
        <w:rPr>
          <w:sz w:val="20"/>
          <w:lang w:val="de-DE"/>
        </w:rPr>
        <w:t>wurden</w:t>
      </w:r>
      <w:r w:rsidR="00F2387B" w:rsidRPr="00F2387B">
        <w:rPr>
          <w:sz w:val="20"/>
          <w:lang w:val="de-DE"/>
        </w:rPr>
        <w:t xml:space="preserve"> die Tabellen A und C </w:t>
      </w:r>
      <w:r w:rsidR="00381341" w:rsidRPr="00F2387B">
        <w:rPr>
          <w:sz w:val="20"/>
          <w:lang w:val="de-DE"/>
        </w:rPr>
        <w:t xml:space="preserve">aus dem ADN 2019 </w:t>
      </w:r>
      <w:r w:rsidR="00F2387B" w:rsidRPr="00F2387B">
        <w:rPr>
          <w:sz w:val="20"/>
          <w:lang w:val="de-DE"/>
        </w:rPr>
        <w:t xml:space="preserve">aller vier Sprachfassungen zusammengefasst. Zusätzlich </w:t>
      </w:r>
      <w:r w:rsidR="00F2387B">
        <w:rPr>
          <w:sz w:val="20"/>
          <w:lang w:val="de-DE"/>
        </w:rPr>
        <w:t>wurden</w:t>
      </w:r>
      <w:r w:rsidR="00F2387B" w:rsidRPr="00F2387B">
        <w:rPr>
          <w:sz w:val="20"/>
          <w:lang w:val="de-DE"/>
        </w:rPr>
        <w:t xml:space="preserve"> für die Master-Tab</w:t>
      </w:r>
      <w:r w:rsidR="00F2387B">
        <w:rPr>
          <w:sz w:val="20"/>
          <w:lang w:val="de-DE"/>
        </w:rPr>
        <w:t>e</w:t>
      </w:r>
      <w:r w:rsidR="00F2387B" w:rsidRPr="00F2387B">
        <w:rPr>
          <w:sz w:val="20"/>
          <w:lang w:val="de-DE"/>
        </w:rPr>
        <w:t>l</w:t>
      </w:r>
      <w:r w:rsidR="00F2387B">
        <w:rPr>
          <w:sz w:val="20"/>
          <w:lang w:val="de-DE"/>
        </w:rPr>
        <w:t>l</w:t>
      </w:r>
      <w:r w:rsidR="00F2387B" w:rsidRPr="00F2387B">
        <w:rPr>
          <w:sz w:val="20"/>
          <w:lang w:val="de-DE"/>
        </w:rPr>
        <w:t xml:space="preserve">e insgesamt und für jede einzelne der acht Tabellen Schlüsselfelder </w:t>
      </w:r>
      <w:r w:rsidR="00381341">
        <w:rPr>
          <w:sz w:val="20"/>
          <w:lang w:val="de-DE"/>
        </w:rPr>
        <w:t xml:space="preserve">für eine eineindeutige Identifizierung der Einträge </w:t>
      </w:r>
      <w:r w:rsidR="00F2387B" w:rsidRPr="00F2387B">
        <w:rPr>
          <w:sz w:val="20"/>
          <w:lang w:val="de-DE"/>
        </w:rPr>
        <w:t xml:space="preserve">eingerichtet. Am Ende der Tabelle finden </w:t>
      </w:r>
      <w:r w:rsidR="00381341">
        <w:rPr>
          <w:sz w:val="20"/>
          <w:lang w:val="de-DE"/>
        </w:rPr>
        <w:t>sich</w:t>
      </w:r>
      <w:r w:rsidR="00F2387B" w:rsidRPr="00F2387B">
        <w:rPr>
          <w:sz w:val="20"/>
          <w:lang w:val="de-DE"/>
        </w:rPr>
        <w:t xml:space="preserve"> </w:t>
      </w:r>
      <w:r w:rsidR="00381341">
        <w:rPr>
          <w:sz w:val="20"/>
          <w:lang w:val="de-DE"/>
        </w:rPr>
        <w:t xml:space="preserve">zusätzliche </w:t>
      </w:r>
      <w:r w:rsidR="00F2387B" w:rsidRPr="00F2387B">
        <w:rPr>
          <w:sz w:val="20"/>
          <w:lang w:val="de-DE"/>
        </w:rPr>
        <w:t>Spalten, die es gestatten, die Übereinstimmung von UN-</w:t>
      </w:r>
      <w:r w:rsidR="00381341">
        <w:rPr>
          <w:sz w:val="20"/>
          <w:lang w:val="de-DE"/>
        </w:rPr>
        <w:t>/Stoff-</w:t>
      </w:r>
      <w:r w:rsidR="00F2387B" w:rsidRPr="00F2387B">
        <w:rPr>
          <w:sz w:val="20"/>
          <w:lang w:val="de-DE"/>
        </w:rPr>
        <w:t xml:space="preserve">Nummern und Verpackungsgruppen aufeinanderfolgender Zeilen </w:t>
      </w:r>
      <w:r w:rsidR="00381341">
        <w:rPr>
          <w:sz w:val="20"/>
          <w:lang w:val="de-DE"/>
        </w:rPr>
        <w:t>und die Übereinstimmung der UN-/Stoff-Nummern in einer Zeile über alle Tabellen zu überprüfen</w:t>
      </w:r>
      <w:r w:rsidR="00F2387B" w:rsidRPr="00F2387B">
        <w:rPr>
          <w:sz w:val="20"/>
          <w:lang w:val="de-DE"/>
        </w:rPr>
        <w:t>.</w:t>
      </w:r>
    </w:p>
    <w:p w14:paraId="29022970" w14:textId="77777777" w:rsidR="000610FB" w:rsidRDefault="000610FB" w:rsidP="00EA2AB2">
      <w:pPr>
        <w:spacing w:after="0"/>
        <w:ind w:right="566"/>
        <w:jc w:val="both"/>
        <w:rPr>
          <w:sz w:val="20"/>
          <w:lang w:val="de-DE"/>
        </w:rPr>
      </w:pPr>
    </w:p>
    <w:p w14:paraId="15AC979D" w14:textId="5A5EBEDE" w:rsidR="00972E2E" w:rsidRDefault="002D533B" w:rsidP="00EA2AB2">
      <w:pPr>
        <w:spacing w:after="0"/>
        <w:ind w:right="566"/>
        <w:jc w:val="both"/>
        <w:rPr>
          <w:sz w:val="20"/>
          <w:lang w:val="de-DE"/>
        </w:rPr>
      </w:pPr>
      <w:r>
        <w:rPr>
          <w:sz w:val="20"/>
          <w:lang w:val="de-DE"/>
        </w:rPr>
        <w:t>5.</w:t>
      </w:r>
      <w:r>
        <w:rPr>
          <w:sz w:val="20"/>
          <w:lang w:val="de-DE"/>
        </w:rPr>
        <w:tab/>
        <w:t>I</w:t>
      </w:r>
      <w:r w:rsidR="007D7CCC">
        <w:rPr>
          <w:sz w:val="20"/>
          <w:lang w:val="de-DE"/>
        </w:rPr>
        <w:t>n</w:t>
      </w:r>
      <w:r>
        <w:rPr>
          <w:sz w:val="20"/>
          <w:lang w:val="de-DE"/>
        </w:rPr>
        <w:t xml:space="preserve"> einer solchen „Master-Tabelle“ sind Unstimmigkeiten zwischen den Tabellen A und C sowie </w:t>
      </w:r>
      <w:proofErr w:type="gramStart"/>
      <w:r w:rsidR="007D7CCC">
        <w:rPr>
          <w:sz w:val="20"/>
          <w:lang w:val="de-DE"/>
        </w:rPr>
        <w:t>zwischen den einzelnen Sprachfassung</w:t>
      </w:r>
      <w:proofErr w:type="gramEnd"/>
      <w:r w:rsidR="007D7CCC">
        <w:rPr>
          <w:sz w:val="20"/>
          <w:lang w:val="de-DE"/>
        </w:rPr>
        <w:t xml:space="preserve"> leicht zu erkennen und zu beseitigen. Unter der Voraussetzung, dass Änderungen, Ergänzungen und Streichungen ausschließlich in dieser „Master-Tabelle“ erfolgen, können </w:t>
      </w:r>
      <w:r w:rsidR="000610FB">
        <w:rPr>
          <w:sz w:val="20"/>
          <w:lang w:val="de-DE"/>
        </w:rPr>
        <w:t xml:space="preserve">auf einfache Art und Weise </w:t>
      </w:r>
      <w:r w:rsidR="007D7CCC">
        <w:rPr>
          <w:sz w:val="20"/>
          <w:lang w:val="de-DE"/>
        </w:rPr>
        <w:t>die harmonisierten Tabellen A und C der einzelnen Sprachfassungen als Auszug aus der „Master-Tabelle“ generiert werden.</w:t>
      </w:r>
      <w:r w:rsidR="00F9170C">
        <w:rPr>
          <w:sz w:val="20"/>
          <w:lang w:val="de-DE"/>
        </w:rPr>
        <w:t xml:space="preserve"> Einer Erweiterung auf </w:t>
      </w:r>
      <w:r w:rsidR="00ED1805">
        <w:rPr>
          <w:sz w:val="20"/>
          <w:lang w:val="de-DE"/>
        </w:rPr>
        <w:t xml:space="preserve">zusätzliche Sprachen ist ohne </w:t>
      </w:r>
      <w:r w:rsidR="001D4FA8">
        <w:rPr>
          <w:sz w:val="20"/>
          <w:lang w:val="de-DE"/>
        </w:rPr>
        <w:t>w</w:t>
      </w:r>
      <w:r w:rsidR="00ED1805">
        <w:rPr>
          <w:sz w:val="20"/>
          <w:lang w:val="de-DE"/>
        </w:rPr>
        <w:t>eiteres möglich.</w:t>
      </w:r>
    </w:p>
    <w:p w14:paraId="5FC98966" w14:textId="77777777" w:rsidR="00E62169" w:rsidRDefault="00E62169" w:rsidP="00EA2AB2">
      <w:pPr>
        <w:spacing w:after="0"/>
        <w:ind w:right="566"/>
        <w:jc w:val="both"/>
        <w:rPr>
          <w:sz w:val="20"/>
          <w:lang w:val="de-DE"/>
        </w:rPr>
      </w:pPr>
    </w:p>
    <w:p w14:paraId="19412F10" w14:textId="5812AED2" w:rsidR="001D4FA8" w:rsidRDefault="000610FB" w:rsidP="00EA2AB2">
      <w:pPr>
        <w:spacing w:after="0"/>
        <w:ind w:right="566"/>
        <w:jc w:val="both"/>
        <w:rPr>
          <w:sz w:val="20"/>
          <w:lang w:val="de-DE"/>
        </w:rPr>
      </w:pPr>
      <w:r>
        <w:rPr>
          <w:sz w:val="20"/>
          <w:lang w:val="de-DE"/>
        </w:rPr>
        <w:t>6.</w:t>
      </w:r>
      <w:r>
        <w:rPr>
          <w:sz w:val="20"/>
          <w:lang w:val="de-DE"/>
        </w:rPr>
        <w:tab/>
      </w:r>
      <w:r w:rsidR="00F9170C">
        <w:rPr>
          <w:sz w:val="20"/>
          <w:lang w:val="de-DE"/>
        </w:rPr>
        <w:t xml:space="preserve">Die Informelle Arbeitsgruppe kommt zu dem Schluss, dass die Anwendung einer solchen Tabelle ein geeignetes internes Hilfsmittel sein kann, um künftig Abweichungen zwischen den </w:t>
      </w:r>
      <w:r w:rsidR="00ED1805">
        <w:rPr>
          <w:sz w:val="20"/>
          <w:lang w:val="de-DE"/>
        </w:rPr>
        <w:t xml:space="preserve">einzelnen </w:t>
      </w:r>
      <w:r w:rsidR="00F9170C">
        <w:rPr>
          <w:sz w:val="20"/>
          <w:lang w:val="de-DE"/>
        </w:rPr>
        <w:t>Tabellen und den Sprachfassungen weitgehend zu vermeiden.</w:t>
      </w:r>
    </w:p>
    <w:p w14:paraId="74B74829" w14:textId="77777777" w:rsidR="001D4FA8" w:rsidRDefault="001D4FA8" w:rsidP="00EA2AB2">
      <w:pPr>
        <w:spacing w:after="0"/>
        <w:ind w:right="566"/>
        <w:jc w:val="both"/>
        <w:rPr>
          <w:sz w:val="20"/>
          <w:lang w:val="de-DE"/>
        </w:rPr>
      </w:pPr>
    </w:p>
    <w:p w14:paraId="36583472" w14:textId="77777777" w:rsidR="001D4FA8" w:rsidRDefault="001D4FA8" w:rsidP="00EA2AB2">
      <w:pPr>
        <w:spacing w:after="0"/>
        <w:ind w:right="566"/>
        <w:jc w:val="both"/>
        <w:rPr>
          <w:sz w:val="20"/>
          <w:lang w:val="de-DE"/>
        </w:rPr>
      </w:pPr>
    </w:p>
    <w:p w14:paraId="70E0D473" w14:textId="77777777" w:rsidR="003A142E" w:rsidRPr="00E62169" w:rsidRDefault="009154DE" w:rsidP="00EA2AB2">
      <w:pPr>
        <w:spacing w:after="0"/>
        <w:ind w:right="566"/>
        <w:jc w:val="both"/>
        <w:rPr>
          <w:b/>
          <w:szCs w:val="24"/>
          <w:lang w:val="de-DE"/>
        </w:rPr>
      </w:pPr>
      <w:r w:rsidRPr="00E62169">
        <w:rPr>
          <w:b/>
          <w:szCs w:val="24"/>
          <w:lang w:val="de-DE"/>
        </w:rPr>
        <w:lastRenderedPageBreak/>
        <w:t>B.</w:t>
      </w:r>
      <w:r w:rsidRPr="00E62169">
        <w:rPr>
          <w:b/>
          <w:szCs w:val="24"/>
          <w:lang w:val="de-DE"/>
        </w:rPr>
        <w:tab/>
        <w:t>Erwärmt zur Beförderung aufgegebene Stoffe - Benennung und Beschreibung</w:t>
      </w:r>
    </w:p>
    <w:p w14:paraId="7C433436" w14:textId="77777777" w:rsidR="00B64AF3" w:rsidRDefault="00B64AF3" w:rsidP="00EA2AB2">
      <w:pPr>
        <w:spacing w:after="0"/>
        <w:ind w:right="566"/>
        <w:jc w:val="both"/>
        <w:rPr>
          <w:sz w:val="20"/>
          <w:lang w:val="de-DE"/>
        </w:rPr>
      </w:pPr>
    </w:p>
    <w:p w14:paraId="3937064F" w14:textId="0012F30B" w:rsidR="009154DE" w:rsidRDefault="009154DE" w:rsidP="00EA2AB2">
      <w:pPr>
        <w:spacing w:after="0"/>
        <w:ind w:right="566"/>
        <w:jc w:val="both"/>
        <w:rPr>
          <w:sz w:val="20"/>
          <w:lang w:val="de-DE"/>
        </w:rPr>
      </w:pPr>
      <w:r>
        <w:rPr>
          <w:sz w:val="20"/>
          <w:lang w:val="de-DE"/>
        </w:rPr>
        <w:t>7.</w:t>
      </w:r>
      <w:r>
        <w:rPr>
          <w:sz w:val="20"/>
          <w:lang w:val="de-DE"/>
        </w:rPr>
        <w:tab/>
      </w:r>
      <w:r w:rsidR="00652D14">
        <w:rPr>
          <w:sz w:val="20"/>
          <w:lang w:val="de-DE"/>
        </w:rPr>
        <w:t xml:space="preserve">In der Diskussion </w:t>
      </w:r>
      <w:r w:rsidR="004057E4">
        <w:rPr>
          <w:sz w:val="20"/>
          <w:lang w:val="de-DE"/>
        </w:rPr>
        <w:t xml:space="preserve">des deutschen Dokuments </w:t>
      </w:r>
      <w:r w:rsidR="00C72780" w:rsidRPr="00C72780">
        <w:rPr>
          <w:sz w:val="20"/>
          <w:lang w:val="de-DE"/>
        </w:rPr>
        <w:t>ECE/TRANS/WP.15/AC.2/</w:t>
      </w:r>
      <w:r w:rsidR="004057E4">
        <w:rPr>
          <w:sz w:val="20"/>
          <w:lang w:val="de-DE"/>
        </w:rPr>
        <w:t xml:space="preserve">2018/29 sowie des dazu vom Sekretariat eingereichten informellen Dokuments INF.19 </w:t>
      </w:r>
      <w:r w:rsidR="00652D14">
        <w:rPr>
          <w:sz w:val="20"/>
          <w:lang w:val="de-DE"/>
        </w:rPr>
        <w:t>kam die Gruppe zu folgenden Ergebnissen:</w:t>
      </w:r>
    </w:p>
    <w:p w14:paraId="241D1752" w14:textId="77777777" w:rsidR="00652D14" w:rsidRDefault="001E3F60" w:rsidP="0047150B">
      <w:pPr>
        <w:pStyle w:val="ListParagraph"/>
        <w:numPr>
          <w:ilvl w:val="0"/>
          <w:numId w:val="27"/>
        </w:numPr>
        <w:spacing w:before="60" w:after="0"/>
        <w:ind w:left="924" w:right="566" w:hanging="357"/>
        <w:jc w:val="both"/>
        <w:rPr>
          <w:sz w:val="20"/>
          <w:lang w:val="de-DE"/>
        </w:rPr>
      </w:pPr>
      <w:r>
        <w:rPr>
          <w:sz w:val="20"/>
          <w:lang w:val="de-DE"/>
        </w:rPr>
        <w:t>Wie üblich sollte d</w:t>
      </w:r>
      <w:r w:rsidR="00652D14">
        <w:rPr>
          <w:sz w:val="20"/>
          <w:lang w:val="de-DE"/>
        </w:rPr>
        <w:t>er Singular verwendet werden.</w:t>
      </w:r>
    </w:p>
    <w:p w14:paraId="0B147CFC" w14:textId="77777777" w:rsidR="00652D14" w:rsidRDefault="00652D14" w:rsidP="0047150B">
      <w:pPr>
        <w:pStyle w:val="ListParagraph"/>
        <w:numPr>
          <w:ilvl w:val="0"/>
          <w:numId w:val="27"/>
        </w:numPr>
        <w:spacing w:before="60" w:after="0"/>
        <w:ind w:left="924" w:right="566" w:hanging="357"/>
        <w:jc w:val="both"/>
        <w:rPr>
          <w:sz w:val="20"/>
          <w:lang w:val="de-DE"/>
        </w:rPr>
      </w:pPr>
      <w:r>
        <w:rPr>
          <w:sz w:val="20"/>
          <w:lang w:val="de-DE"/>
        </w:rPr>
        <w:t>In der englischen Fassung kann auf „</w:t>
      </w:r>
      <w:proofErr w:type="spellStart"/>
      <w:r>
        <w:rPr>
          <w:sz w:val="20"/>
          <w:lang w:val="de-DE"/>
        </w:rPr>
        <w:t>limiting</w:t>
      </w:r>
      <w:proofErr w:type="spellEnd"/>
      <w:r>
        <w:rPr>
          <w:sz w:val="20"/>
          <w:lang w:val="de-DE"/>
        </w:rPr>
        <w:t xml:space="preserve">“ verzichtet werden, da ein Bereich immer </w:t>
      </w:r>
      <w:r w:rsidR="001E3F60">
        <w:rPr>
          <w:sz w:val="20"/>
          <w:lang w:val="de-DE"/>
        </w:rPr>
        <w:t>eine Begrenzung</w:t>
      </w:r>
      <w:r>
        <w:rPr>
          <w:sz w:val="20"/>
          <w:lang w:val="de-DE"/>
        </w:rPr>
        <w:t xml:space="preserve"> ist.</w:t>
      </w:r>
    </w:p>
    <w:p w14:paraId="2C0B7B02" w14:textId="77777777" w:rsidR="00652D14" w:rsidRDefault="00A91E45" w:rsidP="0047150B">
      <w:pPr>
        <w:pStyle w:val="ListParagraph"/>
        <w:numPr>
          <w:ilvl w:val="0"/>
          <w:numId w:val="27"/>
        </w:numPr>
        <w:spacing w:before="60" w:after="0"/>
        <w:ind w:left="924" w:right="566" w:hanging="357"/>
        <w:jc w:val="both"/>
        <w:rPr>
          <w:sz w:val="20"/>
          <w:lang w:val="de-DE"/>
        </w:rPr>
      </w:pPr>
      <w:r>
        <w:rPr>
          <w:sz w:val="20"/>
          <w:lang w:val="de-DE"/>
        </w:rPr>
        <w:t>Die Formulierung „</w:t>
      </w:r>
      <w:r w:rsidRPr="00A91E45">
        <w:rPr>
          <w:sz w:val="20"/>
          <w:lang w:val="de-DE"/>
        </w:rPr>
        <w:t>zur Beförderung aufgegeben oder befördert werden</w:t>
      </w:r>
      <w:r>
        <w:rPr>
          <w:sz w:val="20"/>
          <w:lang w:val="de-DE"/>
        </w:rPr>
        <w:t xml:space="preserve">“ kann </w:t>
      </w:r>
      <w:r w:rsidR="001E3F60">
        <w:rPr>
          <w:sz w:val="20"/>
          <w:lang w:val="de-DE"/>
        </w:rPr>
        <w:t xml:space="preserve">ebenfalls </w:t>
      </w:r>
      <w:r>
        <w:rPr>
          <w:sz w:val="20"/>
          <w:lang w:val="de-DE"/>
        </w:rPr>
        <w:t>entfallen, da im ADN generell die Beförderung geregelt wird und die Beförderung laut Definition auch das Aufgeben zur Beförderung einschließt.</w:t>
      </w:r>
    </w:p>
    <w:p w14:paraId="4F7ABCB0" w14:textId="77777777" w:rsidR="00A91E45" w:rsidRDefault="00A91E45" w:rsidP="0047150B">
      <w:pPr>
        <w:pStyle w:val="ListParagraph"/>
        <w:numPr>
          <w:ilvl w:val="0"/>
          <w:numId w:val="27"/>
        </w:numPr>
        <w:spacing w:before="60" w:after="0"/>
        <w:ind w:left="924" w:right="566" w:hanging="357"/>
        <w:jc w:val="both"/>
        <w:rPr>
          <w:sz w:val="20"/>
          <w:lang w:val="de-DE"/>
        </w:rPr>
      </w:pPr>
      <w:r>
        <w:rPr>
          <w:sz w:val="20"/>
          <w:lang w:val="de-DE"/>
        </w:rPr>
        <w:t>Die Bereichsangabe „15 K“ ist als wissenschaftliche Schreibweise korrekt. Allerdings sieht das ADN nach 1.2.2 alternativ auch die Möglichkeit vor, den Temperaturbereich als „15</w:t>
      </w:r>
      <w:r w:rsidR="008E6DA8">
        <w:rPr>
          <w:sz w:val="20"/>
          <w:lang w:val="de-DE"/>
        </w:rPr>
        <w:t> </w:t>
      </w:r>
      <w:r>
        <w:rPr>
          <w:sz w:val="20"/>
          <w:lang w:val="de-DE"/>
        </w:rPr>
        <w:t>°C“ darzustellen. Dies bedeutet jedoch keine</w:t>
      </w:r>
      <w:r w:rsidR="001E3F60">
        <w:rPr>
          <w:sz w:val="20"/>
          <w:lang w:val="de-DE"/>
        </w:rPr>
        <w:t>n</w:t>
      </w:r>
      <w:r>
        <w:rPr>
          <w:sz w:val="20"/>
          <w:lang w:val="de-DE"/>
        </w:rPr>
        <w:t xml:space="preserve"> inhaltliche</w:t>
      </w:r>
      <w:r w:rsidR="001E3F60">
        <w:rPr>
          <w:sz w:val="20"/>
          <w:lang w:val="de-DE"/>
        </w:rPr>
        <w:t>n</w:t>
      </w:r>
      <w:r>
        <w:rPr>
          <w:sz w:val="20"/>
          <w:lang w:val="de-DE"/>
        </w:rPr>
        <w:t xml:space="preserve"> </w:t>
      </w:r>
      <w:r w:rsidR="001E3F60">
        <w:rPr>
          <w:sz w:val="20"/>
          <w:lang w:val="de-DE"/>
        </w:rPr>
        <w:t>Unterschied</w:t>
      </w:r>
      <w:r>
        <w:rPr>
          <w:sz w:val="20"/>
          <w:lang w:val="de-DE"/>
        </w:rPr>
        <w:t>.</w:t>
      </w:r>
    </w:p>
    <w:p w14:paraId="32A59849" w14:textId="77777777" w:rsidR="001E3F60" w:rsidRDefault="001E3F60" w:rsidP="0047150B">
      <w:pPr>
        <w:pStyle w:val="ListParagraph"/>
        <w:numPr>
          <w:ilvl w:val="0"/>
          <w:numId w:val="27"/>
        </w:numPr>
        <w:spacing w:before="60" w:after="0"/>
        <w:ind w:left="924" w:right="566" w:hanging="357"/>
        <w:jc w:val="both"/>
        <w:rPr>
          <w:sz w:val="20"/>
          <w:lang w:val="de-DE"/>
        </w:rPr>
      </w:pPr>
      <w:r>
        <w:rPr>
          <w:sz w:val="20"/>
          <w:lang w:val="de-DE"/>
        </w:rPr>
        <w:t>Die Groß- und Kleinschreibung sollte für alle Sprachen vereinheitlicht werden.</w:t>
      </w:r>
    </w:p>
    <w:p w14:paraId="15CFF506" w14:textId="77777777" w:rsidR="00C00102" w:rsidRDefault="00C00102" w:rsidP="0047150B">
      <w:pPr>
        <w:pStyle w:val="ListParagraph"/>
        <w:numPr>
          <w:ilvl w:val="0"/>
          <w:numId w:val="27"/>
        </w:numPr>
        <w:spacing w:before="60" w:after="0"/>
        <w:ind w:left="924" w:right="566" w:hanging="357"/>
        <w:jc w:val="both"/>
        <w:rPr>
          <w:sz w:val="20"/>
          <w:lang w:val="de-DE"/>
        </w:rPr>
      </w:pPr>
      <w:r>
        <w:rPr>
          <w:sz w:val="20"/>
          <w:lang w:val="de-DE"/>
        </w:rPr>
        <w:t>Die Verwendung von „erwärmt“ in de</w:t>
      </w:r>
      <w:r w:rsidR="005F5194">
        <w:rPr>
          <w:sz w:val="20"/>
          <w:lang w:val="de-DE"/>
        </w:rPr>
        <w:t>n</w:t>
      </w:r>
      <w:r>
        <w:rPr>
          <w:sz w:val="20"/>
          <w:lang w:val="de-DE"/>
        </w:rPr>
        <w:t xml:space="preserve"> Beschreibung</w:t>
      </w:r>
      <w:r w:rsidR="005F5194">
        <w:rPr>
          <w:sz w:val="20"/>
          <w:lang w:val="de-DE"/>
        </w:rPr>
        <w:t>en</w:t>
      </w:r>
      <w:r>
        <w:rPr>
          <w:sz w:val="20"/>
          <w:lang w:val="de-DE"/>
        </w:rPr>
        <w:t xml:space="preserve"> der beiden Klassifizierungscodes F2 und F4 erscheint der Informellen Arbeitsgruppe gerechtfertigt, da in beiden Fällen der gleiche technische Sachverhalt und die gleiche Gefahr beschrieben werden. Der Unterschied besteht lediglich in der Temperatur.</w:t>
      </w:r>
    </w:p>
    <w:p w14:paraId="65F7AC1D" w14:textId="77777777" w:rsidR="001E3F60" w:rsidRPr="001E3F60" w:rsidRDefault="001E3F60" w:rsidP="00EA2AB2">
      <w:pPr>
        <w:spacing w:after="0"/>
        <w:ind w:right="566"/>
        <w:jc w:val="both"/>
        <w:rPr>
          <w:sz w:val="20"/>
          <w:lang w:val="de-DE"/>
        </w:rPr>
      </w:pPr>
    </w:p>
    <w:p w14:paraId="6992B291" w14:textId="77777777" w:rsidR="00B64AF3" w:rsidRPr="00E62169" w:rsidRDefault="00B64AF3" w:rsidP="00EA2AB2">
      <w:pPr>
        <w:spacing w:after="0"/>
        <w:ind w:right="566"/>
        <w:jc w:val="both"/>
        <w:rPr>
          <w:b/>
          <w:szCs w:val="24"/>
          <w:u w:val="single"/>
          <w:lang w:val="de-DE"/>
        </w:rPr>
      </w:pPr>
      <w:r w:rsidRPr="00E62169">
        <w:rPr>
          <w:b/>
          <w:szCs w:val="24"/>
          <w:u w:val="single"/>
          <w:lang w:val="de-DE"/>
        </w:rPr>
        <w:t>Vorschlag:</w:t>
      </w:r>
    </w:p>
    <w:p w14:paraId="3BD9634E" w14:textId="77777777" w:rsidR="00B64AF3" w:rsidRDefault="00B64AF3" w:rsidP="00EA2AB2">
      <w:pPr>
        <w:spacing w:after="0"/>
        <w:ind w:right="566"/>
        <w:jc w:val="both"/>
        <w:rPr>
          <w:sz w:val="20"/>
          <w:lang w:val="de-DE"/>
        </w:rPr>
      </w:pPr>
    </w:p>
    <w:p w14:paraId="1DC38021" w14:textId="77777777" w:rsidR="00B64AF3" w:rsidRDefault="001E3F60" w:rsidP="00EA2AB2">
      <w:pPr>
        <w:spacing w:after="0"/>
        <w:ind w:right="566"/>
        <w:jc w:val="both"/>
        <w:rPr>
          <w:sz w:val="20"/>
          <w:lang w:val="de-DE"/>
        </w:rPr>
      </w:pPr>
      <w:r>
        <w:rPr>
          <w:sz w:val="20"/>
          <w:lang w:val="de-DE"/>
        </w:rPr>
        <w:t>8</w:t>
      </w:r>
      <w:r w:rsidR="00B64AF3">
        <w:rPr>
          <w:sz w:val="20"/>
          <w:lang w:val="de-DE"/>
        </w:rPr>
        <w:t>.</w:t>
      </w:r>
      <w:r w:rsidR="00B64AF3">
        <w:rPr>
          <w:sz w:val="20"/>
          <w:lang w:val="de-DE"/>
        </w:rPr>
        <w:tab/>
      </w:r>
      <w:r>
        <w:rPr>
          <w:sz w:val="20"/>
          <w:lang w:val="de-DE"/>
        </w:rPr>
        <w:t>Die Benennung und Beschreibung für die Stoffnummer 9001 sollte für die Tabellen A und C gleichlautend wie folgt formuliert werden: „</w:t>
      </w:r>
      <w:r w:rsidR="003E47C8" w:rsidRPr="003E47C8">
        <w:rPr>
          <w:sz w:val="20"/>
          <w:lang w:val="de-DE"/>
        </w:rPr>
        <w:t>ERWÄRMTER STOFF MIT EINEM FLAMMPUNKT ÜBER 60 °C, in einem Bereich von 15 K unterhalb seines Flammpunkts</w:t>
      </w:r>
      <w:r w:rsidR="003E47C8">
        <w:rPr>
          <w:sz w:val="20"/>
          <w:lang w:val="de-DE"/>
        </w:rPr>
        <w:t>“.</w:t>
      </w:r>
    </w:p>
    <w:p w14:paraId="70172ED4" w14:textId="77777777" w:rsidR="003E47C8" w:rsidRDefault="003E47C8" w:rsidP="00EA2AB2">
      <w:pPr>
        <w:spacing w:after="0"/>
        <w:ind w:right="566"/>
        <w:jc w:val="both"/>
        <w:rPr>
          <w:sz w:val="20"/>
          <w:lang w:val="de-DE"/>
        </w:rPr>
      </w:pPr>
    </w:p>
    <w:p w14:paraId="446C67BD" w14:textId="77777777" w:rsidR="003E47C8" w:rsidRDefault="003E47C8" w:rsidP="00EA2AB2">
      <w:pPr>
        <w:spacing w:after="0"/>
        <w:ind w:right="566"/>
        <w:jc w:val="both"/>
        <w:rPr>
          <w:sz w:val="20"/>
          <w:lang w:val="de-DE"/>
        </w:rPr>
      </w:pPr>
    </w:p>
    <w:p w14:paraId="0DD486B8" w14:textId="77777777" w:rsidR="003E47C8" w:rsidRPr="00E62169" w:rsidRDefault="003E47C8" w:rsidP="00EA2AB2">
      <w:pPr>
        <w:spacing w:after="0"/>
        <w:ind w:right="566"/>
        <w:jc w:val="both"/>
        <w:rPr>
          <w:b/>
          <w:szCs w:val="24"/>
          <w:lang w:val="de-DE"/>
        </w:rPr>
      </w:pPr>
      <w:r w:rsidRPr="00E62169">
        <w:rPr>
          <w:b/>
          <w:szCs w:val="24"/>
          <w:lang w:val="de-DE"/>
        </w:rPr>
        <w:t>C.</w:t>
      </w:r>
      <w:r w:rsidRPr="00E62169">
        <w:rPr>
          <w:b/>
          <w:szCs w:val="24"/>
          <w:lang w:val="de-DE"/>
        </w:rPr>
        <w:tab/>
        <w:t>Benennung für die Beförderung in Tabelle A, Tabelle B und Tabelle C</w:t>
      </w:r>
    </w:p>
    <w:p w14:paraId="2D40F824" w14:textId="77777777" w:rsidR="00302FCA" w:rsidRPr="004070B3" w:rsidRDefault="00302FCA" w:rsidP="00EA2AB2">
      <w:pPr>
        <w:spacing w:after="0"/>
        <w:ind w:right="566"/>
        <w:jc w:val="both"/>
        <w:rPr>
          <w:sz w:val="20"/>
          <w:lang w:val="de-DE"/>
        </w:rPr>
      </w:pPr>
    </w:p>
    <w:p w14:paraId="307C58DE" w14:textId="5CBC5EFF" w:rsidR="00A90196" w:rsidRDefault="00C00102" w:rsidP="00EA2AB2">
      <w:pPr>
        <w:spacing w:after="0"/>
        <w:ind w:right="566"/>
        <w:jc w:val="both"/>
        <w:rPr>
          <w:sz w:val="20"/>
          <w:lang w:val="de-DE"/>
        </w:rPr>
      </w:pPr>
      <w:r>
        <w:rPr>
          <w:sz w:val="20"/>
          <w:lang w:val="de-DE"/>
        </w:rPr>
        <w:t>9</w:t>
      </w:r>
      <w:r w:rsidR="004070B3" w:rsidRPr="004070B3">
        <w:rPr>
          <w:sz w:val="20"/>
          <w:lang w:val="de-DE"/>
        </w:rPr>
        <w:t>.</w:t>
      </w:r>
      <w:r w:rsidR="004070B3" w:rsidRPr="004070B3">
        <w:rPr>
          <w:sz w:val="20"/>
          <w:lang w:val="de-DE"/>
        </w:rPr>
        <w:tab/>
      </w:r>
      <w:r w:rsidR="00AA4AA8">
        <w:rPr>
          <w:sz w:val="20"/>
          <w:lang w:val="de-DE"/>
        </w:rPr>
        <w:t xml:space="preserve">Die informelle Arbeitsgruppe beschäftigte sich mit den Vorschlägen und Hinweisen aus den französischen Dokumenten </w:t>
      </w:r>
      <w:r w:rsidR="00C72780" w:rsidRPr="00C72780">
        <w:rPr>
          <w:sz w:val="20"/>
          <w:lang w:val="de-DE"/>
        </w:rPr>
        <w:t>ECE/TRANS/WP.15/AC.2/</w:t>
      </w:r>
      <w:r w:rsidR="00AA4AA8">
        <w:rPr>
          <w:sz w:val="20"/>
          <w:lang w:val="de-DE"/>
        </w:rPr>
        <w:t xml:space="preserve">2018/41 (Absatz 6 </w:t>
      </w:r>
      <w:r w:rsidR="00A90196">
        <w:rPr>
          <w:sz w:val="20"/>
          <w:lang w:val="de-DE"/>
        </w:rPr>
        <w:t xml:space="preserve">bis 13) und </w:t>
      </w:r>
      <w:r w:rsidR="00C56CC1" w:rsidRPr="00C72780">
        <w:rPr>
          <w:sz w:val="20"/>
          <w:lang w:val="de-DE"/>
        </w:rPr>
        <w:t>ECE/TRANS/WP.15/AC.2/</w:t>
      </w:r>
      <w:r w:rsidR="00A90196">
        <w:rPr>
          <w:sz w:val="20"/>
          <w:lang w:val="de-DE"/>
        </w:rPr>
        <w:t>2018/42 (Absatz 7).</w:t>
      </w:r>
    </w:p>
    <w:p w14:paraId="2D6A03AF" w14:textId="77777777" w:rsidR="00A90196" w:rsidRDefault="00A90196" w:rsidP="00EA2AB2">
      <w:pPr>
        <w:spacing w:after="0"/>
        <w:ind w:right="566"/>
        <w:jc w:val="both"/>
        <w:rPr>
          <w:sz w:val="20"/>
          <w:lang w:val="de-DE"/>
        </w:rPr>
      </w:pPr>
    </w:p>
    <w:p w14:paraId="571C0B8B" w14:textId="347FBA33" w:rsidR="004070B3" w:rsidRDefault="00A90196" w:rsidP="00EA2AB2">
      <w:pPr>
        <w:spacing w:after="0"/>
        <w:ind w:right="566"/>
        <w:jc w:val="both"/>
        <w:rPr>
          <w:sz w:val="20"/>
          <w:lang w:val="de-DE"/>
        </w:rPr>
      </w:pPr>
      <w:r>
        <w:rPr>
          <w:sz w:val="20"/>
          <w:lang w:val="de-DE"/>
        </w:rPr>
        <w:t>10.</w:t>
      </w:r>
      <w:r>
        <w:rPr>
          <w:sz w:val="20"/>
          <w:lang w:val="de-DE"/>
        </w:rPr>
        <w:tab/>
      </w:r>
      <w:r w:rsidR="00AA4AA8">
        <w:rPr>
          <w:sz w:val="20"/>
          <w:lang w:val="de-DE"/>
        </w:rPr>
        <w:t>In den Punkten zur Anpassung der Ben</w:t>
      </w:r>
      <w:r w:rsidR="00FE4C3C">
        <w:rPr>
          <w:sz w:val="20"/>
          <w:lang w:val="de-DE"/>
        </w:rPr>
        <w:t xml:space="preserve">ennung und Beschreibung für UN 1177 in Tabelle C der französischen Fassung (Absätze 6 und 7 aus </w:t>
      </w:r>
      <w:r w:rsidR="00BB0A38">
        <w:rPr>
          <w:sz w:val="20"/>
          <w:lang w:val="de-DE"/>
        </w:rPr>
        <w:t xml:space="preserve">Dokument </w:t>
      </w:r>
      <w:r w:rsidR="00C72780" w:rsidRPr="00C72780">
        <w:rPr>
          <w:sz w:val="20"/>
          <w:lang w:val="de-DE"/>
        </w:rPr>
        <w:t>ECE/TRANS/WP.15/AC.2/</w:t>
      </w:r>
      <w:r w:rsidR="00FE4C3C">
        <w:rPr>
          <w:sz w:val="20"/>
          <w:lang w:val="de-DE"/>
        </w:rPr>
        <w:t>2018/41) und der Harmonisierung der Angaben in Spalte</w:t>
      </w:r>
      <w:r w:rsidR="00155839">
        <w:rPr>
          <w:sz w:val="20"/>
          <w:lang w:val="de-DE"/>
        </w:rPr>
        <w:t> </w:t>
      </w:r>
      <w:r w:rsidR="00FE4C3C">
        <w:rPr>
          <w:sz w:val="20"/>
          <w:lang w:val="de-DE"/>
        </w:rPr>
        <w:t xml:space="preserve">(8) der Tabelle A an die Einträge in Tabelle C (Absätze 8 bis 11 aus </w:t>
      </w:r>
      <w:r w:rsidR="00BB0A38">
        <w:rPr>
          <w:sz w:val="20"/>
          <w:lang w:val="de-DE"/>
        </w:rPr>
        <w:t xml:space="preserve">Dokument </w:t>
      </w:r>
      <w:r w:rsidR="00C72780" w:rsidRPr="00C72780">
        <w:rPr>
          <w:sz w:val="20"/>
          <w:lang w:val="de-DE"/>
        </w:rPr>
        <w:t>ECE/TRANS/WP.15/AC.2/</w:t>
      </w:r>
      <w:r w:rsidR="00FE4C3C">
        <w:rPr>
          <w:sz w:val="20"/>
          <w:lang w:val="de-DE"/>
        </w:rPr>
        <w:t>2018/41) schloss sich die Gruppe der Auffassung der französischen Delegation an.</w:t>
      </w:r>
    </w:p>
    <w:p w14:paraId="69F3AB76" w14:textId="77777777" w:rsidR="00FC4CB0" w:rsidRDefault="00FC4CB0" w:rsidP="00EA2AB2">
      <w:pPr>
        <w:spacing w:after="0"/>
        <w:ind w:right="566"/>
        <w:jc w:val="both"/>
        <w:rPr>
          <w:sz w:val="20"/>
          <w:lang w:val="de-DE"/>
        </w:rPr>
      </w:pPr>
    </w:p>
    <w:p w14:paraId="4405B126" w14:textId="5BA06E6E" w:rsidR="00FC4CB0" w:rsidRDefault="00FC4CB0" w:rsidP="00EA2AB2">
      <w:pPr>
        <w:spacing w:after="0"/>
        <w:ind w:right="566"/>
        <w:jc w:val="both"/>
        <w:rPr>
          <w:sz w:val="20"/>
          <w:lang w:val="de-DE"/>
        </w:rPr>
      </w:pPr>
      <w:r>
        <w:rPr>
          <w:sz w:val="20"/>
          <w:lang w:val="de-DE"/>
        </w:rPr>
        <w:t>1</w:t>
      </w:r>
      <w:r w:rsidR="00A90196">
        <w:rPr>
          <w:sz w:val="20"/>
          <w:lang w:val="de-DE"/>
        </w:rPr>
        <w:t>1</w:t>
      </w:r>
      <w:r>
        <w:rPr>
          <w:sz w:val="20"/>
          <w:lang w:val="de-DE"/>
        </w:rPr>
        <w:t>.</w:t>
      </w:r>
      <w:r>
        <w:rPr>
          <w:sz w:val="20"/>
          <w:lang w:val="de-DE"/>
        </w:rPr>
        <w:tab/>
        <w:t>Für UN 2785 sollte nach Auffassung der informellen Arbeitsgruppe in der französischen Fassung der Tabelle A in Spalte (2) der Klammerausdruck gestrichen werden. In der englischen Fassung der Tabelle</w:t>
      </w:r>
      <w:r w:rsidR="00155839">
        <w:rPr>
          <w:sz w:val="20"/>
          <w:lang w:val="de-DE"/>
        </w:rPr>
        <w:t> </w:t>
      </w:r>
      <w:r>
        <w:rPr>
          <w:sz w:val="20"/>
          <w:lang w:val="de-DE"/>
        </w:rPr>
        <w:t>C sollten in Spalte (2) die Akzente gestrichen werden.</w:t>
      </w:r>
    </w:p>
    <w:p w14:paraId="2969CC22" w14:textId="77777777" w:rsidR="00FE4C3C" w:rsidRDefault="00FE4C3C" w:rsidP="00EA2AB2">
      <w:pPr>
        <w:spacing w:after="0"/>
        <w:ind w:right="566"/>
        <w:jc w:val="both"/>
        <w:rPr>
          <w:sz w:val="20"/>
          <w:lang w:val="de-DE"/>
        </w:rPr>
      </w:pPr>
    </w:p>
    <w:p w14:paraId="5AC8F936" w14:textId="478DEFCD" w:rsidR="00FE4C3C" w:rsidRDefault="00FC4CB0" w:rsidP="00EA2AB2">
      <w:pPr>
        <w:spacing w:after="0"/>
        <w:ind w:right="566"/>
        <w:jc w:val="both"/>
        <w:rPr>
          <w:sz w:val="20"/>
          <w:lang w:val="de-DE"/>
        </w:rPr>
      </w:pPr>
      <w:r>
        <w:rPr>
          <w:sz w:val="20"/>
          <w:lang w:val="de-DE"/>
        </w:rPr>
        <w:t>1</w:t>
      </w:r>
      <w:r w:rsidR="00A90196">
        <w:rPr>
          <w:sz w:val="20"/>
          <w:lang w:val="de-DE"/>
        </w:rPr>
        <w:t>2</w:t>
      </w:r>
      <w:r>
        <w:rPr>
          <w:sz w:val="20"/>
          <w:lang w:val="de-DE"/>
        </w:rPr>
        <w:t>.</w:t>
      </w:r>
      <w:r w:rsidR="00FE4C3C">
        <w:rPr>
          <w:sz w:val="20"/>
          <w:lang w:val="de-DE"/>
        </w:rPr>
        <w:tab/>
        <w:t xml:space="preserve">Bei der Benennung und Beschreibung von Stoffnummer 9000 </w:t>
      </w:r>
      <w:r w:rsidR="00DA1AE5">
        <w:rPr>
          <w:sz w:val="20"/>
          <w:lang w:val="de-DE"/>
        </w:rPr>
        <w:t xml:space="preserve">AMMONIAK, TIEFGEKÜHLT </w:t>
      </w:r>
      <w:r w:rsidR="00FE4C3C">
        <w:rPr>
          <w:sz w:val="20"/>
          <w:lang w:val="de-DE"/>
        </w:rPr>
        <w:t xml:space="preserve">(Absätze 12 und 13 aus </w:t>
      </w:r>
      <w:r w:rsidR="00C72780">
        <w:rPr>
          <w:sz w:val="20"/>
          <w:lang w:val="de-DE"/>
        </w:rPr>
        <w:t xml:space="preserve">Dokument </w:t>
      </w:r>
      <w:r w:rsidR="00C72780" w:rsidRPr="00C72780">
        <w:rPr>
          <w:sz w:val="20"/>
          <w:lang w:val="de-DE"/>
        </w:rPr>
        <w:t>ECE/TRANS/WP.15/AC.2/</w:t>
      </w:r>
      <w:r w:rsidR="00FE4C3C">
        <w:rPr>
          <w:sz w:val="20"/>
          <w:lang w:val="de-DE"/>
        </w:rPr>
        <w:t xml:space="preserve">2018/41) wird darauf hingewiesen, dass auf Vorschlag der informellen Arbeitsgruppe </w:t>
      </w:r>
      <w:r w:rsidR="00DA1AE5">
        <w:rPr>
          <w:sz w:val="20"/>
          <w:lang w:val="de-DE"/>
        </w:rPr>
        <w:t xml:space="preserve">bereits </w:t>
      </w:r>
      <w:r w:rsidR="00FE4C3C">
        <w:rPr>
          <w:sz w:val="20"/>
          <w:lang w:val="de-DE"/>
        </w:rPr>
        <w:t xml:space="preserve">in der 33. Sitzung des Sicherheitsausschusses </w:t>
      </w:r>
      <w:r w:rsidR="00DA1AE5">
        <w:rPr>
          <w:sz w:val="20"/>
          <w:lang w:val="de-DE"/>
        </w:rPr>
        <w:t>die Streichung von „WASSERFREI,“ für Stoffnummer 9000, in Spalte (2) der Tabelle C beschlossen wurde.</w:t>
      </w:r>
    </w:p>
    <w:p w14:paraId="6B0D63AE" w14:textId="77777777" w:rsidR="00A90196" w:rsidRDefault="00A90196" w:rsidP="00EA2AB2">
      <w:pPr>
        <w:spacing w:after="0"/>
        <w:ind w:right="566"/>
        <w:jc w:val="both"/>
        <w:rPr>
          <w:sz w:val="20"/>
          <w:lang w:val="de-DE"/>
        </w:rPr>
      </w:pPr>
    </w:p>
    <w:p w14:paraId="121C11DC" w14:textId="219C216F" w:rsidR="00985EF4" w:rsidRDefault="00A90196" w:rsidP="00EA2AB2">
      <w:pPr>
        <w:spacing w:after="0"/>
        <w:ind w:right="566"/>
        <w:jc w:val="both"/>
        <w:rPr>
          <w:sz w:val="20"/>
          <w:lang w:val="de-DE"/>
        </w:rPr>
      </w:pPr>
      <w:r>
        <w:rPr>
          <w:sz w:val="20"/>
          <w:lang w:val="de-DE"/>
        </w:rPr>
        <w:t>13.</w:t>
      </w:r>
      <w:r>
        <w:rPr>
          <w:sz w:val="20"/>
          <w:lang w:val="de-DE"/>
        </w:rPr>
        <w:tab/>
        <w:t>Die Stoffnummer</w:t>
      </w:r>
      <w:r w:rsidR="00C13509">
        <w:rPr>
          <w:sz w:val="20"/>
          <w:lang w:val="de-DE"/>
        </w:rPr>
        <w:t>n</w:t>
      </w:r>
      <w:r>
        <w:rPr>
          <w:sz w:val="20"/>
          <w:lang w:val="de-DE"/>
        </w:rPr>
        <w:t xml:space="preserve"> 9001 und 9002 </w:t>
      </w:r>
      <w:r w:rsidR="00C13509">
        <w:rPr>
          <w:sz w:val="20"/>
          <w:lang w:val="de-DE"/>
        </w:rPr>
        <w:t xml:space="preserve">sind in allen Sprachfassungen </w:t>
      </w:r>
      <w:r>
        <w:rPr>
          <w:sz w:val="20"/>
          <w:lang w:val="de-DE"/>
        </w:rPr>
        <w:t>im Verzeichnis der Sammeleintragungen 2.2.3.</w:t>
      </w:r>
      <w:r w:rsidR="00985EF4">
        <w:rPr>
          <w:sz w:val="20"/>
          <w:lang w:val="de-DE"/>
        </w:rPr>
        <w:t xml:space="preserve">3 und die </w:t>
      </w:r>
      <w:r>
        <w:rPr>
          <w:sz w:val="20"/>
          <w:lang w:val="de-DE"/>
        </w:rPr>
        <w:t xml:space="preserve">Stoffnummern </w:t>
      </w:r>
      <w:r w:rsidR="00985EF4">
        <w:rPr>
          <w:sz w:val="20"/>
          <w:lang w:val="de-DE"/>
        </w:rPr>
        <w:t xml:space="preserve">9005 und 9006 sind in der englischen, französischen und russischen Sprachfassung im Verzeichnis der Eintragungen 2.2.9.3 aufgeführt. Die Stoffnummern 9003 und 9004 hingegen fehlen in allen Sprachfassungen </w:t>
      </w:r>
      <w:r w:rsidR="00985EF4" w:rsidRPr="00985EF4">
        <w:rPr>
          <w:sz w:val="20"/>
          <w:lang w:val="de-DE"/>
        </w:rPr>
        <w:t>im Verzeichnis der Eintragungen 2.2.9.3</w:t>
      </w:r>
      <w:r w:rsidR="00985EF4">
        <w:rPr>
          <w:sz w:val="20"/>
          <w:lang w:val="de-DE"/>
        </w:rPr>
        <w:t>.</w:t>
      </w:r>
    </w:p>
    <w:p w14:paraId="6BFB453D" w14:textId="77777777" w:rsidR="00EA2AB2" w:rsidRDefault="00EA2AB2">
      <w:pPr>
        <w:spacing w:after="0"/>
        <w:rPr>
          <w:sz w:val="20"/>
          <w:lang w:val="de-DE"/>
        </w:rPr>
      </w:pPr>
      <w:r>
        <w:rPr>
          <w:sz w:val="20"/>
          <w:lang w:val="de-DE"/>
        </w:rPr>
        <w:br w:type="page"/>
      </w:r>
    </w:p>
    <w:p w14:paraId="59E5EC54" w14:textId="00B2F204" w:rsidR="00985EF4" w:rsidRDefault="00985EF4" w:rsidP="00EA2AB2">
      <w:pPr>
        <w:spacing w:after="0"/>
        <w:ind w:right="566"/>
        <w:jc w:val="both"/>
        <w:rPr>
          <w:sz w:val="20"/>
          <w:lang w:val="de-DE"/>
        </w:rPr>
      </w:pPr>
      <w:r>
        <w:rPr>
          <w:sz w:val="20"/>
          <w:lang w:val="de-DE"/>
        </w:rPr>
        <w:lastRenderedPageBreak/>
        <w:t>14.</w:t>
      </w:r>
      <w:r>
        <w:rPr>
          <w:sz w:val="20"/>
          <w:lang w:val="de-DE"/>
        </w:rPr>
        <w:tab/>
      </w:r>
      <w:r w:rsidR="008533E1">
        <w:rPr>
          <w:sz w:val="20"/>
          <w:lang w:val="de-DE"/>
        </w:rPr>
        <w:t>D</w:t>
      </w:r>
      <w:r>
        <w:rPr>
          <w:sz w:val="20"/>
          <w:lang w:val="de-DE"/>
        </w:rPr>
        <w:t xml:space="preserve">en Stoffnummern 9001 und 9002 </w:t>
      </w:r>
      <w:r w:rsidR="008533E1">
        <w:rPr>
          <w:sz w:val="20"/>
          <w:lang w:val="de-DE"/>
        </w:rPr>
        <w:t xml:space="preserve">sind in der Klasse 3 </w:t>
      </w:r>
      <w:r>
        <w:rPr>
          <w:sz w:val="20"/>
          <w:lang w:val="de-DE"/>
        </w:rPr>
        <w:t xml:space="preserve">die über das ADR hinausgehenden Klassifizierungscodes F4 und F5 zugewiesen. </w:t>
      </w:r>
      <w:r w:rsidR="008533E1">
        <w:rPr>
          <w:sz w:val="20"/>
          <w:lang w:val="de-DE"/>
        </w:rPr>
        <w:t xml:space="preserve">Nach Meinung der informellen Arbeitsgruppe besteht das Problem darin, dass eine ähnliche klare Regelung für die Klasse 9 nicht getroffen wurde. </w:t>
      </w:r>
      <w:r>
        <w:rPr>
          <w:sz w:val="20"/>
          <w:lang w:val="de-DE"/>
        </w:rPr>
        <w:t xml:space="preserve">Die Stoffnummern 9005 und 9006 werden offensichtlich in der </w:t>
      </w:r>
      <w:r w:rsidRPr="00985EF4">
        <w:rPr>
          <w:sz w:val="20"/>
          <w:lang w:val="de-DE"/>
        </w:rPr>
        <w:t xml:space="preserve">englischen, französischen und russischen Sprachfassung </w:t>
      </w:r>
      <w:r>
        <w:rPr>
          <w:sz w:val="20"/>
          <w:lang w:val="de-DE"/>
        </w:rPr>
        <w:t xml:space="preserve">als dem Klassifizierungscode M6 zugehörig ausgelegt. </w:t>
      </w:r>
      <w:r w:rsidR="00192025">
        <w:rPr>
          <w:sz w:val="20"/>
          <w:lang w:val="de-DE"/>
        </w:rPr>
        <w:t>Das ist insofern nicht ganz korrekt, da die im ADR dem Klassifizierungscode M6 hinterlegten Kriterien eine Zuordnung zur UN 3082 bewirken und eine Zuordnung zu den Stoffnummern 9005 und 9006 nur erfolgen kann</w:t>
      </w:r>
      <w:r w:rsidR="008F6F37">
        <w:rPr>
          <w:sz w:val="20"/>
          <w:lang w:val="de-DE"/>
        </w:rPr>
        <w:t>,</w:t>
      </w:r>
      <w:r w:rsidR="00192025">
        <w:rPr>
          <w:sz w:val="20"/>
          <w:lang w:val="de-DE"/>
        </w:rPr>
        <w:t xml:space="preserve"> wenn die</w:t>
      </w:r>
      <w:r w:rsidR="007F06F8">
        <w:rPr>
          <w:sz w:val="20"/>
          <w:lang w:val="de-DE"/>
        </w:rPr>
        <w:t>se</w:t>
      </w:r>
      <w:r w:rsidR="00192025">
        <w:rPr>
          <w:sz w:val="20"/>
          <w:lang w:val="de-DE"/>
        </w:rPr>
        <w:t xml:space="preserve"> Kriterien </w:t>
      </w:r>
      <w:r w:rsidR="007F06F8">
        <w:rPr>
          <w:sz w:val="20"/>
          <w:lang w:val="de-DE"/>
        </w:rPr>
        <w:t xml:space="preserve">(UN 3082) </w:t>
      </w:r>
      <w:r w:rsidR="007F06F8" w:rsidRPr="007F06F8">
        <w:rPr>
          <w:sz w:val="20"/>
          <w:u w:val="single"/>
          <w:lang w:val="de-DE"/>
        </w:rPr>
        <w:t>nicht</w:t>
      </w:r>
      <w:r w:rsidR="007F06F8">
        <w:rPr>
          <w:sz w:val="20"/>
          <w:lang w:val="de-DE"/>
        </w:rPr>
        <w:t xml:space="preserve"> erfüllt sind.</w:t>
      </w:r>
      <w:r w:rsidR="00192025">
        <w:rPr>
          <w:sz w:val="20"/>
          <w:lang w:val="de-DE"/>
        </w:rPr>
        <w:t xml:space="preserve"> </w:t>
      </w:r>
      <w:r w:rsidR="008533E1">
        <w:rPr>
          <w:sz w:val="20"/>
          <w:lang w:val="de-DE"/>
        </w:rPr>
        <w:t>Den Stoffnummern 9003 und 9004 ist in allen Sprachfassungen kein Klassifizierungscode zugeordnet.</w:t>
      </w:r>
    </w:p>
    <w:p w14:paraId="64A83053" w14:textId="77777777" w:rsidR="008533E1" w:rsidRDefault="008533E1" w:rsidP="00EA2AB2">
      <w:pPr>
        <w:spacing w:after="0"/>
        <w:ind w:right="566"/>
        <w:jc w:val="both"/>
        <w:rPr>
          <w:sz w:val="20"/>
          <w:lang w:val="de-DE"/>
        </w:rPr>
      </w:pPr>
    </w:p>
    <w:p w14:paraId="2352C9E1" w14:textId="77777777" w:rsidR="008533E1" w:rsidRPr="004070B3" w:rsidRDefault="008533E1" w:rsidP="00EA2AB2">
      <w:pPr>
        <w:spacing w:after="0"/>
        <w:ind w:right="566"/>
        <w:jc w:val="both"/>
        <w:rPr>
          <w:sz w:val="20"/>
          <w:lang w:val="de-DE"/>
        </w:rPr>
      </w:pPr>
      <w:r>
        <w:rPr>
          <w:sz w:val="20"/>
          <w:lang w:val="de-DE"/>
        </w:rPr>
        <w:t>15.</w:t>
      </w:r>
      <w:r>
        <w:rPr>
          <w:sz w:val="20"/>
          <w:lang w:val="de-DE"/>
        </w:rPr>
        <w:tab/>
        <w:t>Das Problem könnte durch die Einführung eines zusätzlichen</w:t>
      </w:r>
      <w:r w:rsidR="00192025">
        <w:rPr>
          <w:sz w:val="20"/>
          <w:lang w:val="de-DE"/>
        </w:rPr>
        <w:t>,</w:t>
      </w:r>
      <w:r>
        <w:rPr>
          <w:sz w:val="20"/>
          <w:lang w:val="de-DE"/>
        </w:rPr>
        <w:t xml:space="preserve"> über das ADR hinausgehenden Klassifizierungscodes </w:t>
      </w:r>
      <w:r w:rsidR="007F06F8">
        <w:rPr>
          <w:sz w:val="20"/>
          <w:lang w:val="de-DE"/>
        </w:rPr>
        <w:t>in der Klasse 9 für die Beförderung in Tankschiffen gelöst werden.</w:t>
      </w:r>
    </w:p>
    <w:p w14:paraId="3A177B87" w14:textId="77777777" w:rsidR="004070B3" w:rsidRPr="004070B3" w:rsidRDefault="004070B3" w:rsidP="00EA2AB2">
      <w:pPr>
        <w:spacing w:after="0"/>
        <w:ind w:right="566"/>
        <w:jc w:val="both"/>
        <w:rPr>
          <w:sz w:val="20"/>
          <w:lang w:val="de-DE"/>
        </w:rPr>
      </w:pPr>
    </w:p>
    <w:p w14:paraId="31EACC20" w14:textId="77777777" w:rsidR="00302FCA" w:rsidRPr="00E62169" w:rsidRDefault="00302FCA" w:rsidP="00EA2AB2">
      <w:pPr>
        <w:spacing w:after="0"/>
        <w:ind w:right="566"/>
        <w:jc w:val="both"/>
        <w:rPr>
          <w:b/>
          <w:szCs w:val="24"/>
          <w:u w:val="single"/>
          <w:lang w:val="de-DE"/>
        </w:rPr>
      </w:pPr>
      <w:r w:rsidRPr="00E62169">
        <w:rPr>
          <w:b/>
          <w:szCs w:val="24"/>
          <w:u w:val="single"/>
          <w:lang w:val="de-DE"/>
        </w:rPr>
        <w:t>Vorschl</w:t>
      </w:r>
      <w:r w:rsidR="00990F1C" w:rsidRPr="00E62169">
        <w:rPr>
          <w:b/>
          <w:szCs w:val="24"/>
          <w:u w:val="single"/>
          <w:lang w:val="de-DE"/>
        </w:rPr>
        <w:t>ä</w:t>
      </w:r>
      <w:r w:rsidRPr="00E62169">
        <w:rPr>
          <w:b/>
          <w:szCs w:val="24"/>
          <w:u w:val="single"/>
          <w:lang w:val="de-DE"/>
        </w:rPr>
        <w:t>g</w:t>
      </w:r>
      <w:r w:rsidR="00990F1C" w:rsidRPr="00E62169">
        <w:rPr>
          <w:b/>
          <w:szCs w:val="24"/>
          <w:u w:val="single"/>
          <w:lang w:val="de-DE"/>
        </w:rPr>
        <w:t>e</w:t>
      </w:r>
      <w:r w:rsidRPr="00E62169">
        <w:rPr>
          <w:b/>
          <w:szCs w:val="24"/>
          <w:u w:val="single"/>
          <w:lang w:val="de-DE"/>
        </w:rPr>
        <w:t>:</w:t>
      </w:r>
    </w:p>
    <w:p w14:paraId="17A5B88D" w14:textId="77777777" w:rsidR="004E3918" w:rsidRDefault="004E3918" w:rsidP="00EA2AB2">
      <w:pPr>
        <w:spacing w:after="0"/>
        <w:ind w:right="566"/>
        <w:jc w:val="both"/>
        <w:rPr>
          <w:sz w:val="20"/>
          <w:lang w:val="de-DE"/>
        </w:rPr>
      </w:pPr>
    </w:p>
    <w:p w14:paraId="4BA5B34B" w14:textId="77777777" w:rsidR="00DA1AE5" w:rsidRDefault="00DA1AE5" w:rsidP="00EA2AB2">
      <w:pPr>
        <w:spacing w:after="0"/>
        <w:ind w:right="566"/>
        <w:jc w:val="both"/>
        <w:rPr>
          <w:sz w:val="20"/>
          <w:lang w:val="de-DE"/>
        </w:rPr>
      </w:pPr>
      <w:r>
        <w:rPr>
          <w:sz w:val="20"/>
          <w:lang w:val="de-DE"/>
        </w:rPr>
        <w:t>1</w:t>
      </w:r>
      <w:r w:rsidR="00912F36">
        <w:rPr>
          <w:sz w:val="20"/>
          <w:lang w:val="de-DE"/>
        </w:rPr>
        <w:t>6</w:t>
      </w:r>
      <w:r w:rsidR="00FC4CB0">
        <w:rPr>
          <w:sz w:val="20"/>
          <w:lang w:val="de-DE"/>
        </w:rPr>
        <w:t>.</w:t>
      </w:r>
      <w:r w:rsidR="00F73DFC">
        <w:rPr>
          <w:sz w:val="20"/>
          <w:lang w:val="de-DE"/>
        </w:rPr>
        <w:tab/>
      </w:r>
      <w:r>
        <w:rPr>
          <w:sz w:val="20"/>
          <w:lang w:val="de-DE"/>
        </w:rPr>
        <w:t xml:space="preserve">In der Tabelle C </w:t>
      </w:r>
      <w:r w:rsidR="00FC4CB0">
        <w:rPr>
          <w:sz w:val="20"/>
          <w:lang w:val="de-DE"/>
        </w:rPr>
        <w:t xml:space="preserve">Spalte (2) </w:t>
      </w:r>
      <w:r>
        <w:rPr>
          <w:sz w:val="20"/>
          <w:lang w:val="de-DE"/>
        </w:rPr>
        <w:t xml:space="preserve">der französischen Fassung für UN 1177 </w:t>
      </w:r>
      <w:r w:rsidRPr="00DA1AE5">
        <w:rPr>
          <w:sz w:val="20"/>
          <w:lang w:val="de-DE"/>
        </w:rPr>
        <w:t>„ACÉTATE D’ÉTHYLBUTYLE“</w:t>
      </w:r>
      <w:r>
        <w:rPr>
          <w:sz w:val="20"/>
          <w:lang w:val="de-DE"/>
        </w:rPr>
        <w:t xml:space="preserve"> ersetzen durch </w:t>
      </w:r>
      <w:proofErr w:type="gramStart"/>
      <w:r>
        <w:rPr>
          <w:sz w:val="20"/>
          <w:lang w:val="de-DE"/>
        </w:rPr>
        <w:t>„</w:t>
      </w:r>
      <w:r w:rsidRPr="00DA1AE5">
        <w:rPr>
          <w:sz w:val="20"/>
          <w:lang w:val="de-DE"/>
        </w:rPr>
        <w:t>:ACÉTATE</w:t>
      </w:r>
      <w:proofErr w:type="gramEnd"/>
      <w:r w:rsidRPr="00DA1AE5">
        <w:rPr>
          <w:sz w:val="20"/>
          <w:lang w:val="de-DE"/>
        </w:rPr>
        <w:t xml:space="preserve"> DE 2 ÉTHYLBUTYLE“</w:t>
      </w:r>
      <w:r>
        <w:rPr>
          <w:sz w:val="20"/>
          <w:lang w:val="de-DE"/>
        </w:rPr>
        <w:t>.</w:t>
      </w:r>
    </w:p>
    <w:p w14:paraId="2EDC1552" w14:textId="77777777" w:rsidR="00E24D42" w:rsidRDefault="00E24D42" w:rsidP="00EA2AB2">
      <w:pPr>
        <w:spacing w:after="0"/>
        <w:ind w:right="566"/>
        <w:jc w:val="both"/>
        <w:rPr>
          <w:sz w:val="20"/>
          <w:lang w:val="de-DE"/>
        </w:rPr>
      </w:pPr>
    </w:p>
    <w:p w14:paraId="4C2AB2CB" w14:textId="4461405A" w:rsidR="00DA1AE5" w:rsidRDefault="00DA1AE5" w:rsidP="00EA2AB2">
      <w:pPr>
        <w:spacing w:after="0"/>
        <w:ind w:right="566"/>
        <w:jc w:val="both"/>
        <w:rPr>
          <w:sz w:val="20"/>
          <w:lang w:val="de-DE"/>
        </w:rPr>
      </w:pPr>
      <w:r>
        <w:rPr>
          <w:sz w:val="20"/>
          <w:lang w:val="de-DE"/>
        </w:rPr>
        <w:t>1</w:t>
      </w:r>
      <w:r w:rsidR="00912F36">
        <w:rPr>
          <w:sz w:val="20"/>
          <w:lang w:val="de-DE"/>
        </w:rPr>
        <w:t>7</w:t>
      </w:r>
      <w:r>
        <w:rPr>
          <w:sz w:val="20"/>
          <w:lang w:val="de-DE"/>
        </w:rPr>
        <w:t>.</w:t>
      </w:r>
      <w:r>
        <w:rPr>
          <w:sz w:val="20"/>
          <w:lang w:val="de-DE"/>
        </w:rPr>
        <w:tab/>
        <w:t>Für UN 2074</w:t>
      </w:r>
      <w:r w:rsidR="00ED1641">
        <w:rPr>
          <w:sz w:val="20"/>
          <w:lang w:val="de-DE"/>
        </w:rPr>
        <w:t>,</w:t>
      </w:r>
      <w:r>
        <w:rPr>
          <w:sz w:val="20"/>
          <w:lang w:val="de-DE"/>
        </w:rPr>
        <w:t xml:space="preserve"> UN 3468 </w:t>
      </w:r>
      <w:r w:rsidR="00ED1641">
        <w:rPr>
          <w:sz w:val="20"/>
          <w:lang w:val="de-DE"/>
        </w:rPr>
        <w:t xml:space="preserve">und UN 1153, VG II in Spalte (8) der Tabelle </w:t>
      </w:r>
      <w:r w:rsidR="00990F1C">
        <w:rPr>
          <w:sz w:val="20"/>
          <w:lang w:val="de-DE"/>
        </w:rPr>
        <w:t>A</w:t>
      </w:r>
      <w:r w:rsidR="00ED1641">
        <w:rPr>
          <w:sz w:val="20"/>
          <w:lang w:val="de-DE"/>
        </w:rPr>
        <w:t xml:space="preserve"> „T“ streichen und für UN</w:t>
      </w:r>
      <w:r w:rsidR="00155839">
        <w:rPr>
          <w:sz w:val="20"/>
          <w:lang w:val="de-DE"/>
        </w:rPr>
        <w:t> </w:t>
      </w:r>
      <w:r w:rsidR="00ED1641">
        <w:rPr>
          <w:sz w:val="20"/>
          <w:lang w:val="de-DE"/>
        </w:rPr>
        <w:t xml:space="preserve">3456 </w:t>
      </w:r>
      <w:r w:rsidR="00ED1641" w:rsidRPr="00ED1641">
        <w:rPr>
          <w:sz w:val="20"/>
          <w:lang w:val="de-DE"/>
        </w:rPr>
        <w:t xml:space="preserve">in Spalte (8) der Tabelle </w:t>
      </w:r>
      <w:r w:rsidR="00990F1C">
        <w:rPr>
          <w:sz w:val="20"/>
          <w:lang w:val="de-DE"/>
        </w:rPr>
        <w:t>A</w:t>
      </w:r>
      <w:r w:rsidR="00ED1641" w:rsidRPr="00ED1641">
        <w:rPr>
          <w:sz w:val="20"/>
          <w:lang w:val="de-DE"/>
        </w:rPr>
        <w:t xml:space="preserve"> „T</w:t>
      </w:r>
      <w:r w:rsidR="00ED1641">
        <w:rPr>
          <w:sz w:val="20"/>
          <w:lang w:val="de-DE"/>
        </w:rPr>
        <w:t>3</w:t>
      </w:r>
      <w:r w:rsidR="00ED1641" w:rsidRPr="00ED1641">
        <w:rPr>
          <w:sz w:val="20"/>
          <w:lang w:val="de-DE"/>
        </w:rPr>
        <w:t>“ streichen</w:t>
      </w:r>
      <w:r w:rsidR="00ED1641">
        <w:rPr>
          <w:sz w:val="20"/>
          <w:lang w:val="de-DE"/>
        </w:rPr>
        <w:t>.</w:t>
      </w:r>
    </w:p>
    <w:p w14:paraId="1D1A04F1" w14:textId="77777777" w:rsidR="00ED1641" w:rsidRDefault="00ED1641" w:rsidP="00EA2AB2">
      <w:pPr>
        <w:spacing w:after="0"/>
        <w:ind w:right="566"/>
        <w:jc w:val="both"/>
        <w:rPr>
          <w:sz w:val="20"/>
          <w:lang w:val="de-DE"/>
        </w:rPr>
      </w:pPr>
    </w:p>
    <w:p w14:paraId="0A3C5A4F" w14:textId="77777777" w:rsidR="00E24D42" w:rsidRDefault="00990F1C" w:rsidP="00EA2AB2">
      <w:pPr>
        <w:spacing w:after="0"/>
        <w:ind w:right="566"/>
        <w:jc w:val="both"/>
        <w:rPr>
          <w:sz w:val="20"/>
          <w:lang w:val="de-DE"/>
        </w:rPr>
      </w:pPr>
      <w:r>
        <w:rPr>
          <w:sz w:val="20"/>
          <w:lang w:val="de-DE"/>
        </w:rPr>
        <w:t>1</w:t>
      </w:r>
      <w:r w:rsidR="00912F36">
        <w:rPr>
          <w:sz w:val="20"/>
          <w:lang w:val="de-DE"/>
        </w:rPr>
        <w:t>8</w:t>
      </w:r>
      <w:r>
        <w:rPr>
          <w:sz w:val="20"/>
          <w:lang w:val="de-DE"/>
        </w:rPr>
        <w:t>.</w:t>
      </w:r>
      <w:r>
        <w:rPr>
          <w:sz w:val="20"/>
          <w:lang w:val="de-DE"/>
        </w:rPr>
        <w:tab/>
        <w:t xml:space="preserve">Für UN 2288, UN 2582, UN 2785, UN 2984 und UN 3429 </w:t>
      </w:r>
      <w:r w:rsidRPr="00990F1C">
        <w:rPr>
          <w:sz w:val="20"/>
          <w:lang w:val="de-DE"/>
        </w:rPr>
        <w:t xml:space="preserve">in Spalte (8) der Tabelle </w:t>
      </w:r>
      <w:r>
        <w:rPr>
          <w:sz w:val="20"/>
          <w:lang w:val="de-DE"/>
        </w:rPr>
        <w:t>A</w:t>
      </w:r>
      <w:r w:rsidRPr="00990F1C">
        <w:rPr>
          <w:sz w:val="20"/>
          <w:lang w:val="de-DE"/>
        </w:rPr>
        <w:t xml:space="preserve"> „T“ </w:t>
      </w:r>
      <w:r>
        <w:rPr>
          <w:sz w:val="20"/>
          <w:lang w:val="de-DE"/>
        </w:rPr>
        <w:t>einfügen.</w:t>
      </w:r>
    </w:p>
    <w:p w14:paraId="48614A7C" w14:textId="77777777" w:rsidR="0079303F" w:rsidRDefault="0079303F" w:rsidP="00EA2AB2">
      <w:pPr>
        <w:spacing w:after="0"/>
        <w:ind w:right="566"/>
        <w:jc w:val="both"/>
        <w:rPr>
          <w:sz w:val="20"/>
          <w:lang w:val="de-DE"/>
        </w:rPr>
      </w:pPr>
    </w:p>
    <w:p w14:paraId="57736351" w14:textId="77777777" w:rsidR="00ED1641" w:rsidRPr="00DA1AE5" w:rsidRDefault="00ED1641" w:rsidP="00EA2AB2">
      <w:pPr>
        <w:spacing w:after="0"/>
        <w:ind w:right="566"/>
        <w:jc w:val="both"/>
        <w:rPr>
          <w:sz w:val="20"/>
          <w:lang w:val="de-DE"/>
        </w:rPr>
      </w:pPr>
      <w:r>
        <w:rPr>
          <w:sz w:val="20"/>
          <w:lang w:val="de-DE"/>
        </w:rPr>
        <w:t>1</w:t>
      </w:r>
      <w:r w:rsidR="0079303F">
        <w:rPr>
          <w:sz w:val="20"/>
          <w:lang w:val="de-DE"/>
        </w:rPr>
        <w:t>9</w:t>
      </w:r>
      <w:r>
        <w:rPr>
          <w:sz w:val="20"/>
          <w:lang w:val="de-DE"/>
        </w:rPr>
        <w:t>.</w:t>
      </w:r>
      <w:r>
        <w:rPr>
          <w:sz w:val="20"/>
          <w:lang w:val="de-DE"/>
        </w:rPr>
        <w:tab/>
      </w:r>
      <w:r w:rsidR="00FC4CB0">
        <w:rPr>
          <w:sz w:val="20"/>
          <w:lang w:val="de-DE"/>
        </w:rPr>
        <w:t>F</w:t>
      </w:r>
      <w:r w:rsidR="00FC4CB0" w:rsidRPr="00FC4CB0">
        <w:rPr>
          <w:sz w:val="20"/>
          <w:lang w:val="de-DE"/>
        </w:rPr>
        <w:t xml:space="preserve">ür UN </w:t>
      </w:r>
      <w:r w:rsidR="00FC4CB0">
        <w:rPr>
          <w:sz w:val="20"/>
          <w:lang w:val="de-DE"/>
        </w:rPr>
        <w:t xml:space="preserve">2785 </w:t>
      </w:r>
      <w:r w:rsidR="00E24D42">
        <w:rPr>
          <w:sz w:val="20"/>
          <w:lang w:val="de-DE"/>
        </w:rPr>
        <w:t>i</w:t>
      </w:r>
      <w:r w:rsidR="00FC4CB0" w:rsidRPr="00FC4CB0">
        <w:rPr>
          <w:sz w:val="20"/>
          <w:lang w:val="de-DE"/>
        </w:rPr>
        <w:t xml:space="preserve">n Tabelle </w:t>
      </w:r>
      <w:r w:rsidR="00990F1C">
        <w:rPr>
          <w:sz w:val="20"/>
          <w:lang w:val="de-DE"/>
        </w:rPr>
        <w:t>A</w:t>
      </w:r>
      <w:r w:rsidR="00FC4CB0" w:rsidRPr="00FC4CB0">
        <w:rPr>
          <w:sz w:val="20"/>
          <w:lang w:val="de-DE"/>
        </w:rPr>
        <w:t xml:space="preserve"> Spalte (2) der französischen Fassung </w:t>
      </w:r>
      <w:r w:rsidR="00FC4CB0">
        <w:rPr>
          <w:sz w:val="20"/>
          <w:lang w:val="de-DE"/>
        </w:rPr>
        <w:t>„</w:t>
      </w:r>
      <w:r w:rsidR="00FC4CB0" w:rsidRPr="00FC4CB0">
        <w:rPr>
          <w:sz w:val="20"/>
          <w:lang w:val="de-DE"/>
        </w:rPr>
        <w:t>(MÉTHYLTHIO-3 PROPANAL)</w:t>
      </w:r>
      <w:r w:rsidR="00FC4CB0">
        <w:rPr>
          <w:sz w:val="20"/>
          <w:lang w:val="de-DE"/>
        </w:rPr>
        <w:t xml:space="preserve">“ streichen </w:t>
      </w:r>
      <w:r w:rsidR="00E24D42">
        <w:rPr>
          <w:sz w:val="20"/>
          <w:lang w:val="de-DE"/>
        </w:rPr>
        <w:t xml:space="preserve">und </w:t>
      </w:r>
      <w:r w:rsidR="00E24D42" w:rsidRPr="00E24D42">
        <w:rPr>
          <w:sz w:val="20"/>
          <w:lang w:val="de-DE"/>
        </w:rPr>
        <w:t xml:space="preserve">in Tabelle C Spalte (2) der </w:t>
      </w:r>
      <w:r w:rsidR="00E24D42">
        <w:rPr>
          <w:sz w:val="20"/>
          <w:lang w:val="de-DE"/>
        </w:rPr>
        <w:t>engl</w:t>
      </w:r>
      <w:r w:rsidR="00E24D42" w:rsidRPr="00E24D42">
        <w:rPr>
          <w:sz w:val="20"/>
          <w:lang w:val="de-DE"/>
        </w:rPr>
        <w:t>ischen Fassung</w:t>
      </w:r>
      <w:r w:rsidR="00E24D42">
        <w:rPr>
          <w:sz w:val="20"/>
          <w:lang w:val="de-DE"/>
        </w:rPr>
        <w:t xml:space="preserve"> „</w:t>
      </w:r>
      <w:r w:rsidR="00E24D42" w:rsidRPr="00E24D42">
        <w:rPr>
          <w:sz w:val="20"/>
          <w:lang w:val="de-DE"/>
        </w:rPr>
        <w:t>(3-MÉTHYLMERCAPTO- PROPIONALDÉHYDE)</w:t>
      </w:r>
      <w:r w:rsidR="00E24D42">
        <w:rPr>
          <w:sz w:val="20"/>
          <w:lang w:val="de-DE"/>
        </w:rPr>
        <w:t>“ ersetzen durch „</w:t>
      </w:r>
      <w:r w:rsidR="00E24D42" w:rsidRPr="00E24D42">
        <w:rPr>
          <w:sz w:val="20"/>
          <w:lang w:val="de-DE"/>
        </w:rPr>
        <w:t>(3-M</w:t>
      </w:r>
      <w:r w:rsidR="00E24D42">
        <w:rPr>
          <w:sz w:val="20"/>
          <w:lang w:val="de-DE"/>
        </w:rPr>
        <w:t>E</w:t>
      </w:r>
      <w:r w:rsidR="00E24D42" w:rsidRPr="00E24D42">
        <w:rPr>
          <w:sz w:val="20"/>
          <w:lang w:val="de-DE"/>
        </w:rPr>
        <w:t>THYLMERCAPTO- PROPIONALD</w:t>
      </w:r>
      <w:r w:rsidR="00E24D42">
        <w:rPr>
          <w:sz w:val="20"/>
          <w:lang w:val="de-DE"/>
        </w:rPr>
        <w:t>E</w:t>
      </w:r>
      <w:r w:rsidR="00E24D42" w:rsidRPr="00E24D42">
        <w:rPr>
          <w:sz w:val="20"/>
          <w:lang w:val="de-DE"/>
        </w:rPr>
        <w:t>HYDE)</w:t>
      </w:r>
      <w:r w:rsidR="00E24D42">
        <w:rPr>
          <w:sz w:val="20"/>
          <w:lang w:val="de-DE"/>
        </w:rPr>
        <w:t>.</w:t>
      </w:r>
    </w:p>
    <w:p w14:paraId="00B60654" w14:textId="77777777" w:rsidR="00881DBA" w:rsidRDefault="00881DBA" w:rsidP="00EA2AB2">
      <w:pPr>
        <w:spacing w:after="0"/>
        <w:ind w:right="566"/>
        <w:jc w:val="both"/>
        <w:rPr>
          <w:sz w:val="20"/>
          <w:lang w:val="de-DE"/>
        </w:rPr>
      </w:pPr>
    </w:p>
    <w:p w14:paraId="621D6735" w14:textId="77777777" w:rsidR="007F06F8" w:rsidRDefault="0079303F" w:rsidP="00EA2AB2">
      <w:pPr>
        <w:spacing w:after="0"/>
        <w:ind w:right="566"/>
        <w:jc w:val="both"/>
        <w:rPr>
          <w:sz w:val="20"/>
          <w:lang w:val="de-DE"/>
        </w:rPr>
      </w:pPr>
      <w:r>
        <w:rPr>
          <w:sz w:val="20"/>
          <w:lang w:val="de-DE"/>
        </w:rPr>
        <w:t>20</w:t>
      </w:r>
      <w:r w:rsidR="00E24D42">
        <w:rPr>
          <w:sz w:val="20"/>
          <w:lang w:val="de-DE"/>
        </w:rPr>
        <w:t>.</w:t>
      </w:r>
      <w:r w:rsidR="00E24D42">
        <w:rPr>
          <w:sz w:val="20"/>
          <w:lang w:val="de-DE"/>
        </w:rPr>
        <w:tab/>
      </w:r>
      <w:r w:rsidR="007F06F8">
        <w:rPr>
          <w:sz w:val="20"/>
          <w:lang w:val="de-DE"/>
        </w:rPr>
        <w:t>In 2.2.9.1.2. am Ende einfügen:</w:t>
      </w:r>
    </w:p>
    <w:p w14:paraId="1D0D39EB" w14:textId="77777777" w:rsidR="007F06F8" w:rsidRDefault="007F06F8" w:rsidP="00EA2AB2">
      <w:pPr>
        <w:spacing w:after="0"/>
        <w:ind w:right="566"/>
        <w:jc w:val="both"/>
        <w:rPr>
          <w:sz w:val="20"/>
          <w:lang w:val="de-DE"/>
        </w:rPr>
      </w:pPr>
    </w:p>
    <w:p w14:paraId="1F73AD43" w14:textId="026E70DC" w:rsidR="007F06F8" w:rsidRDefault="007F06F8" w:rsidP="00EA2AB2">
      <w:pPr>
        <w:spacing w:after="0"/>
        <w:ind w:right="566"/>
        <w:jc w:val="both"/>
        <w:rPr>
          <w:sz w:val="20"/>
          <w:lang w:val="de-DE"/>
        </w:rPr>
      </w:pPr>
      <w:r>
        <w:rPr>
          <w:sz w:val="20"/>
          <w:lang w:val="de-DE"/>
        </w:rPr>
        <w:tab/>
        <w:t>„M12</w:t>
      </w:r>
      <w:r>
        <w:rPr>
          <w:sz w:val="20"/>
          <w:lang w:val="de-DE"/>
        </w:rPr>
        <w:tab/>
      </w:r>
      <w:r w:rsidRPr="007F06F8">
        <w:rPr>
          <w:sz w:val="20"/>
          <w:lang w:val="de-DE"/>
        </w:rPr>
        <w:t>Andere Stoffe und Gegenstände, die während der Beförderung</w:t>
      </w:r>
      <w:r>
        <w:rPr>
          <w:sz w:val="20"/>
          <w:lang w:val="de-DE"/>
        </w:rPr>
        <w:t xml:space="preserve"> in Tankschiffen </w:t>
      </w:r>
      <w:r w:rsidRPr="007F06F8">
        <w:rPr>
          <w:sz w:val="20"/>
          <w:lang w:val="de-DE"/>
        </w:rPr>
        <w:t xml:space="preserve">eine Gefahr </w:t>
      </w:r>
    </w:p>
    <w:p w14:paraId="33CAA25B" w14:textId="77777777" w:rsidR="007F06F8" w:rsidRDefault="007F06F8" w:rsidP="00EA2AB2">
      <w:pPr>
        <w:spacing w:after="0"/>
        <w:ind w:right="566"/>
        <w:jc w:val="both"/>
        <w:rPr>
          <w:sz w:val="20"/>
          <w:lang w:val="de-DE"/>
        </w:rPr>
      </w:pPr>
      <w:r>
        <w:rPr>
          <w:sz w:val="20"/>
          <w:lang w:val="de-DE"/>
        </w:rPr>
        <w:tab/>
      </w:r>
      <w:r>
        <w:rPr>
          <w:sz w:val="20"/>
          <w:lang w:val="de-DE"/>
        </w:rPr>
        <w:tab/>
      </w:r>
      <w:r w:rsidRPr="007F06F8">
        <w:rPr>
          <w:sz w:val="20"/>
          <w:lang w:val="de-DE"/>
        </w:rPr>
        <w:t>darstellen</w:t>
      </w:r>
      <w:r>
        <w:rPr>
          <w:sz w:val="20"/>
          <w:lang w:val="de-DE"/>
        </w:rPr>
        <w:t xml:space="preserve"> </w:t>
      </w:r>
      <w:r w:rsidRPr="007F06F8">
        <w:rPr>
          <w:sz w:val="20"/>
          <w:lang w:val="de-DE"/>
        </w:rPr>
        <w:t>und nicht unter die Definition einer anderen Klasse fallen.</w:t>
      </w:r>
      <w:r>
        <w:rPr>
          <w:sz w:val="20"/>
          <w:lang w:val="de-DE"/>
        </w:rPr>
        <w:t>“.</w:t>
      </w:r>
    </w:p>
    <w:p w14:paraId="7FC34DAE" w14:textId="77777777" w:rsidR="00643488" w:rsidRDefault="00643488" w:rsidP="00EA2AB2">
      <w:pPr>
        <w:spacing w:after="0"/>
        <w:ind w:right="566"/>
        <w:jc w:val="both"/>
        <w:rPr>
          <w:bCs/>
          <w:sz w:val="20"/>
          <w:lang w:val="de-DE"/>
        </w:rPr>
      </w:pPr>
    </w:p>
    <w:p w14:paraId="0287F723" w14:textId="77777777" w:rsidR="0056070B" w:rsidRDefault="0056070B" w:rsidP="00EA2AB2">
      <w:pPr>
        <w:spacing w:after="0"/>
        <w:ind w:right="566"/>
        <w:jc w:val="both"/>
        <w:rPr>
          <w:bCs/>
          <w:sz w:val="20"/>
          <w:lang w:val="de-DE"/>
        </w:rPr>
      </w:pPr>
      <w:r>
        <w:rPr>
          <w:bCs/>
          <w:sz w:val="20"/>
          <w:lang w:val="de-DE"/>
        </w:rPr>
        <w:t>In 2.2.9.3</w:t>
      </w:r>
      <w:r w:rsidRPr="0056070B">
        <w:rPr>
          <w:lang w:val="de-DE"/>
        </w:rPr>
        <w:t xml:space="preserve"> </w:t>
      </w:r>
      <w:r w:rsidRPr="0056070B">
        <w:rPr>
          <w:bCs/>
          <w:sz w:val="20"/>
          <w:lang w:val="de-DE"/>
        </w:rPr>
        <w:t>der englischen, französischen und russischen Sprachfassung</w:t>
      </w:r>
      <w:r>
        <w:rPr>
          <w:bCs/>
          <w:sz w:val="20"/>
          <w:lang w:val="de-DE"/>
        </w:rPr>
        <w:t xml:space="preserve"> beim Klassifizierungscode M6 die Einträge für die Stoffnummern 9005 und 9006 streichen.</w:t>
      </w:r>
    </w:p>
    <w:p w14:paraId="3520B4FC" w14:textId="77777777" w:rsidR="0056070B" w:rsidRDefault="0056070B" w:rsidP="00EA2AB2">
      <w:pPr>
        <w:spacing w:after="0"/>
        <w:ind w:left="567" w:right="566" w:hanging="567"/>
        <w:jc w:val="both"/>
        <w:rPr>
          <w:bCs/>
          <w:sz w:val="20"/>
          <w:lang w:val="de-DE"/>
        </w:rPr>
      </w:pPr>
    </w:p>
    <w:p w14:paraId="42CBF506" w14:textId="77777777" w:rsidR="007F06F8" w:rsidRDefault="00E17CF1" w:rsidP="00EA2AB2">
      <w:pPr>
        <w:spacing w:after="0"/>
        <w:ind w:left="567" w:right="566" w:hanging="567"/>
        <w:jc w:val="both"/>
        <w:rPr>
          <w:bCs/>
          <w:sz w:val="20"/>
          <w:lang w:val="de-DE"/>
        </w:rPr>
      </w:pPr>
      <w:r>
        <w:rPr>
          <w:bCs/>
          <w:sz w:val="20"/>
          <w:lang w:val="de-DE"/>
        </w:rPr>
        <w:t xml:space="preserve">In 2.2.9.3 </w:t>
      </w:r>
      <w:r w:rsidR="0056070B">
        <w:rPr>
          <w:bCs/>
          <w:sz w:val="20"/>
          <w:lang w:val="de-DE"/>
        </w:rPr>
        <w:t xml:space="preserve">für alle Sprachfassungen </w:t>
      </w:r>
      <w:r>
        <w:rPr>
          <w:bCs/>
          <w:sz w:val="20"/>
          <w:lang w:val="de-DE"/>
        </w:rPr>
        <w:t>am Ende ergänzen:</w:t>
      </w:r>
    </w:p>
    <w:p w14:paraId="2583D0FB" w14:textId="77777777" w:rsidR="00E17CF1" w:rsidRDefault="00E17CF1" w:rsidP="00EA2AB2">
      <w:pPr>
        <w:spacing w:after="0"/>
        <w:ind w:left="567" w:right="566" w:hanging="567"/>
        <w:jc w:val="both"/>
        <w:rPr>
          <w:bCs/>
          <w:sz w:val="20"/>
          <w:lang w:val="de-DE"/>
        </w:rPr>
      </w:pPr>
    </w:p>
    <w:p w14:paraId="4CF4F2F1" w14:textId="77777777" w:rsidR="00E17CF1" w:rsidRDefault="00E17CF1" w:rsidP="00EA2AB2">
      <w:pPr>
        <w:spacing w:after="0"/>
        <w:ind w:left="567" w:right="566" w:hanging="567"/>
        <w:jc w:val="both"/>
        <w:rPr>
          <w:bCs/>
          <w:sz w:val="20"/>
          <w:lang w:val="de-DE"/>
        </w:rPr>
      </w:pPr>
      <w:r>
        <w:rPr>
          <w:bCs/>
          <w:sz w:val="20"/>
          <w:lang w:val="de-DE"/>
        </w:rPr>
        <w:tab/>
      </w:r>
    </w:p>
    <w:tbl>
      <w:tblPr>
        <w:tblW w:w="8547" w:type="dxa"/>
        <w:tblInd w:w="51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1"/>
        <w:gridCol w:w="851"/>
        <w:gridCol w:w="5145"/>
      </w:tblGrid>
      <w:tr w:rsidR="00E17CF1" w:rsidRPr="00D93C93" w14:paraId="0D93DD94" w14:textId="77777777" w:rsidTr="0056070B">
        <w:tc>
          <w:tcPr>
            <w:tcW w:w="2551" w:type="dxa"/>
            <w:tcBorders>
              <w:top w:val="nil"/>
              <w:bottom w:val="single" w:sz="4" w:space="0" w:color="auto"/>
            </w:tcBorders>
          </w:tcPr>
          <w:p w14:paraId="6C18E582" w14:textId="77777777" w:rsidR="00E17CF1" w:rsidRPr="000A4413" w:rsidRDefault="00E17CF1" w:rsidP="00EA2AB2">
            <w:pPr>
              <w:spacing w:after="0"/>
              <w:ind w:right="566"/>
              <w:jc w:val="both"/>
              <w:rPr>
                <w:b/>
                <w:sz w:val="20"/>
                <w:lang w:val="de-DE" w:eastAsia="de-DE"/>
              </w:rPr>
            </w:pPr>
          </w:p>
        </w:tc>
        <w:tc>
          <w:tcPr>
            <w:tcW w:w="851" w:type="dxa"/>
            <w:tcBorders>
              <w:top w:val="nil"/>
              <w:bottom w:val="single" w:sz="4" w:space="0" w:color="auto"/>
              <w:right w:val="single" w:sz="4" w:space="0" w:color="auto"/>
            </w:tcBorders>
          </w:tcPr>
          <w:p w14:paraId="1229A3E4" w14:textId="77777777" w:rsidR="00E17CF1" w:rsidRPr="000A4413" w:rsidRDefault="00E17CF1" w:rsidP="00EA2AB2">
            <w:pPr>
              <w:spacing w:after="0"/>
              <w:ind w:right="566"/>
              <w:jc w:val="both"/>
              <w:rPr>
                <w:b/>
                <w:sz w:val="20"/>
                <w:lang w:val="de-DE" w:eastAsia="de-DE"/>
              </w:rPr>
            </w:pPr>
          </w:p>
        </w:tc>
        <w:tc>
          <w:tcPr>
            <w:tcW w:w="5145" w:type="dxa"/>
            <w:tcBorders>
              <w:top w:val="single" w:sz="6" w:space="0" w:color="auto"/>
              <w:left w:val="single" w:sz="4" w:space="0" w:color="auto"/>
              <w:bottom w:val="nil"/>
            </w:tcBorders>
          </w:tcPr>
          <w:p w14:paraId="62811873" w14:textId="77777777" w:rsidR="00E17CF1" w:rsidRPr="000A4413" w:rsidRDefault="00E17CF1" w:rsidP="00EA2AB2">
            <w:pPr>
              <w:tabs>
                <w:tab w:val="left" w:pos="567"/>
              </w:tabs>
              <w:spacing w:after="0"/>
              <w:ind w:right="566"/>
              <w:jc w:val="both"/>
              <w:rPr>
                <w:sz w:val="20"/>
                <w:lang w:val="de-DE" w:eastAsia="de-DE"/>
              </w:rPr>
            </w:pPr>
            <w:r w:rsidRPr="000A4413">
              <w:rPr>
                <w:sz w:val="20"/>
                <w:lang w:val="de-DE" w:eastAsia="de-DE"/>
              </w:rPr>
              <w:t>Nur die folgenden, in Kapitel 3.2 Tabelle A mit diesem Klassifizierungscode aufgeführten Stoffe und Gegenstände unterliegen den Vorschriften der Klasse 9:</w:t>
            </w:r>
          </w:p>
        </w:tc>
      </w:tr>
      <w:tr w:rsidR="00E17CF1" w:rsidRPr="00D93C93" w14:paraId="31D05CBA" w14:textId="77777777" w:rsidTr="0056070B">
        <w:tc>
          <w:tcPr>
            <w:tcW w:w="2551" w:type="dxa"/>
            <w:tcBorders>
              <w:top w:val="single" w:sz="4" w:space="0" w:color="auto"/>
              <w:bottom w:val="single" w:sz="4" w:space="0" w:color="auto"/>
            </w:tcBorders>
          </w:tcPr>
          <w:p w14:paraId="7CA83C85" w14:textId="77777777" w:rsidR="00E17CF1" w:rsidRPr="000A4413" w:rsidRDefault="00E17CF1" w:rsidP="00EA2AB2">
            <w:pPr>
              <w:spacing w:after="0"/>
              <w:ind w:right="175"/>
              <w:rPr>
                <w:b/>
                <w:sz w:val="20"/>
                <w:lang w:val="de-DE" w:eastAsia="de-DE"/>
              </w:rPr>
            </w:pPr>
            <w:r w:rsidRPr="000A4413">
              <w:rPr>
                <w:b/>
                <w:sz w:val="20"/>
                <w:lang w:val="de-DE" w:eastAsia="de-DE"/>
              </w:rPr>
              <w:t>andere Stoffe und Gegenstände, die während der Beförderung in Tankschiffen eine Gefahr darstellen und nicht unter die Definition einer anderen Klasse fallen</w:t>
            </w:r>
          </w:p>
        </w:tc>
        <w:tc>
          <w:tcPr>
            <w:tcW w:w="851" w:type="dxa"/>
            <w:tcBorders>
              <w:top w:val="single" w:sz="4" w:space="0" w:color="auto"/>
              <w:bottom w:val="single" w:sz="4" w:space="0" w:color="auto"/>
              <w:right w:val="single" w:sz="4" w:space="0" w:color="auto"/>
            </w:tcBorders>
          </w:tcPr>
          <w:p w14:paraId="5D26BEA3" w14:textId="77777777" w:rsidR="00E17CF1" w:rsidRPr="000A4413" w:rsidRDefault="00E17CF1" w:rsidP="00EA2AB2">
            <w:pPr>
              <w:spacing w:after="0"/>
              <w:ind w:right="316"/>
              <w:rPr>
                <w:b/>
                <w:sz w:val="20"/>
                <w:lang w:val="de-DE" w:eastAsia="de-DE"/>
              </w:rPr>
            </w:pPr>
            <w:r w:rsidRPr="000A4413">
              <w:rPr>
                <w:b/>
                <w:sz w:val="20"/>
                <w:lang w:val="de-DE" w:eastAsia="de-DE"/>
              </w:rPr>
              <w:t>M12</w:t>
            </w:r>
          </w:p>
        </w:tc>
        <w:tc>
          <w:tcPr>
            <w:tcW w:w="5145" w:type="dxa"/>
            <w:tcBorders>
              <w:top w:val="nil"/>
              <w:left w:val="single" w:sz="4" w:space="0" w:color="auto"/>
              <w:bottom w:val="single" w:sz="4" w:space="0" w:color="auto"/>
            </w:tcBorders>
          </w:tcPr>
          <w:p w14:paraId="326C6B07" w14:textId="77777777" w:rsidR="00E17CF1" w:rsidRPr="000A4413" w:rsidRDefault="00E17CF1" w:rsidP="00EA2AB2">
            <w:pPr>
              <w:tabs>
                <w:tab w:val="left" w:pos="567"/>
              </w:tabs>
              <w:spacing w:after="0"/>
              <w:ind w:left="567" w:right="566" w:hanging="567"/>
              <w:jc w:val="both"/>
              <w:rPr>
                <w:sz w:val="20"/>
                <w:lang w:val="de-DE" w:eastAsia="de-DE"/>
              </w:rPr>
            </w:pPr>
            <w:r w:rsidRPr="000A4413">
              <w:rPr>
                <w:sz w:val="20"/>
                <w:lang w:val="de-DE" w:eastAsia="de-DE"/>
              </w:rPr>
              <w:t>9003</w:t>
            </w:r>
            <w:r w:rsidRPr="000A4413">
              <w:rPr>
                <w:sz w:val="20"/>
                <w:lang w:val="de-DE" w:eastAsia="de-DE"/>
              </w:rPr>
              <w:tab/>
            </w:r>
            <w:r w:rsidRPr="000A4413">
              <w:rPr>
                <w:caps/>
                <w:sz w:val="20"/>
                <w:lang w:val="de-DE" w:eastAsia="de-DE"/>
              </w:rPr>
              <w:t xml:space="preserve">STOFFE MIT EINEM FLAMMPUNKT ÜBER 60 °C UND HÖCHSTENS 100 °C, </w:t>
            </w:r>
            <w:r w:rsidRPr="0050146C">
              <w:rPr>
                <w:sz w:val="20"/>
                <w:lang w:val="de-DE" w:eastAsia="de-DE"/>
              </w:rPr>
              <w:t>die nicht anderen Klassen zuzuordnen sind</w:t>
            </w:r>
          </w:p>
          <w:p w14:paraId="0452B008" w14:textId="77777777" w:rsidR="00E17CF1" w:rsidRPr="000A4413" w:rsidRDefault="00E17CF1" w:rsidP="00EA2AB2">
            <w:pPr>
              <w:tabs>
                <w:tab w:val="left" w:pos="567"/>
              </w:tabs>
              <w:spacing w:after="0"/>
              <w:ind w:left="567" w:right="566" w:hanging="567"/>
              <w:jc w:val="both"/>
              <w:rPr>
                <w:caps/>
                <w:color w:val="000000"/>
                <w:sz w:val="20"/>
                <w:lang w:val="de-DE" w:eastAsia="de-DE"/>
              </w:rPr>
            </w:pPr>
            <w:r w:rsidRPr="000A4413">
              <w:rPr>
                <w:sz w:val="20"/>
                <w:lang w:val="de-DE" w:eastAsia="de-DE"/>
              </w:rPr>
              <w:t>9004</w:t>
            </w:r>
            <w:r w:rsidRPr="000A4413">
              <w:rPr>
                <w:sz w:val="20"/>
                <w:lang w:val="de-DE" w:eastAsia="de-DE"/>
              </w:rPr>
              <w:tab/>
            </w:r>
            <w:r w:rsidRPr="000A4413">
              <w:rPr>
                <w:caps/>
                <w:sz w:val="20"/>
                <w:lang w:val="de-DE" w:eastAsia="de-DE"/>
              </w:rPr>
              <w:t>DIPHENYLMETHAN-4,4'-DIISOCYANAT</w:t>
            </w:r>
          </w:p>
          <w:p w14:paraId="7337D721" w14:textId="77777777" w:rsidR="00E17CF1" w:rsidRPr="000A4413" w:rsidRDefault="00E17CF1" w:rsidP="00EA2AB2">
            <w:pPr>
              <w:tabs>
                <w:tab w:val="left" w:pos="567"/>
              </w:tabs>
              <w:spacing w:after="0"/>
              <w:ind w:left="567" w:right="566" w:hanging="567"/>
              <w:jc w:val="both"/>
              <w:rPr>
                <w:caps/>
                <w:color w:val="000000"/>
                <w:sz w:val="20"/>
                <w:lang w:val="de-DE" w:eastAsia="de-DE"/>
              </w:rPr>
            </w:pPr>
            <w:r w:rsidRPr="000A4413">
              <w:rPr>
                <w:caps/>
                <w:color w:val="000000"/>
                <w:sz w:val="20"/>
                <w:lang w:val="de-DE" w:eastAsia="de-DE"/>
              </w:rPr>
              <w:t>9005</w:t>
            </w:r>
            <w:r w:rsidRPr="000A4413">
              <w:rPr>
                <w:caps/>
                <w:color w:val="000000"/>
                <w:sz w:val="20"/>
                <w:lang w:val="de-DE" w:eastAsia="de-DE"/>
              </w:rPr>
              <w:tab/>
              <w:t>UMWELTGEFÄHRDENDER STOFF, FEST, GESCHMOLZEN, N.A.G.</w:t>
            </w:r>
          </w:p>
          <w:p w14:paraId="4044FDFB" w14:textId="77777777" w:rsidR="00E17CF1" w:rsidRPr="000A4413" w:rsidRDefault="00E17CF1" w:rsidP="00EA2AB2">
            <w:pPr>
              <w:tabs>
                <w:tab w:val="left" w:pos="567"/>
              </w:tabs>
              <w:spacing w:after="0"/>
              <w:ind w:left="567" w:right="566" w:hanging="567"/>
              <w:jc w:val="both"/>
              <w:rPr>
                <w:sz w:val="20"/>
                <w:lang w:val="de-DE" w:eastAsia="de-DE"/>
              </w:rPr>
            </w:pPr>
            <w:r w:rsidRPr="000A4413">
              <w:rPr>
                <w:caps/>
                <w:color w:val="000000"/>
                <w:sz w:val="20"/>
                <w:lang w:val="de-DE" w:eastAsia="de-DE"/>
              </w:rPr>
              <w:t>9006</w:t>
            </w:r>
            <w:r w:rsidRPr="000A4413">
              <w:rPr>
                <w:caps/>
                <w:color w:val="000000"/>
                <w:sz w:val="20"/>
                <w:lang w:val="de-DE" w:eastAsia="de-DE"/>
              </w:rPr>
              <w:tab/>
              <w:t>UMWELTGEFÄHRDENDER STOFF, FLÜSSIG, N.A.G.</w:t>
            </w:r>
          </w:p>
        </w:tc>
      </w:tr>
    </w:tbl>
    <w:p w14:paraId="21821D8B" w14:textId="77777777" w:rsidR="00643488" w:rsidRPr="00EA2AB2" w:rsidRDefault="00643488" w:rsidP="00EA2AB2">
      <w:pPr>
        <w:spacing w:after="0"/>
        <w:ind w:left="567" w:right="566" w:hanging="567"/>
        <w:jc w:val="both"/>
        <w:rPr>
          <w:bCs/>
          <w:sz w:val="20"/>
          <w:lang w:val="de-DE"/>
        </w:rPr>
      </w:pPr>
    </w:p>
    <w:p w14:paraId="1230195D" w14:textId="3A0BDF6B" w:rsidR="000A4413" w:rsidRDefault="0056070B" w:rsidP="00EA2AB2">
      <w:pPr>
        <w:spacing w:after="0"/>
        <w:ind w:right="566"/>
        <w:jc w:val="both"/>
        <w:rPr>
          <w:sz w:val="20"/>
          <w:lang w:val="de-DE"/>
        </w:rPr>
      </w:pPr>
      <w:r>
        <w:rPr>
          <w:bCs/>
          <w:sz w:val="20"/>
          <w:lang w:val="de-DE"/>
        </w:rPr>
        <w:t>und für die Stoffnummern 9003, 9004, 9005 und 9006 in Tabelle A und C jeweils in Spalte 3(b) „M12“ einfügen.</w:t>
      </w:r>
    </w:p>
    <w:p w14:paraId="5BA27C2B" w14:textId="77777777" w:rsidR="00EA2AB2" w:rsidRDefault="00EA2AB2">
      <w:pPr>
        <w:spacing w:after="0"/>
        <w:rPr>
          <w:b/>
          <w:sz w:val="20"/>
          <w:lang w:val="de-DE"/>
        </w:rPr>
      </w:pPr>
      <w:r>
        <w:rPr>
          <w:b/>
          <w:sz w:val="20"/>
          <w:lang w:val="de-DE"/>
        </w:rPr>
        <w:br w:type="page"/>
      </w:r>
    </w:p>
    <w:p w14:paraId="5A49C2C0" w14:textId="3E1C3823" w:rsidR="000A4413" w:rsidRPr="00E62169" w:rsidRDefault="00A531D6" w:rsidP="00EA2AB2">
      <w:pPr>
        <w:spacing w:after="0"/>
        <w:ind w:right="566"/>
        <w:jc w:val="both"/>
        <w:rPr>
          <w:b/>
          <w:szCs w:val="24"/>
          <w:lang w:val="de-DE"/>
        </w:rPr>
      </w:pPr>
      <w:r w:rsidRPr="00E62169">
        <w:rPr>
          <w:b/>
          <w:szCs w:val="24"/>
          <w:lang w:val="de-DE"/>
        </w:rPr>
        <w:lastRenderedPageBreak/>
        <w:t>D</w:t>
      </w:r>
      <w:r w:rsidR="000A4413" w:rsidRPr="00E62169">
        <w:rPr>
          <w:b/>
          <w:szCs w:val="24"/>
          <w:lang w:val="de-DE"/>
        </w:rPr>
        <w:t>.</w:t>
      </w:r>
      <w:r w:rsidR="000A4413" w:rsidRPr="00E62169">
        <w:rPr>
          <w:b/>
          <w:szCs w:val="24"/>
          <w:lang w:val="de-DE"/>
        </w:rPr>
        <w:tab/>
        <w:t>Prüfung der Beförderungsverbote in ADR, RID und ADN</w:t>
      </w:r>
    </w:p>
    <w:p w14:paraId="5AC121E8" w14:textId="77777777" w:rsidR="000A4413" w:rsidRDefault="000A4413" w:rsidP="00EA2AB2">
      <w:pPr>
        <w:spacing w:after="0"/>
        <w:ind w:right="566"/>
        <w:jc w:val="both"/>
        <w:rPr>
          <w:bCs/>
          <w:sz w:val="20"/>
          <w:lang w:val="de-DE"/>
        </w:rPr>
      </w:pPr>
    </w:p>
    <w:p w14:paraId="3E3E992C" w14:textId="77777777" w:rsidR="0056070B" w:rsidRDefault="00912F36" w:rsidP="00EA2AB2">
      <w:pPr>
        <w:spacing w:after="0"/>
        <w:ind w:right="566"/>
        <w:jc w:val="both"/>
        <w:rPr>
          <w:bCs/>
          <w:sz w:val="20"/>
          <w:lang w:val="de-DE"/>
        </w:rPr>
      </w:pPr>
      <w:r>
        <w:rPr>
          <w:bCs/>
          <w:sz w:val="20"/>
          <w:lang w:val="de-DE"/>
        </w:rPr>
        <w:t>2</w:t>
      </w:r>
      <w:r w:rsidR="0079303F">
        <w:rPr>
          <w:bCs/>
          <w:sz w:val="20"/>
          <w:lang w:val="de-DE"/>
        </w:rPr>
        <w:t>1</w:t>
      </w:r>
      <w:r>
        <w:rPr>
          <w:bCs/>
          <w:sz w:val="20"/>
          <w:lang w:val="de-DE"/>
        </w:rPr>
        <w:t>.</w:t>
      </w:r>
      <w:r>
        <w:rPr>
          <w:bCs/>
          <w:sz w:val="20"/>
          <w:lang w:val="de-DE"/>
        </w:rPr>
        <w:tab/>
      </w:r>
      <w:r w:rsidR="0026533C">
        <w:rPr>
          <w:bCs/>
          <w:sz w:val="20"/>
          <w:lang w:val="de-DE"/>
        </w:rPr>
        <w:t xml:space="preserve">Die informelle Arbeitsgruppe „Stoffe“ untersuchte die Vorschriftentexte des ADR, des RID und des ADN in Zusammenhang mit Beförderungsverboten. </w:t>
      </w:r>
      <w:r w:rsidR="00570F0C">
        <w:rPr>
          <w:bCs/>
          <w:sz w:val="20"/>
          <w:lang w:val="de-DE"/>
        </w:rPr>
        <w:t>Die Unterschiede zwischen den Verkehrsträgern bestehen im Wesentlichen bei der Beförderung unter Temperaturkontrolle. Die Gruppe stellte fest, dass ähnlich wie im Seeverkehr die Vorschriften für die Temperaturkontrolle und die damit verbunden Maßnahmen bei der Beförderung gefährlicher Güter mit Binnenschiffen technisch umgesetzt werden können. Deshalb kam man zu dem Ergebnis, dass die Vorschriften zu Beförderungsverboten im ADN weitgehend den Vorschriften des ADR folgen sollten.</w:t>
      </w:r>
    </w:p>
    <w:p w14:paraId="0287094D" w14:textId="77777777" w:rsidR="00570F0C" w:rsidRDefault="00570F0C" w:rsidP="00EA2AB2">
      <w:pPr>
        <w:spacing w:after="0"/>
        <w:ind w:right="566"/>
        <w:jc w:val="both"/>
        <w:rPr>
          <w:bCs/>
          <w:sz w:val="20"/>
          <w:lang w:val="de-DE"/>
        </w:rPr>
      </w:pPr>
    </w:p>
    <w:p w14:paraId="117C7A0F" w14:textId="3C5F6A02" w:rsidR="00570F0C" w:rsidRDefault="00570F0C" w:rsidP="00EA2AB2">
      <w:pPr>
        <w:spacing w:after="0"/>
        <w:ind w:right="566"/>
        <w:jc w:val="both"/>
        <w:rPr>
          <w:bCs/>
          <w:sz w:val="20"/>
          <w:lang w:val="de-DE"/>
        </w:rPr>
      </w:pPr>
      <w:r>
        <w:rPr>
          <w:bCs/>
          <w:sz w:val="20"/>
          <w:lang w:val="de-DE"/>
        </w:rPr>
        <w:t>2</w:t>
      </w:r>
      <w:r w:rsidR="0079303F">
        <w:rPr>
          <w:bCs/>
          <w:sz w:val="20"/>
          <w:lang w:val="de-DE"/>
        </w:rPr>
        <w:t>2</w:t>
      </w:r>
      <w:r>
        <w:rPr>
          <w:bCs/>
          <w:sz w:val="20"/>
          <w:lang w:val="de-DE"/>
        </w:rPr>
        <w:t>.</w:t>
      </w:r>
      <w:r>
        <w:rPr>
          <w:bCs/>
          <w:sz w:val="20"/>
          <w:lang w:val="de-DE"/>
        </w:rPr>
        <w:tab/>
      </w:r>
      <w:r w:rsidR="00CC2861">
        <w:rPr>
          <w:bCs/>
          <w:sz w:val="20"/>
          <w:lang w:val="de-DE"/>
        </w:rPr>
        <w:t xml:space="preserve">Die informelle Arbeitsgruppe schloss sich der Auffassung der französischen Delegation </w:t>
      </w:r>
      <w:r w:rsidR="00810A73">
        <w:rPr>
          <w:bCs/>
          <w:sz w:val="20"/>
          <w:lang w:val="de-DE"/>
        </w:rPr>
        <w:t xml:space="preserve">an </w:t>
      </w:r>
      <w:r w:rsidR="00CC2861">
        <w:rPr>
          <w:bCs/>
          <w:sz w:val="20"/>
          <w:lang w:val="de-DE"/>
        </w:rPr>
        <w:t>(</w:t>
      </w:r>
      <w:r w:rsidR="00C72780">
        <w:rPr>
          <w:bCs/>
          <w:sz w:val="20"/>
          <w:lang w:val="de-DE"/>
        </w:rPr>
        <w:t xml:space="preserve">Dokument </w:t>
      </w:r>
      <w:r w:rsidR="00C72780" w:rsidRPr="00C72780">
        <w:rPr>
          <w:bCs/>
          <w:sz w:val="20"/>
          <w:lang w:val="de-DE"/>
        </w:rPr>
        <w:t>ECE/TRANS/WP.15/AC.2/</w:t>
      </w:r>
      <w:r w:rsidR="00CC2861">
        <w:rPr>
          <w:bCs/>
          <w:sz w:val="20"/>
          <w:lang w:val="de-DE"/>
        </w:rPr>
        <w:t xml:space="preserve">2018/42 Absatz 6), dass das Beförderungsverbot für UN 0224 </w:t>
      </w:r>
      <w:r w:rsidR="00CC2861" w:rsidRPr="00CC2861">
        <w:rPr>
          <w:bCs/>
          <w:sz w:val="20"/>
          <w:lang w:val="de-DE"/>
        </w:rPr>
        <w:t>BARIUMAZID, trocken oder angefeuchtet mit weniger als 50 Masse-% Wasser</w:t>
      </w:r>
      <w:r w:rsidR="00CC2861">
        <w:rPr>
          <w:bCs/>
          <w:sz w:val="20"/>
          <w:lang w:val="de-DE"/>
        </w:rPr>
        <w:t xml:space="preserve"> gestrichen werden kann. Dies geschieht auch vor dem Hintergrund, dass</w:t>
      </w:r>
      <w:r w:rsidR="006450F3">
        <w:rPr>
          <w:bCs/>
          <w:sz w:val="20"/>
          <w:lang w:val="de-DE"/>
        </w:rPr>
        <w:t>,</w:t>
      </w:r>
      <w:r w:rsidR="00CC2861">
        <w:rPr>
          <w:bCs/>
          <w:sz w:val="20"/>
          <w:lang w:val="de-DE"/>
        </w:rPr>
        <w:t xml:space="preserve"> anders als im RID, </w:t>
      </w:r>
      <w:r w:rsidR="00B93E3D">
        <w:rPr>
          <w:bCs/>
          <w:sz w:val="20"/>
          <w:lang w:val="de-DE"/>
        </w:rPr>
        <w:t xml:space="preserve">nach den Vorschriften des ADN </w:t>
      </w:r>
      <w:r w:rsidR="00CC2861">
        <w:rPr>
          <w:bCs/>
          <w:sz w:val="20"/>
          <w:lang w:val="de-DE"/>
        </w:rPr>
        <w:t>andere Stoff</w:t>
      </w:r>
      <w:r w:rsidR="00810A73">
        <w:rPr>
          <w:bCs/>
          <w:sz w:val="20"/>
          <w:lang w:val="de-DE"/>
        </w:rPr>
        <w:t>e</w:t>
      </w:r>
      <w:r w:rsidR="00CC2861">
        <w:rPr>
          <w:bCs/>
          <w:sz w:val="20"/>
          <w:lang w:val="de-DE"/>
        </w:rPr>
        <w:t xml:space="preserve"> aus der Klasse 1 mit Verträglichkeitsgruppe A befördert werden dürfen.</w:t>
      </w:r>
    </w:p>
    <w:p w14:paraId="6F6355EF" w14:textId="77777777" w:rsidR="00CC2861" w:rsidRPr="001E3F60" w:rsidRDefault="00CC2861" w:rsidP="00EA2AB2">
      <w:pPr>
        <w:spacing w:after="0"/>
        <w:ind w:right="566"/>
        <w:jc w:val="both"/>
        <w:rPr>
          <w:sz w:val="20"/>
          <w:lang w:val="de-DE"/>
        </w:rPr>
      </w:pPr>
    </w:p>
    <w:p w14:paraId="50E4A36A" w14:textId="77777777" w:rsidR="00CC2861" w:rsidRPr="00E62169" w:rsidRDefault="00CC2861" w:rsidP="00EA2AB2">
      <w:pPr>
        <w:spacing w:after="0"/>
        <w:ind w:right="566"/>
        <w:jc w:val="both"/>
        <w:rPr>
          <w:b/>
          <w:szCs w:val="24"/>
          <w:u w:val="single"/>
          <w:lang w:val="de-DE"/>
        </w:rPr>
      </w:pPr>
      <w:r w:rsidRPr="00E62169">
        <w:rPr>
          <w:b/>
          <w:szCs w:val="24"/>
          <w:u w:val="single"/>
          <w:lang w:val="de-DE"/>
        </w:rPr>
        <w:t>Vorschlag:</w:t>
      </w:r>
    </w:p>
    <w:p w14:paraId="6E5E016E" w14:textId="77777777" w:rsidR="00CC2861" w:rsidRDefault="00CC2861" w:rsidP="00EA2AB2">
      <w:pPr>
        <w:spacing w:after="0"/>
        <w:ind w:right="566"/>
        <w:jc w:val="both"/>
        <w:rPr>
          <w:sz w:val="20"/>
          <w:lang w:val="de-DE"/>
        </w:rPr>
      </w:pPr>
    </w:p>
    <w:p w14:paraId="2769D6B1" w14:textId="77777777" w:rsidR="0056070B" w:rsidRDefault="00CC2861" w:rsidP="00EA2AB2">
      <w:pPr>
        <w:spacing w:after="0"/>
        <w:ind w:right="566"/>
        <w:jc w:val="both"/>
        <w:rPr>
          <w:bCs/>
          <w:sz w:val="20"/>
          <w:lang w:val="de-DE"/>
        </w:rPr>
      </w:pPr>
      <w:r>
        <w:rPr>
          <w:bCs/>
          <w:sz w:val="20"/>
          <w:lang w:val="de-DE"/>
        </w:rPr>
        <w:t>2</w:t>
      </w:r>
      <w:r w:rsidR="0079303F">
        <w:rPr>
          <w:bCs/>
          <w:sz w:val="20"/>
          <w:lang w:val="de-DE"/>
        </w:rPr>
        <w:t>3</w:t>
      </w:r>
      <w:r>
        <w:rPr>
          <w:bCs/>
          <w:sz w:val="20"/>
          <w:lang w:val="de-DE"/>
        </w:rPr>
        <w:t>.</w:t>
      </w:r>
      <w:r>
        <w:rPr>
          <w:bCs/>
          <w:sz w:val="20"/>
          <w:lang w:val="de-DE"/>
        </w:rPr>
        <w:tab/>
        <w:t>Am Ende von 2.2.41.2.3 „-</w:t>
      </w:r>
      <w:r>
        <w:rPr>
          <w:bCs/>
          <w:sz w:val="20"/>
          <w:lang w:val="de-DE"/>
        </w:rPr>
        <w:tab/>
        <w:t>Bariumazid mit einem Wassergehalt von weniger als 50 Masse-%“ streichen</w:t>
      </w:r>
      <w:r w:rsidR="00B928D3">
        <w:rPr>
          <w:bCs/>
          <w:sz w:val="20"/>
          <w:lang w:val="de-DE"/>
        </w:rPr>
        <w:t>.</w:t>
      </w:r>
    </w:p>
    <w:p w14:paraId="225E1659" w14:textId="77777777" w:rsidR="0056070B" w:rsidRDefault="0056070B" w:rsidP="00EA2AB2">
      <w:pPr>
        <w:spacing w:after="0"/>
        <w:ind w:right="566"/>
        <w:jc w:val="both"/>
        <w:rPr>
          <w:bCs/>
          <w:sz w:val="20"/>
          <w:lang w:val="de-DE"/>
        </w:rPr>
      </w:pPr>
    </w:p>
    <w:p w14:paraId="0E8C2A34" w14:textId="77777777" w:rsidR="00B928D3" w:rsidRDefault="00B928D3" w:rsidP="00EA2AB2">
      <w:pPr>
        <w:spacing w:after="0"/>
        <w:ind w:right="566"/>
        <w:jc w:val="both"/>
        <w:rPr>
          <w:sz w:val="20"/>
          <w:lang w:val="de-DE"/>
        </w:rPr>
      </w:pPr>
    </w:p>
    <w:p w14:paraId="323BC683" w14:textId="77777777" w:rsidR="00B928D3" w:rsidRPr="00E62169" w:rsidRDefault="00A531D6" w:rsidP="00EA2AB2">
      <w:pPr>
        <w:spacing w:after="0"/>
        <w:ind w:right="566"/>
        <w:jc w:val="both"/>
        <w:rPr>
          <w:b/>
          <w:szCs w:val="24"/>
          <w:lang w:val="de-DE"/>
        </w:rPr>
      </w:pPr>
      <w:r w:rsidRPr="00E62169">
        <w:rPr>
          <w:b/>
          <w:szCs w:val="24"/>
          <w:lang w:val="de-DE"/>
        </w:rPr>
        <w:t>E</w:t>
      </w:r>
      <w:r w:rsidR="00B928D3" w:rsidRPr="00E62169">
        <w:rPr>
          <w:b/>
          <w:szCs w:val="24"/>
          <w:lang w:val="de-DE"/>
        </w:rPr>
        <w:t>.</w:t>
      </w:r>
      <w:r w:rsidR="00B928D3" w:rsidRPr="00E62169">
        <w:rPr>
          <w:b/>
          <w:szCs w:val="24"/>
          <w:lang w:val="de-DE"/>
        </w:rPr>
        <w:tab/>
        <w:t>Tabelle C - UN 3295 KOHLENWASSERSTOFFE, N.A.G.</w:t>
      </w:r>
    </w:p>
    <w:p w14:paraId="3A3B5D37" w14:textId="77777777" w:rsidR="00B928D3" w:rsidRPr="00B928D3" w:rsidRDefault="00B928D3" w:rsidP="00EA2AB2">
      <w:pPr>
        <w:spacing w:after="0"/>
        <w:ind w:right="566"/>
        <w:jc w:val="both"/>
        <w:rPr>
          <w:bCs/>
          <w:sz w:val="20"/>
          <w:lang w:val="de-DE"/>
        </w:rPr>
      </w:pPr>
    </w:p>
    <w:p w14:paraId="1273E7B7" w14:textId="14A7BF9C" w:rsidR="0056070B" w:rsidRDefault="00B928D3" w:rsidP="00EA2AB2">
      <w:pPr>
        <w:spacing w:after="0"/>
        <w:ind w:right="566"/>
        <w:jc w:val="both"/>
        <w:rPr>
          <w:bCs/>
          <w:sz w:val="20"/>
          <w:lang w:val="de-DE"/>
        </w:rPr>
      </w:pPr>
      <w:r>
        <w:rPr>
          <w:bCs/>
          <w:sz w:val="20"/>
          <w:lang w:val="de-DE"/>
        </w:rPr>
        <w:t>2</w:t>
      </w:r>
      <w:r w:rsidR="0079303F">
        <w:rPr>
          <w:bCs/>
          <w:sz w:val="20"/>
          <w:lang w:val="de-DE"/>
        </w:rPr>
        <w:t>4</w:t>
      </w:r>
      <w:r>
        <w:rPr>
          <w:bCs/>
          <w:sz w:val="20"/>
          <w:lang w:val="de-DE"/>
        </w:rPr>
        <w:t>.</w:t>
      </w:r>
      <w:r>
        <w:rPr>
          <w:bCs/>
          <w:sz w:val="20"/>
          <w:lang w:val="de-DE"/>
        </w:rPr>
        <w:tab/>
      </w:r>
      <w:r w:rsidR="007E4200">
        <w:rPr>
          <w:bCs/>
          <w:sz w:val="20"/>
          <w:lang w:val="de-DE"/>
        </w:rPr>
        <w:t xml:space="preserve">Die von CEFIC </w:t>
      </w:r>
      <w:r w:rsidR="00376F44">
        <w:rPr>
          <w:bCs/>
          <w:sz w:val="20"/>
          <w:lang w:val="de-DE"/>
        </w:rPr>
        <w:t xml:space="preserve">in der 33. Sitzung des Sicherheitsausschusses </w:t>
      </w:r>
      <w:r w:rsidR="007E4200">
        <w:rPr>
          <w:bCs/>
          <w:sz w:val="20"/>
          <w:lang w:val="de-DE"/>
        </w:rPr>
        <w:t xml:space="preserve">angekündigten zusätzliche Daten und Informationen </w:t>
      </w:r>
      <w:r w:rsidR="00376F44">
        <w:rPr>
          <w:bCs/>
          <w:sz w:val="20"/>
          <w:lang w:val="de-DE"/>
        </w:rPr>
        <w:t>liegen noch nicht im vollen Umfang vor. Wenn diese Angaben zur Verfügung gestellt worden sind, wird sich die informelle Arbeitsgruppe weiter mit dieser Problematik befassen.</w:t>
      </w:r>
    </w:p>
    <w:p w14:paraId="038D1E11" w14:textId="77777777" w:rsidR="00376F44" w:rsidRDefault="00376F44" w:rsidP="00EA2AB2">
      <w:pPr>
        <w:spacing w:after="0"/>
        <w:ind w:right="566"/>
        <w:jc w:val="both"/>
        <w:rPr>
          <w:bCs/>
          <w:sz w:val="20"/>
          <w:lang w:val="de-DE"/>
        </w:rPr>
      </w:pPr>
    </w:p>
    <w:p w14:paraId="57C729B2" w14:textId="77777777" w:rsidR="00376F44" w:rsidRDefault="00376F44" w:rsidP="00EA2AB2">
      <w:pPr>
        <w:spacing w:after="0"/>
        <w:ind w:right="566"/>
        <w:jc w:val="both"/>
        <w:rPr>
          <w:sz w:val="20"/>
          <w:lang w:val="de-DE"/>
        </w:rPr>
      </w:pPr>
    </w:p>
    <w:p w14:paraId="0E97825C" w14:textId="77777777" w:rsidR="00376F44" w:rsidRPr="00E62169" w:rsidRDefault="00A531D6" w:rsidP="00EA2AB2">
      <w:pPr>
        <w:spacing w:after="0"/>
        <w:ind w:right="566"/>
        <w:jc w:val="both"/>
        <w:rPr>
          <w:b/>
          <w:szCs w:val="24"/>
          <w:lang w:val="de-DE"/>
        </w:rPr>
      </w:pPr>
      <w:r w:rsidRPr="00E62169">
        <w:rPr>
          <w:b/>
          <w:szCs w:val="24"/>
          <w:lang w:val="de-DE"/>
        </w:rPr>
        <w:t>F</w:t>
      </w:r>
      <w:r w:rsidR="00376F44" w:rsidRPr="00E62169">
        <w:rPr>
          <w:b/>
          <w:szCs w:val="24"/>
          <w:lang w:val="de-DE"/>
        </w:rPr>
        <w:t>.</w:t>
      </w:r>
      <w:r w:rsidR="00376F44" w:rsidRPr="00E62169">
        <w:rPr>
          <w:b/>
          <w:szCs w:val="24"/>
          <w:lang w:val="de-DE"/>
        </w:rPr>
        <w:tab/>
        <w:t>Beispiele in 3.1.2.8.1.4</w:t>
      </w:r>
    </w:p>
    <w:p w14:paraId="6570BE17" w14:textId="77777777" w:rsidR="00376F44" w:rsidRPr="00B928D3" w:rsidRDefault="00376F44" w:rsidP="00EA2AB2">
      <w:pPr>
        <w:spacing w:after="0"/>
        <w:ind w:right="566"/>
        <w:jc w:val="both"/>
        <w:rPr>
          <w:bCs/>
          <w:sz w:val="20"/>
          <w:lang w:val="de-DE"/>
        </w:rPr>
      </w:pPr>
    </w:p>
    <w:p w14:paraId="31395AD0" w14:textId="77777777" w:rsidR="00376F44" w:rsidRDefault="00983491" w:rsidP="00EA2AB2">
      <w:pPr>
        <w:spacing w:after="0"/>
        <w:ind w:right="566"/>
        <w:jc w:val="both"/>
        <w:rPr>
          <w:bCs/>
          <w:sz w:val="20"/>
          <w:lang w:val="de-DE"/>
        </w:rPr>
      </w:pPr>
      <w:r>
        <w:rPr>
          <w:bCs/>
          <w:sz w:val="20"/>
          <w:lang w:val="de-DE"/>
        </w:rPr>
        <w:t>2</w:t>
      </w:r>
      <w:r w:rsidR="0079303F">
        <w:rPr>
          <w:bCs/>
          <w:sz w:val="20"/>
          <w:lang w:val="de-DE"/>
        </w:rPr>
        <w:t>5</w:t>
      </w:r>
      <w:r>
        <w:rPr>
          <w:bCs/>
          <w:sz w:val="20"/>
          <w:lang w:val="de-DE"/>
        </w:rPr>
        <w:t>.</w:t>
      </w:r>
      <w:r>
        <w:rPr>
          <w:bCs/>
          <w:sz w:val="20"/>
          <w:lang w:val="de-DE"/>
        </w:rPr>
        <w:tab/>
        <w:t xml:space="preserve">In der Tabelle C gibt es nur noch Angaben zu Dampfdrücken und Siedepunkten als Bestandteil der offiziellen Benennung. Vor diesem Hintergrund ist auf Vorschlag der informellen Arbeitsgruppe in der 33. Sitzung des Sicherheitsausschusses die Bemerkung 29 gestrichen worden. </w:t>
      </w:r>
      <w:r w:rsidR="00A531D6">
        <w:rPr>
          <w:bCs/>
          <w:sz w:val="20"/>
          <w:lang w:val="de-DE"/>
        </w:rPr>
        <w:t>Darüber hinaus sind der Arbeitsgruppe keine weiteren Vorschriften für d</w:t>
      </w:r>
      <w:r w:rsidR="001B3EE7">
        <w:rPr>
          <w:bCs/>
          <w:sz w:val="20"/>
          <w:lang w:val="de-DE"/>
        </w:rPr>
        <w:t>as</w:t>
      </w:r>
      <w:r w:rsidR="00A531D6">
        <w:rPr>
          <w:bCs/>
          <w:sz w:val="20"/>
          <w:lang w:val="de-DE"/>
        </w:rPr>
        <w:t xml:space="preserve"> Einfüg</w:t>
      </w:r>
      <w:r w:rsidR="001B3EE7">
        <w:rPr>
          <w:bCs/>
          <w:sz w:val="20"/>
          <w:lang w:val="de-DE"/>
        </w:rPr>
        <w:t>e</w:t>
      </w:r>
      <w:r w:rsidR="00A531D6">
        <w:rPr>
          <w:bCs/>
          <w:sz w:val="20"/>
          <w:lang w:val="de-DE"/>
        </w:rPr>
        <w:t>n von Angaben zu Dampfdrücken oder Siedepunkten in die offizielle Benennung bekannt. Deshalb kann auch auf die Darstellung von Beispielen dazu verzichtet werden.</w:t>
      </w:r>
    </w:p>
    <w:p w14:paraId="005DAAF8" w14:textId="77777777" w:rsidR="00376F44" w:rsidRPr="00B928D3" w:rsidRDefault="00376F44" w:rsidP="00EA2AB2">
      <w:pPr>
        <w:spacing w:after="0"/>
        <w:ind w:right="566"/>
        <w:jc w:val="both"/>
        <w:rPr>
          <w:bCs/>
          <w:sz w:val="20"/>
          <w:lang w:val="de-DE"/>
        </w:rPr>
      </w:pPr>
    </w:p>
    <w:p w14:paraId="2474918F" w14:textId="77777777" w:rsidR="00A531D6" w:rsidRPr="00E62169" w:rsidRDefault="00A531D6" w:rsidP="00EA2AB2">
      <w:pPr>
        <w:spacing w:after="0"/>
        <w:ind w:right="566"/>
        <w:jc w:val="both"/>
        <w:rPr>
          <w:b/>
          <w:szCs w:val="24"/>
          <w:u w:val="single"/>
          <w:lang w:val="de-DE"/>
        </w:rPr>
      </w:pPr>
      <w:r w:rsidRPr="00E62169">
        <w:rPr>
          <w:b/>
          <w:szCs w:val="24"/>
          <w:u w:val="single"/>
          <w:lang w:val="de-DE"/>
        </w:rPr>
        <w:t>Vorschlag:</w:t>
      </w:r>
    </w:p>
    <w:p w14:paraId="2700EDE6" w14:textId="77777777" w:rsidR="00A531D6" w:rsidRDefault="00A531D6" w:rsidP="00EA2AB2">
      <w:pPr>
        <w:spacing w:after="0"/>
        <w:ind w:right="566"/>
        <w:jc w:val="both"/>
        <w:rPr>
          <w:sz w:val="20"/>
          <w:lang w:val="de-DE"/>
        </w:rPr>
      </w:pPr>
    </w:p>
    <w:p w14:paraId="69B35556" w14:textId="77777777" w:rsidR="00B928D3" w:rsidRPr="00B928D3" w:rsidRDefault="00A531D6" w:rsidP="00EA2AB2">
      <w:pPr>
        <w:spacing w:after="0"/>
        <w:ind w:right="566"/>
        <w:jc w:val="both"/>
        <w:rPr>
          <w:bCs/>
          <w:sz w:val="20"/>
          <w:lang w:val="de-DE"/>
        </w:rPr>
      </w:pPr>
      <w:r>
        <w:rPr>
          <w:bCs/>
          <w:sz w:val="20"/>
          <w:lang w:val="de-DE"/>
        </w:rPr>
        <w:t>2</w:t>
      </w:r>
      <w:r w:rsidR="0079303F">
        <w:rPr>
          <w:bCs/>
          <w:sz w:val="20"/>
          <w:lang w:val="de-DE"/>
        </w:rPr>
        <w:t>6</w:t>
      </w:r>
      <w:r>
        <w:rPr>
          <w:bCs/>
          <w:sz w:val="20"/>
          <w:lang w:val="de-DE"/>
        </w:rPr>
        <w:t>.</w:t>
      </w:r>
      <w:r>
        <w:rPr>
          <w:bCs/>
          <w:sz w:val="20"/>
          <w:lang w:val="de-DE"/>
        </w:rPr>
        <w:tab/>
        <w:t>3.1.2.8.1.4 streichen.</w:t>
      </w:r>
    </w:p>
    <w:p w14:paraId="1FDDBAB5" w14:textId="77777777" w:rsidR="00B928D3" w:rsidRPr="00B928D3" w:rsidRDefault="00B928D3" w:rsidP="00EA2AB2">
      <w:pPr>
        <w:spacing w:after="0"/>
        <w:ind w:right="566"/>
        <w:jc w:val="both"/>
        <w:rPr>
          <w:bCs/>
          <w:sz w:val="20"/>
          <w:lang w:val="de-DE"/>
        </w:rPr>
      </w:pPr>
    </w:p>
    <w:p w14:paraId="18506BE7" w14:textId="77777777" w:rsidR="00A531D6" w:rsidRDefault="00A531D6" w:rsidP="00EA2AB2">
      <w:pPr>
        <w:spacing w:after="0"/>
        <w:ind w:right="566"/>
        <w:jc w:val="both"/>
        <w:rPr>
          <w:sz w:val="20"/>
          <w:lang w:val="de-DE"/>
        </w:rPr>
      </w:pPr>
    </w:p>
    <w:p w14:paraId="60482E98" w14:textId="77777777" w:rsidR="00A531D6" w:rsidRPr="00E62169" w:rsidRDefault="00A531D6" w:rsidP="00EA2AB2">
      <w:pPr>
        <w:spacing w:after="0"/>
        <w:ind w:right="566"/>
        <w:jc w:val="both"/>
        <w:rPr>
          <w:b/>
          <w:szCs w:val="24"/>
          <w:lang w:val="de-DE"/>
        </w:rPr>
      </w:pPr>
      <w:r w:rsidRPr="00E62169">
        <w:rPr>
          <w:b/>
          <w:szCs w:val="24"/>
          <w:lang w:val="de-DE"/>
        </w:rPr>
        <w:t>G.</w:t>
      </w:r>
      <w:r w:rsidRPr="00E62169">
        <w:rPr>
          <w:b/>
          <w:szCs w:val="24"/>
          <w:lang w:val="de-DE"/>
        </w:rPr>
        <w:tab/>
        <w:t>Ölschlamm und Bilgenwasser als Umweltgefährdende Stoffe der UN 3082</w:t>
      </w:r>
    </w:p>
    <w:p w14:paraId="4C306777" w14:textId="77777777" w:rsidR="00A531D6" w:rsidRPr="00B928D3" w:rsidRDefault="00A531D6" w:rsidP="00EA2AB2">
      <w:pPr>
        <w:spacing w:after="0"/>
        <w:ind w:right="566"/>
        <w:jc w:val="both"/>
        <w:rPr>
          <w:bCs/>
          <w:sz w:val="20"/>
          <w:lang w:val="de-DE"/>
        </w:rPr>
      </w:pPr>
    </w:p>
    <w:p w14:paraId="6D7C90B4" w14:textId="719F9D0E" w:rsidR="00B928D3" w:rsidRPr="00B928D3" w:rsidRDefault="00A531D6" w:rsidP="00EA2AB2">
      <w:pPr>
        <w:spacing w:after="0"/>
        <w:ind w:right="566"/>
        <w:jc w:val="both"/>
        <w:rPr>
          <w:bCs/>
          <w:sz w:val="20"/>
          <w:lang w:val="de-DE"/>
        </w:rPr>
      </w:pPr>
      <w:r>
        <w:rPr>
          <w:bCs/>
          <w:sz w:val="20"/>
          <w:lang w:val="de-DE"/>
        </w:rPr>
        <w:t>2</w:t>
      </w:r>
      <w:r w:rsidR="0079303F">
        <w:rPr>
          <w:bCs/>
          <w:sz w:val="20"/>
          <w:lang w:val="de-DE"/>
        </w:rPr>
        <w:t>7</w:t>
      </w:r>
      <w:r>
        <w:rPr>
          <w:bCs/>
          <w:sz w:val="20"/>
          <w:lang w:val="de-DE"/>
        </w:rPr>
        <w:t>.</w:t>
      </w:r>
      <w:r>
        <w:rPr>
          <w:bCs/>
          <w:sz w:val="20"/>
          <w:lang w:val="de-DE"/>
        </w:rPr>
        <w:tab/>
      </w:r>
      <w:r w:rsidR="00AF7CA0">
        <w:rPr>
          <w:bCs/>
          <w:sz w:val="20"/>
          <w:lang w:val="de-DE"/>
        </w:rPr>
        <w:t xml:space="preserve">Im Gegensatz zu Binnenschiffen kommt bei Seeschiffen schweres Heizöl als Treibstoff zum Einsatz. Dies hat auch einen Einfluss auf die Zusammensetzung und die Eigenschaften des </w:t>
      </w:r>
      <w:proofErr w:type="spellStart"/>
      <w:r w:rsidR="00AF7CA0">
        <w:rPr>
          <w:bCs/>
          <w:sz w:val="20"/>
          <w:lang w:val="de-DE"/>
        </w:rPr>
        <w:t>Bilgenwassers</w:t>
      </w:r>
      <w:proofErr w:type="spellEnd"/>
      <w:r w:rsidR="00AF7CA0">
        <w:rPr>
          <w:bCs/>
          <w:sz w:val="20"/>
          <w:lang w:val="de-DE"/>
        </w:rPr>
        <w:t>. Die informelle Arbeitsgruppe kam in der Diskussion zu dem Ergebnis, dass dieser Problematik durch zwei separate Eintr</w:t>
      </w:r>
      <w:r w:rsidR="006615BF">
        <w:rPr>
          <w:bCs/>
          <w:sz w:val="20"/>
          <w:lang w:val="de-DE"/>
        </w:rPr>
        <w:t>ä</w:t>
      </w:r>
      <w:r w:rsidR="00AF7CA0">
        <w:rPr>
          <w:bCs/>
          <w:sz w:val="20"/>
          <w:lang w:val="de-DE"/>
        </w:rPr>
        <w:t>ge für Bilgenwasser (</w:t>
      </w:r>
      <w:r w:rsidR="0002640B">
        <w:rPr>
          <w:bCs/>
          <w:sz w:val="20"/>
          <w:lang w:val="de-DE"/>
        </w:rPr>
        <w:t xml:space="preserve">„Bilgenwasser, </w:t>
      </w:r>
      <w:r w:rsidR="00AF7CA0">
        <w:rPr>
          <w:bCs/>
          <w:sz w:val="20"/>
          <w:lang w:val="de-DE"/>
        </w:rPr>
        <w:t>enthält Ölschlamm</w:t>
      </w:r>
      <w:r w:rsidR="0002640B">
        <w:rPr>
          <w:bCs/>
          <w:sz w:val="20"/>
          <w:lang w:val="de-DE"/>
        </w:rPr>
        <w:t>“</w:t>
      </w:r>
      <w:r w:rsidR="00AF7CA0">
        <w:rPr>
          <w:bCs/>
          <w:sz w:val="20"/>
          <w:lang w:val="de-DE"/>
        </w:rPr>
        <w:t xml:space="preserve"> und </w:t>
      </w:r>
      <w:r w:rsidR="0002640B">
        <w:rPr>
          <w:bCs/>
          <w:sz w:val="20"/>
          <w:lang w:val="de-DE"/>
        </w:rPr>
        <w:t xml:space="preserve">„Bilgenwasser, </w:t>
      </w:r>
      <w:r w:rsidR="00AF7CA0">
        <w:rPr>
          <w:bCs/>
          <w:sz w:val="20"/>
          <w:lang w:val="de-DE"/>
        </w:rPr>
        <w:t>frei von Ölschlamm</w:t>
      </w:r>
      <w:r w:rsidR="0002640B">
        <w:rPr>
          <w:bCs/>
          <w:sz w:val="20"/>
          <w:lang w:val="de-DE"/>
        </w:rPr>
        <w:t>“</w:t>
      </w:r>
      <w:r w:rsidR="00AF7CA0">
        <w:rPr>
          <w:bCs/>
          <w:sz w:val="20"/>
          <w:lang w:val="de-DE"/>
        </w:rPr>
        <w:t>) Rechnung getragen werden kann.</w:t>
      </w:r>
    </w:p>
    <w:p w14:paraId="417F7DDF" w14:textId="79282710" w:rsidR="00EA2AB2" w:rsidRDefault="00EA2AB2">
      <w:pPr>
        <w:spacing w:after="0"/>
        <w:rPr>
          <w:bCs/>
          <w:sz w:val="20"/>
          <w:lang w:val="de-DE"/>
        </w:rPr>
      </w:pPr>
    </w:p>
    <w:p w14:paraId="15354E22" w14:textId="77777777" w:rsidR="00230519" w:rsidRDefault="00230519">
      <w:pPr>
        <w:spacing w:after="0"/>
        <w:rPr>
          <w:bCs/>
          <w:sz w:val="20"/>
          <w:lang w:val="de-DE"/>
        </w:rPr>
      </w:pPr>
      <w:r>
        <w:rPr>
          <w:bCs/>
          <w:sz w:val="20"/>
          <w:lang w:val="de-DE"/>
        </w:rPr>
        <w:br w:type="page"/>
      </w:r>
    </w:p>
    <w:p w14:paraId="5EC8434C" w14:textId="146F845B" w:rsidR="00FA5034" w:rsidRDefault="006615BF" w:rsidP="00EA2AB2">
      <w:pPr>
        <w:spacing w:after="0"/>
        <w:ind w:right="566"/>
        <w:jc w:val="both"/>
        <w:rPr>
          <w:bCs/>
          <w:sz w:val="20"/>
          <w:lang w:val="de-DE"/>
        </w:rPr>
      </w:pPr>
      <w:r>
        <w:rPr>
          <w:bCs/>
          <w:sz w:val="20"/>
          <w:lang w:val="de-DE"/>
        </w:rPr>
        <w:lastRenderedPageBreak/>
        <w:t>2</w:t>
      </w:r>
      <w:r w:rsidR="0079303F">
        <w:rPr>
          <w:bCs/>
          <w:sz w:val="20"/>
          <w:lang w:val="de-DE"/>
        </w:rPr>
        <w:t>8</w:t>
      </w:r>
      <w:r>
        <w:rPr>
          <w:bCs/>
          <w:sz w:val="20"/>
          <w:lang w:val="de-DE"/>
        </w:rPr>
        <w:t>.</w:t>
      </w:r>
      <w:r>
        <w:rPr>
          <w:bCs/>
          <w:sz w:val="20"/>
          <w:lang w:val="de-DE"/>
        </w:rPr>
        <w:tab/>
        <w:t>Die informelle Arbeitsgruppe ist beauftragt worden, die Notwendigkeit von Übergangsvorschriften in Zusammenhang mit dem für das ADN 2021 beschlossenen neuen Eintrag für Ölschlamm zu prüfen. Die Frage stellt sich in gleicher Art und Weise für den Fall, dass der Sicherheitsausschuss dem Vorschlag folgt, den bestehenden Eintrag für Bilgenwasser zu ändern und eine</w:t>
      </w:r>
      <w:r w:rsidR="0002640B">
        <w:rPr>
          <w:bCs/>
          <w:sz w:val="20"/>
          <w:lang w:val="de-DE"/>
        </w:rPr>
        <w:t>n</w:t>
      </w:r>
      <w:r>
        <w:rPr>
          <w:bCs/>
          <w:sz w:val="20"/>
          <w:lang w:val="de-DE"/>
        </w:rPr>
        <w:t xml:space="preserve"> zweiten neuen Eintrag für Bilgenwasser </w:t>
      </w:r>
      <w:r w:rsidR="0002640B">
        <w:rPr>
          <w:bCs/>
          <w:sz w:val="20"/>
          <w:lang w:val="de-DE"/>
        </w:rPr>
        <w:t xml:space="preserve">in die Tabelle C </w:t>
      </w:r>
      <w:r>
        <w:rPr>
          <w:bCs/>
          <w:sz w:val="20"/>
          <w:lang w:val="de-DE"/>
        </w:rPr>
        <w:t xml:space="preserve">aufzunehmen. </w:t>
      </w:r>
      <w:r w:rsidR="0002640B">
        <w:rPr>
          <w:bCs/>
          <w:sz w:val="20"/>
          <w:lang w:val="de-DE"/>
        </w:rPr>
        <w:t xml:space="preserve">Seitens der Arbeitsgruppe wird nur eine Übergangsvorschrift für kleine </w:t>
      </w:r>
      <w:r w:rsidR="008A0557">
        <w:rPr>
          <w:bCs/>
          <w:sz w:val="20"/>
          <w:lang w:val="de-DE"/>
        </w:rPr>
        <w:t>Einhüllen-</w:t>
      </w:r>
      <w:proofErr w:type="spellStart"/>
      <w:r w:rsidR="0002640B">
        <w:rPr>
          <w:bCs/>
          <w:sz w:val="20"/>
          <w:lang w:val="de-DE"/>
        </w:rPr>
        <w:t>Bilgenentölungsboote</w:t>
      </w:r>
      <w:proofErr w:type="spellEnd"/>
      <w:r w:rsidR="0002640B">
        <w:rPr>
          <w:bCs/>
          <w:sz w:val="20"/>
          <w:lang w:val="de-DE"/>
        </w:rPr>
        <w:t xml:space="preserve"> mit einer Tragfähigkeit unter 300 t für notwendig gehalten. </w:t>
      </w:r>
      <w:r w:rsidR="001A5388">
        <w:rPr>
          <w:bCs/>
          <w:sz w:val="20"/>
          <w:lang w:val="de-DE"/>
        </w:rPr>
        <w:t xml:space="preserve">Für diese wird eine Übergangsvorschrift bis 2038 </w:t>
      </w:r>
      <w:r w:rsidR="00FA5034">
        <w:rPr>
          <w:bCs/>
          <w:sz w:val="20"/>
          <w:lang w:val="de-DE"/>
        </w:rPr>
        <w:t>empfohlen</w:t>
      </w:r>
      <w:r w:rsidR="001A5388">
        <w:rPr>
          <w:bCs/>
          <w:sz w:val="20"/>
          <w:lang w:val="de-DE"/>
        </w:rPr>
        <w:t xml:space="preserve">. </w:t>
      </w:r>
      <w:r w:rsidR="0002640B">
        <w:rPr>
          <w:bCs/>
          <w:sz w:val="20"/>
          <w:lang w:val="de-DE"/>
        </w:rPr>
        <w:t>Dabei sollte aber schon auf die neuen Einträge für „Ölschlamm“ und gegebenenfalls für „Bilgenwasser, enthält Ölschlamm“ Bezug genommen werden.</w:t>
      </w:r>
      <w:r w:rsidR="008A0557">
        <w:rPr>
          <w:bCs/>
          <w:sz w:val="20"/>
          <w:lang w:val="de-DE"/>
        </w:rPr>
        <w:t xml:space="preserve"> </w:t>
      </w:r>
    </w:p>
    <w:p w14:paraId="43CAA8D4" w14:textId="77777777" w:rsidR="00B928D3" w:rsidRDefault="001A5388" w:rsidP="00EA2AB2">
      <w:pPr>
        <w:spacing w:after="0"/>
        <w:ind w:right="566"/>
        <w:jc w:val="both"/>
        <w:rPr>
          <w:bCs/>
          <w:sz w:val="20"/>
          <w:lang w:val="de-DE"/>
        </w:rPr>
      </w:pPr>
      <w:r>
        <w:rPr>
          <w:bCs/>
          <w:sz w:val="20"/>
          <w:lang w:val="de-DE"/>
        </w:rPr>
        <w:t xml:space="preserve">Für andere als o.g. </w:t>
      </w:r>
      <w:proofErr w:type="spellStart"/>
      <w:r>
        <w:rPr>
          <w:bCs/>
          <w:sz w:val="20"/>
          <w:lang w:val="de-DE"/>
        </w:rPr>
        <w:t>Bilgenentölungsboote</w:t>
      </w:r>
      <w:proofErr w:type="spellEnd"/>
      <w:r>
        <w:rPr>
          <w:bCs/>
          <w:sz w:val="20"/>
          <w:lang w:val="de-DE"/>
        </w:rPr>
        <w:t xml:space="preserve"> </w:t>
      </w:r>
      <w:r w:rsidR="008A0557">
        <w:rPr>
          <w:bCs/>
          <w:sz w:val="20"/>
          <w:lang w:val="de-DE"/>
        </w:rPr>
        <w:t>empfiehlt die Gruppe, durch das Gewerbe das wirtschaftliche Erfordernis einer solchen Übergangsvorschrift prüfen zu lassen.</w:t>
      </w:r>
    </w:p>
    <w:p w14:paraId="50BBAE46" w14:textId="77777777" w:rsidR="008A0557" w:rsidRDefault="008A0557" w:rsidP="00EA2AB2">
      <w:pPr>
        <w:spacing w:after="0"/>
        <w:ind w:right="566"/>
        <w:jc w:val="both"/>
        <w:rPr>
          <w:bCs/>
          <w:sz w:val="20"/>
          <w:lang w:val="de-DE"/>
        </w:rPr>
      </w:pPr>
    </w:p>
    <w:p w14:paraId="4B19846D" w14:textId="77777777" w:rsidR="008A0557" w:rsidRPr="00B928D3" w:rsidRDefault="008A0557" w:rsidP="00EA2AB2">
      <w:pPr>
        <w:spacing w:after="0"/>
        <w:ind w:right="566"/>
        <w:jc w:val="both"/>
        <w:rPr>
          <w:bCs/>
          <w:sz w:val="20"/>
          <w:lang w:val="de-DE"/>
        </w:rPr>
      </w:pPr>
      <w:r>
        <w:rPr>
          <w:bCs/>
          <w:sz w:val="20"/>
          <w:lang w:val="de-DE"/>
        </w:rPr>
        <w:t>2</w:t>
      </w:r>
      <w:r w:rsidR="0079303F">
        <w:rPr>
          <w:bCs/>
          <w:sz w:val="20"/>
          <w:lang w:val="de-DE"/>
        </w:rPr>
        <w:t>9</w:t>
      </w:r>
      <w:r>
        <w:rPr>
          <w:bCs/>
          <w:sz w:val="20"/>
          <w:lang w:val="de-DE"/>
        </w:rPr>
        <w:t>.</w:t>
      </w:r>
      <w:r>
        <w:rPr>
          <w:bCs/>
          <w:sz w:val="20"/>
          <w:lang w:val="de-DE"/>
        </w:rPr>
        <w:tab/>
        <w:t xml:space="preserve">Für den Fall, dass der Sicherheitsausschuss dem Vorschlag folgt, einen zweiten neuen Eintrag für „Bilgenwasser, enthält Ölschlamm“ aufzunehmen, möchte die Arbeitsgruppe auf das Problem aufmerksam machen, dass beim Laden in geschlossene Ladetanks </w:t>
      </w:r>
      <w:proofErr w:type="spellStart"/>
      <w:r>
        <w:rPr>
          <w:bCs/>
          <w:sz w:val="20"/>
          <w:lang w:val="de-DE"/>
        </w:rPr>
        <w:t>Gaspendelung</w:t>
      </w:r>
      <w:proofErr w:type="spellEnd"/>
      <w:r>
        <w:rPr>
          <w:bCs/>
          <w:sz w:val="20"/>
          <w:lang w:val="de-DE"/>
        </w:rPr>
        <w:t xml:space="preserve"> vorschrieben ist. Seeschiffe sind </w:t>
      </w:r>
      <w:r w:rsidR="00823DFE">
        <w:rPr>
          <w:bCs/>
          <w:sz w:val="20"/>
          <w:lang w:val="de-DE"/>
        </w:rPr>
        <w:t>jedoch</w:t>
      </w:r>
      <w:r>
        <w:rPr>
          <w:bCs/>
          <w:sz w:val="20"/>
          <w:lang w:val="de-DE"/>
        </w:rPr>
        <w:t xml:space="preserve"> für eine </w:t>
      </w:r>
      <w:proofErr w:type="spellStart"/>
      <w:r>
        <w:rPr>
          <w:bCs/>
          <w:sz w:val="20"/>
          <w:lang w:val="de-DE"/>
        </w:rPr>
        <w:t>Gaspendelung</w:t>
      </w:r>
      <w:proofErr w:type="spellEnd"/>
      <w:r>
        <w:rPr>
          <w:bCs/>
          <w:sz w:val="20"/>
          <w:lang w:val="de-DE"/>
        </w:rPr>
        <w:t xml:space="preserve"> bei der Abgabe von „Ölschlamm“ oder „Bilgenwasser, enthält Ölschlamm“ nicht ausgerüstet. Deshalb sollte eine Vorschriftenänderung in Betracht gezogen werden, die es ermöglichen würde</w:t>
      </w:r>
      <w:r w:rsidR="00387BB6">
        <w:rPr>
          <w:bCs/>
          <w:sz w:val="20"/>
          <w:lang w:val="de-DE"/>
        </w:rPr>
        <w:t>,</w:t>
      </w:r>
      <w:r>
        <w:rPr>
          <w:bCs/>
          <w:sz w:val="20"/>
          <w:lang w:val="de-DE"/>
        </w:rPr>
        <w:t xml:space="preserve"> gleichwertige Alternativen zur </w:t>
      </w:r>
      <w:proofErr w:type="spellStart"/>
      <w:r>
        <w:rPr>
          <w:bCs/>
          <w:sz w:val="20"/>
          <w:lang w:val="de-DE"/>
        </w:rPr>
        <w:t>Gaspendelung</w:t>
      </w:r>
      <w:proofErr w:type="spellEnd"/>
      <w:r>
        <w:rPr>
          <w:bCs/>
          <w:sz w:val="20"/>
          <w:lang w:val="de-DE"/>
        </w:rPr>
        <w:t xml:space="preserve"> (z.</w:t>
      </w:r>
      <w:r w:rsidR="00823DFE">
        <w:rPr>
          <w:bCs/>
          <w:sz w:val="20"/>
          <w:lang w:val="de-DE"/>
        </w:rPr>
        <w:t> </w:t>
      </w:r>
      <w:r>
        <w:rPr>
          <w:bCs/>
          <w:sz w:val="20"/>
          <w:lang w:val="de-DE"/>
        </w:rPr>
        <w:t>B. Filtersysteme) einzusetzen.</w:t>
      </w:r>
    </w:p>
    <w:p w14:paraId="2CFA3100" w14:textId="77777777" w:rsidR="00B928D3" w:rsidRPr="00B928D3" w:rsidRDefault="00B928D3" w:rsidP="00EA2AB2">
      <w:pPr>
        <w:spacing w:after="0"/>
        <w:ind w:right="566"/>
        <w:jc w:val="both"/>
        <w:rPr>
          <w:bCs/>
          <w:sz w:val="20"/>
          <w:lang w:val="de-DE"/>
        </w:rPr>
      </w:pPr>
    </w:p>
    <w:p w14:paraId="153699F4" w14:textId="77777777" w:rsidR="00387BB6" w:rsidRPr="002D3FF9" w:rsidRDefault="00387BB6" w:rsidP="00FA5034">
      <w:pPr>
        <w:tabs>
          <w:tab w:val="left" w:pos="1418"/>
          <w:tab w:val="left" w:pos="1985"/>
          <w:tab w:val="left" w:pos="2552"/>
          <w:tab w:val="left" w:pos="3119"/>
          <w:tab w:val="left" w:pos="3686"/>
        </w:tabs>
        <w:spacing w:after="0"/>
        <w:ind w:right="566"/>
        <w:jc w:val="both"/>
        <w:rPr>
          <w:sz w:val="20"/>
          <w:lang w:val="de-DE"/>
        </w:rPr>
        <w:sectPr w:rsidR="00387BB6" w:rsidRPr="002D3FF9" w:rsidSect="00387BB6">
          <w:headerReference w:type="even" r:id="rId9"/>
          <w:headerReference w:type="default" r:id="rId10"/>
          <w:footerReference w:type="even" r:id="rId11"/>
          <w:footerReference w:type="default" r:id="rId12"/>
          <w:endnotePr>
            <w:numFmt w:val="decimal"/>
          </w:endnotePr>
          <w:pgSz w:w="11907" w:h="16840" w:code="9"/>
          <w:pgMar w:top="1418" w:right="1418" w:bottom="1418" w:left="1418" w:header="680" w:footer="680" w:gutter="0"/>
          <w:cols w:space="720"/>
          <w:titlePg/>
          <w:docGrid w:linePitch="326"/>
        </w:sectPr>
      </w:pPr>
    </w:p>
    <w:p w14:paraId="6ABCEE05" w14:textId="77777777" w:rsidR="00387BB6" w:rsidRPr="002D3FF9" w:rsidRDefault="00387BB6" w:rsidP="00FA5034">
      <w:pPr>
        <w:tabs>
          <w:tab w:val="left" w:pos="1418"/>
          <w:tab w:val="left" w:pos="1985"/>
          <w:tab w:val="left" w:pos="2552"/>
          <w:tab w:val="left" w:pos="3119"/>
          <w:tab w:val="left" w:pos="3686"/>
        </w:tabs>
        <w:spacing w:after="0"/>
        <w:ind w:right="566"/>
        <w:jc w:val="both"/>
        <w:rPr>
          <w:sz w:val="20"/>
          <w:lang w:val="de-DE"/>
        </w:rPr>
      </w:pPr>
    </w:p>
    <w:p w14:paraId="6D04217C" w14:textId="77777777" w:rsidR="00387BB6" w:rsidRPr="00E62169" w:rsidRDefault="00387BB6" w:rsidP="00FA5034">
      <w:pPr>
        <w:spacing w:after="0"/>
        <w:ind w:right="566"/>
        <w:jc w:val="both"/>
        <w:rPr>
          <w:b/>
          <w:szCs w:val="24"/>
          <w:u w:val="single"/>
          <w:lang w:val="de-DE"/>
        </w:rPr>
      </w:pPr>
      <w:r w:rsidRPr="00E62169">
        <w:rPr>
          <w:b/>
          <w:szCs w:val="24"/>
          <w:u w:val="single"/>
          <w:lang w:val="de-DE"/>
        </w:rPr>
        <w:t>Vorschl</w:t>
      </w:r>
      <w:r w:rsidR="00CD655A" w:rsidRPr="00E62169">
        <w:rPr>
          <w:b/>
          <w:szCs w:val="24"/>
          <w:u w:val="single"/>
          <w:lang w:val="de-DE"/>
        </w:rPr>
        <w:t>ä</w:t>
      </w:r>
      <w:r w:rsidRPr="00E62169">
        <w:rPr>
          <w:b/>
          <w:szCs w:val="24"/>
          <w:u w:val="single"/>
          <w:lang w:val="de-DE"/>
        </w:rPr>
        <w:t>ge:</w:t>
      </w:r>
    </w:p>
    <w:p w14:paraId="528592EC" w14:textId="77777777" w:rsidR="00387BB6" w:rsidRDefault="00387BB6" w:rsidP="00FA5034">
      <w:pPr>
        <w:spacing w:after="0"/>
        <w:ind w:right="566"/>
        <w:jc w:val="both"/>
        <w:rPr>
          <w:sz w:val="20"/>
          <w:lang w:val="de-DE"/>
        </w:rPr>
      </w:pPr>
    </w:p>
    <w:p w14:paraId="696251C1" w14:textId="77777777" w:rsidR="00387BB6" w:rsidRPr="00B928D3" w:rsidRDefault="0079303F" w:rsidP="00FA5034">
      <w:pPr>
        <w:spacing w:after="0"/>
        <w:ind w:right="567"/>
        <w:jc w:val="both"/>
        <w:rPr>
          <w:bCs/>
          <w:sz w:val="20"/>
          <w:lang w:val="de-DE"/>
        </w:rPr>
      </w:pPr>
      <w:r>
        <w:rPr>
          <w:bCs/>
          <w:sz w:val="20"/>
          <w:lang w:val="de-DE"/>
        </w:rPr>
        <w:t>30</w:t>
      </w:r>
      <w:r w:rsidR="00387BB6">
        <w:rPr>
          <w:bCs/>
          <w:sz w:val="20"/>
          <w:lang w:val="de-DE"/>
        </w:rPr>
        <w:t>.</w:t>
      </w:r>
      <w:r w:rsidR="00387BB6">
        <w:rPr>
          <w:bCs/>
          <w:sz w:val="20"/>
          <w:lang w:val="de-DE"/>
        </w:rPr>
        <w:tab/>
        <w:t xml:space="preserve">Bei UN 3082 Umweltgefährdender Stoff, flüssig, </w:t>
      </w:r>
      <w:proofErr w:type="spellStart"/>
      <w:r w:rsidR="00387BB6">
        <w:rPr>
          <w:bCs/>
          <w:sz w:val="20"/>
          <w:lang w:val="de-DE"/>
        </w:rPr>
        <w:t>n.a.g</w:t>
      </w:r>
      <w:proofErr w:type="spellEnd"/>
      <w:r w:rsidR="00387BB6">
        <w:rPr>
          <w:bCs/>
          <w:sz w:val="20"/>
          <w:lang w:val="de-DE"/>
        </w:rPr>
        <w:t>.</w:t>
      </w:r>
      <w:r w:rsidR="00F35D05">
        <w:rPr>
          <w:bCs/>
          <w:sz w:val="20"/>
          <w:lang w:val="de-DE"/>
        </w:rPr>
        <w:t xml:space="preserve"> (Bilgenwasser)</w:t>
      </w:r>
      <w:r w:rsidR="00387BB6">
        <w:rPr>
          <w:bCs/>
          <w:sz w:val="20"/>
          <w:lang w:val="de-DE"/>
        </w:rPr>
        <w:t xml:space="preserve"> in Tabelle C Spalte (2) wie folgt ergänzen: „</w:t>
      </w:r>
      <w:r w:rsidR="00387BB6" w:rsidRPr="00387BB6">
        <w:rPr>
          <w:bCs/>
          <w:sz w:val="20"/>
          <w:lang w:val="de-DE"/>
        </w:rPr>
        <w:t>UMWELTGEFÄHRDENDER STOFF, FLÜSSIG, N.A.G. (BILGENWASSER</w:t>
      </w:r>
      <w:r w:rsidR="00387BB6">
        <w:rPr>
          <w:bCs/>
          <w:sz w:val="20"/>
          <w:lang w:val="de-DE"/>
        </w:rPr>
        <w:t>, FREI VON ÖLSCHLAMM</w:t>
      </w:r>
      <w:r w:rsidR="00387BB6" w:rsidRPr="00387BB6">
        <w:rPr>
          <w:bCs/>
          <w:sz w:val="20"/>
          <w:lang w:val="de-DE"/>
        </w:rPr>
        <w:t>)</w:t>
      </w:r>
      <w:r w:rsidR="00387BB6">
        <w:rPr>
          <w:bCs/>
          <w:sz w:val="20"/>
          <w:lang w:val="de-DE"/>
        </w:rPr>
        <w:t>“.</w:t>
      </w:r>
    </w:p>
    <w:p w14:paraId="7BE75A23" w14:textId="77777777" w:rsidR="00387BB6" w:rsidRPr="002D3FF9" w:rsidRDefault="00387BB6" w:rsidP="00FA5034">
      <w:pPr>
        <w:tabs>
          <w:tab w:val="left" w:pos="1418"/>
          <w:tab w:val="left" w:pos="1985"/>
          <w:tab w:val="left" w:pos="2552"/>
          <w:tab w:val="left" w:pos="3119"/>
          <w:tab w:val="left" w:pos="3686"/>
        </w:tabs>
        <w:spacing w:after="0"/>
        <w:ind w:right="566"/>
        <w:jc w:val="both"/>
        <w:rPr>
          <w:sz w:val="20"/>
          <w:lang w:val="de-DE"/>
        </w:rPr>
      </w:pPr>
    </w:p>
    <w:p w14:paraId="7579E8AC" w14:textId="77777777" w:rsidR="00387BB6" w:rsidRPr="002D3FF9" w:rsidRDefault="00387BB6" w:rsidP="00FA5034">
      <w:pPr>
        <w:spacing w:after="0"/>
        <w:jc w:val="both"/>
        <w:rPr>
          <w:rFonts w:cs="Arial"/>
          <w:sz w:val="20"/>
          <w:lang w:val="de-DE"/>
        </w:rPr>
      </w:pPr>
      <w:r w:rsidRPr="002D3FF9">
        <w:rPr>
          <w:rFonts w:cs="Arial"/>
          <w:sz w:val="20"/>
          <w:lang w:val="de-DE"/>
        </w:rPr>
        <w:t>3</w:t>
      </w:r>
      <w:r w:rsidR="0079303F">
        <w:rPr>
          <w:rFonts w:cs="Arial"/>
          <w:sz w:val="20"/>
          <w:lang w:val="de-DE"/>
        </w:rPr>
        <w:t>1</w:t>
      </w:r>
      <w:r w:rsidRPr="002D3FF9">
        <w:rPr>
          <w:rFonts w:cs="Arial"/>
          <w:sz w:val="20"/>
          <w:lang w:val="de-DE"/>
        </w:rPr>
        <w:t>.</w:t>
      </w:r>
      <w:r w:rsidRPr="002D3FF9">
        <w:rPr>
          <w:rFonts w:cs="Arial"/>
          <w:sz w:val="20"/>
          <w:lang w:val="de-DE"/>
        </w:rPr>
        <w:tab/>
        <w:t>Die Tabelle C um folgende Zeile erweitern:</w:t>
      </w:r>
    </w:p>
    <w:p w14:paraId="60E00758" w14:textId="77777777" w:rsidR="00387BB6" w:rsidRPr="002D3FF9" w:rsidRDefault="00387BB6" w:rsidP="00FA5034">
      <w:pPr>
        <w:tabs>
          <w:tab w:val="left" w:pos="1418"/>
          <w:tab w:val="left" w:pos="1985"/>
          <w:tab w:val="left" w:pos="2552"/>
          <w:tab w:val="left" w:pos="3119"/>
          <w:tab w:val="left" w:pos="3686"/>
        </w:tabs>
        <w:spacing w:after="0"/>
        <w:ind w:right="566"/>
        <w:jc w:val="both"/>
        <w:rPr>
          <w:sz w:val="20"/>
          <w:lang w:val="de-DE"/>
        </w:rPr>
      </w:pPr>
    </w:p>
    <w:tbl>
      <w:tblPr>
        <w:tblW w:w="14960" w:type="dxa"/>
        <w:tblInd w:w="55" w:type="dxa"/>
        <w:tblCellMar>
          <w:left w:w="70" w:type="dxa"/>
          <w:right w:w="70" w:type="dxa"/>
        </w:tblCellMar>
        <w:tblLook w:val="04A0" w:firstRow="1" w:lastRow="0" w:firstColumn="1" w:lastColumn="0" w:noHBand="0" w:noVBand="1"/>
      </w:tblPr>
      <w:tblGrid>
        <w:gridCol w:w="540"/>
        <w:gridCol w:w="3443"/>
        <w:gridCol w:w="425"/>
        <w:gridCol w:w="452"/>
        <w:gridCol w:w="400"/>
        <w:gridCol w:w="1440"/>
        <w:gridCol w:w="400"/>
        <w:gridCol w:w="400"/>
        <w:gridCol w:w="400"/>
        <w:gridCol w:w="400"/>
        <w:gridCol w:w="524"/>
        <w:gridCol w:w="524"/>
        <w:gridCol w:w="700"/>
        <w:gridCol w:w="524"/>
        <w:gridCol w:w="524"/>
        <w:gridCol w:w="500"/>
        <w:gridCol w:w="500"/>
        <w:gridCol w:w="524"/>
        <w:gridCol w:w="660"/>
        <w:gridCol w:w="440"/>
        <w:gridCol w:w="1240"/>
      </w:tblGrid>
      <w:tr w:rsidR="00387BB6" w:rsidRPr="002D3FF9" w14:paraId="5B78AE30" w14:textId="77777777" w:rsidTr="008827F5">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D86945D"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(1)</w:t>
            </w:r>
          </w:p>
        </w:tc>
        <w:tc>
          <w:tcPr>
            <w:tcW w:w="3443" w:type="dxa"/>
            <w:tcBorders>
              <w:top w:val="single" w:sz="4" w:space="0" w:color="auto"/>
              <w:left w:val="nil"/>
              <w:bottom w:val="single" w:sz="4" w:space="0" w:color="auto"/>
              <w:right w:val="single" w:sz="4" w:space="0" w:color="auto"/>
            </w:tcBorders>
            <w:shd w:val="clear" w:color="auto" w:fill="auto"/>
            <w:hideMark/>
          </w:tcPr>
          <w:p w14:paraId="7EF65BA5"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(2)</w:t>
            </w:r>
          </w:p>
        </w:tc>
        <w:tc>
          <w:tcPr>
            <w:tcW w:w="425" w:type="dxa"/>
            <w:tcBorders>
              <w:top w:val="single" w:sz="4" w:space="0" w:color="auto"/>
              <w:left w:val="nil"/>
              <w:bottom w:val="single" w:sz="4" w:space="0" w:color="auto"/>
              <w:right w:val="single" w:sz="4" w:space="0" w:color="auto"/>
            </w:tcBorders>
            <w:shd w:val="clear" w:color="auto" w:fill="auto"/>
            <w:noWrap/>
            <w:hideMark/>
          </w:tcPr>
          <w:p w14:paraId="4C26BB0F"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(3a)</w:t>
            </w:r>
          </w:p>
        </w:tc>
        <w:tc>
          <w:tcPr>
            <w:tcW w:w="452" w:type="dxa"/>
            <w:tcBorders>
              <w:top w:val="single" w:sz="4" w:space="0" w:color="auto"/>
              <w:left w:val="nil"/>
              <w:bottom w:val="single" w:sz="4" w:space="0" w:color="auto"/>
              <w:right w:val="single" w:sz="4" w:space="0" w:color="auto"/>
            </w:tcBorders>
            <w:shd w:val="clear" w:color="auto" w:fill="auto"/>
            <w:noWrap/>
            <w:hideMark/>
          </w:tcPr>
          <w:p w14:paraId="04E2FA81"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(3b)</w:t>
            </w:r>
          </w:p>
        </w:tc>
        <w:tc>
          <w:tcPr>
            <w:tcW w:w="400" w:type="dxa"/>
            <w:tcBorders>
              <w:top w:val="single" w:sz="4" w:space="0" w:color="auto"/>
              <w:left w:val="nil"/>
              <w:bottom w:val="single" w:sz="4" w:space="0" w:color="auto"/>
              <w:right w:val="single" w:sz="4" w:space="0" w:color="auto"/>
            </w:tcBorders>
            <w:shd w:val="clear" w:color="auto" w:fill="auto"/>
            <w:noWrap/>
            <w:hideMark/>
          </w:tcPr>
          <w:p w14:paraId="12B0E85B"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(4)</w:t>
            </w:r>
          </w:p>
        </w:tc>
        <w:tc>
          <w:tcPr>
            <w:tcW w:w="1440" w:type="dxa"/>
            <w:tcBorders>
              <w:top w:val="single" w:sz="4" w:space="0" w:color="auto"/>
              <w:left w:val="nil"/>
              <w:bottom w:val="single" w:sz="4" w:space="0" w:color="auto"/>
              <w:right w:val="single" w:sz="4" w:space="0" w:color="auto"/>
            </w:tcBorders>
            <w:shd w:val="clear" w:color="auto" w:fill="auto"/>
            <w:noWrap/>
            <w:hideMark/>
          </w:tcPr>
          <w:p w14:paraId="27CE9518"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(5)</w:t>
            </w:r>
          </w:p>
        </w:tc>
        <w:tc>
          <w:tcPr>
            <w:tcW w:w="400" w:type="dxa"/>
            <w:tcBorders>
              <w:top w:val="single" w:sz="4" w:space="0" w:color="auto"/>
              <w:left w:val="nil"/>
              <w:bottom w:val="single" w:sz="4" w:space="0" w:color="auto"/>
              <w:right w:val="single" w:sz="4" w:space="0" w:color="auto"/>
            </w:tcBorders>
            <w:shd w:val="clear" w:color="auto" w:fill="auto"/>
            <w:noWrap/>
            <w:hideMark/>
          </w:tcPr>
          <w:p w14:paraId="3B3A8FBD"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(6)</w:t>
            </w:r>
          </w:p>
        </w:tc>
        <w:tc>
          <w:tcPr>
            <w:tcW w:w="400" w:type="dxa"/>
            <w:tcBorders>
              <w:top w:val="single" w:sz="4" w:space="0" w:color="auto"/>
              <w:left w:val="nil"/>
              <w:bottom w:val="single" w:sz="4" w:space="0" w:color="auto"/>
              <w:right w:val="single" w:sz="4" w:space="0" w:color="auto"/>
            </w:tcBorders>
            <w:shd w:val="clear" w:color="auto" w:fill="auto"/>
            <w:noWrap/>
            <w:hideMark/>
          </w:tcPr>
          <w:p w14:paraId="50A90D37"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(7)</w:t>
            </w:r>
          </w:p>
        </w:tc>
        <w:tc>
          <w:tcPr>
            <w:tcW w:w="400" w:type="dxa"/>
            <w:tcBorders>
              <w:top w:val="single" w:sz="4" w:space="0" w:color="auto"/>
              <w:left w:val="nil"/>
              <w:bottom w:val="single" w:sz="4" w:space="0" w:color="auto"/>
              <w:right w:val="single" w:sz="4" w:space="0" w:color="auto"/>
            </w:tcBorders>
            <w:shd w:val="clear" w:color="auto" w:fill="auto"/>
            <w:noWrap/>
            <w:hideMark/>
          </w:tcPr>
          <w:p w14:paraId="006CE2BB"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(8)</w:t>
            </w:r>
          </w:p>
        </w:tc>
        <w:tc>
          <w:tcPr>
            <w:tcW w:w="400" w:type="dxa"/>
            <w:tcBorders>
              <w:top w:val="single" w:sz="4" w:space="0" w:color="auto"/>
              <w:left w:val="nil"/>
              <w:bottom w:val="single" w:sz="4" w:space="0" w:color="auto"/>
              <w:right w:val="single" w:sz="4" w:space="0" w:color="auto"/>
            </w:tcBorders>
            <w:shd w:val="clear" w:color="auto" w:fill="auto"/>
            <w:hideMark/>
          </w:tcPr>
          <w:p w14:paraId="6C42DB0D"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(9)</w:t>
            </w:r>
          </w:p>
        </w:tc>
        <w:tc>
          <w:tcPr>
            <w:tcW w:w="524" w:type="dxa"/>
            <w:tcBorders>
              <w:top w:val="single" w:sz="4" w:space="0" w:color="auto"/>
              <w:left w:val="nil"/>
              <w:bottom w:val="single" w:sz="4" w:space="0" w:color="auto"/>
              <w:right w:val="single" w:sz="4" w:space="0" w:color="auto"/>
            </w:tcBorders>
            <w:shd w:val="clear" w:color="auto" w:fill="auto"/>
            <w:hideMark/>
          </w:tcPr>
          <w:p w14:paraId="5BDA67A0"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(10)</w:t>
            </w:r>
          </w:p>
        </w:tc>
        <w:tc>
          <w:tcPr>
            <w:tcW w:w="524" w:type="dxa"/>
            <w:tcBorders>
              <w:top w:val="single" w:sz="4" w:space="0" w:color="auto"/>
              <w:left w:val="nil"/>
              <w:bottom w:val="single" w:sz="4" w:space="0" w:color="auto"/>
              <w:right w:val="single" w:sz="4" w:space="0" w:color="auto"/>
            </w:tcBorders>
            <w:shd w:val="clear" w:color="auto" w:fill="auto"/>
            <w:noWrap/>
            <w:hideMark/>
          </w:tcPr>
          <w:p w14:paraId="64C64BB3"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(11)</w:t>
            </w:r>
          </w:p>
        </w:tc>
        <w:tc>
          <w:tcPr>
            <w:tcW w:w="700" w:type="dxa"/>
            <w:tcBorders>
              <w:top w:val="single" w:sz="4" w:space="0" w:color="auto"/>
              <w:left w:val="nil"/>
              <w:bottom w:val="single" w:sz="4" w:space="0" w:color="auto"/>
              <w:right w:val="single" w:sz="4" w:space="0" w:color="auto"/>
            </w:tcBorders>
            <w:shd w:val="clear" w:color="auto" w:fill="auto"/>
            <w:noWrap/>
            <w:hideMark/>
          </w:tcPr>
          <w:p w14:paraId="2653056B"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(12)</w:t>
            </w:r>
          </w:p>
        </w:tc>
        <w:tc>
          <w:tcPr>
            <w:tcW w:w="524" w:type="dxa"/>
            <w:tcBorders>
              <w:top w:val="single" w:sz="4" w:space="0" w:color="auto"/>
              <w:left w:val="nil"/>
              <w:bottom w:val="single" w:sz="4" w:space="0" w:color="auto"/>
              <w:right w:val="single" w:sz="4" w:space="0" w:color="auto"/>
            </w:tcBorders>
            <w:shd w:val="clear" w:color="auto" w:fill="auto"/>
            <w:noWrap/>
            <w:hideMark/>
          </w:tcPr>
          <w:p w14:paraId="5A03A938"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(13)</w:t>
            </w:r>
          </w:p>
        </w:tc>
        <w:tc>
          <w:tcPr>
            <w:tcW w:w="524" w:type="dxa"/>
            <w:tcBorders>
              <w:top w:val="single" w:sz="4" w:space="0" w:color="auto"/>
              <w:left w:val="nil"/>
              <w:bottom w:val="single" w:sz="4" w:space="0" w:color="auto"/>
              <w:right w:val="single" w:sz="4" w:space="0" w:color="auto"/>
            </w:tcBorders>
            <w:shd w:val="clear" w:color="auto" w:fill="auto"/>
            <w:noWrap/>
            <w:hideMark/>
          </w:tcPr>
          <w:p w14:paraId="597FB0E5"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(14)</w:t>
            </w:r>
          </w:p>
        </w:tc>
        <w:tc>
          <w:tcPr>
            <w:tcW w:w="500" w:type="dxa"/>
            <w:tcBorders>
              <w:top w:val="single" w:sz="4" w:space="0" w:color="auto"/>
              <w:left w:val="nil"/>
              <w:bottom w:val="single" w:sz="4" w:space="0" w:color="auto"/>
              <w:right w:val="single" w:sz="4" w:space="0" w:color="auto"/>
            </w:tcBorders>
            <w:shd w:val="clear" w:color="auto" w:fill="auto"/>
            <w:noWrap/>
            <w:hideMark/>
          </w:tcPr>
          <w:p w14:paraId="12B21C15"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(15)</w:t>
            </w:r>
          </w:p>
        </w:tc>
        <w:tc>
          <w:tcPr>
            <w:tcW w:w="500" w:type="dxa"/>
            <w:tcBorders>
              <w:top w:val="single" w:sz="4" w:space="0" w:color="auto"/>
              <w:left w:val="nil"/>
              <w:bottom w:val="single" w:sz="4" w:space="0" w:color="auto"/>
              <w:right w:val="single" w:sz="4" w:space="0" w:color="auto"/>
            </w:tcBorders>
            <w:shd w:val="clear" w:color="auto" w:fill="auto"/>
            <w:noWrap/>
            <w:hideMark/>
          </w:tcPr>
          <w:p w14:paraId="55EC11C4"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(16)</w:t>
            </w:r>
          </w:p>
        </w:tc>
        <w:tc>
          <w:tcPr>
            <w:tcW w:w="524" w:type="dxa"/>
            <w:tcBorders>
              <w:top w:val="single" w:sz="4" w:space="0" w:color="auto"/>
              <w:left w:val="nil"/>
              <w:bottom w:val="single" w:sz="4" w:space="0" w:color="auto"/>
              <w:right w:val="single" w:sz="4" w:space="0" w:color="auto"/>
            </w:tcBorders>
            <w:shd w:val="clear" w:color="auto" w:fill="auto"/>
            <w:noWrap/>
            <w:hideMark/>
          </w:tcPr>
          <w:p w14:paraId="5C72789F"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(17)</w:t>
            </w:r>
          </w:p>
        </w:tc>
        <w:tc>
          <w:tcPr>
            <w:tcW w:w="660" w:type="dxa"/>
            <w:tcBorders>
              <w:top w:val="single" w:sz="4" w:space="0" w:color="auto"/>
              <w:left w:val="nil"/>
              <w:bottom w:val="single" w:sz="4" w:space="0" w:color="auto"/>
              <w:right w:val="single" w:sz="4" w:space="0" w:color="auto"/>
            </w:tcBorders>
            <w:shd w:val="clear" w:color="auto" w:fill="auto"/>
            <w:noWrap/>
            <w:hideMark/>
          </w:tcPr>
          <w:p w14:paraId="2E8A6599"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(18)</w:t>
            </w:r>
          </w:p>
        </w:tc>
        <w:tc>
          <w:tcPr>
            <w:tcW w:w="440" w:type="dxa"/>
            <w:tcBorders>
              <w:top w:val="single" w:sz="4" w:space="0" w:color="auto"/>
              <w:left w:val="nil"/>
              <w:bottom w:val="single" w:sz="4" w:space="0" w:color="auto"/>
              <w:right w:val="single" w:sz="4" w:space="0" w:color="auto"/>
            </w:tcBorders>
            <w:shd w:val="clear" w:color="auto" w:fill="auto"/>
            <w:noWrap/>
            <w:hideMark/>
          </w:tcPr>
          <w:p w14:paraId="0E685F66"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(19)</w:t>
            </w:r>
          </w:p>
        </w:tc>
        <w:tc>
          <w:tcPr>
            <w:tcW w:w="1240" w:type="dxa"/>
            <w:tcBorders>
              <w:top w:val="single" w:sz="4" w:space="0" w:color="auto"/>
              <w:left w:val="nil"/>
              <w:bottom w:val="single" w:sz="4" w:space="0" w:color="auto"/>
              <w:right w:val="single" w:sz="4" w:space="0" w:color="auto"/>
            </w:tcBorders>
            <w:shd w:val="clear" w:color="auto" w:fill="auto"/>
            <w:noWrap/>
            <w:hideMark/>
          </w:tcPr>
          <w:p w14:paraId="5520841A" w14:textId="77777777" w:rsidR="00387BB6" w:rsidRPr="002D3FF9" w:rsidRDefault="00387BB6" w:rsidP="00FA5034">
            <w:pPr>
              <w:spacing w:after="0"/>
              <w:jc w:val="both"/>
              <w:rPr>
                <w:rFonts w:ascii="Arial" w:hAnsi="Arial" w:cs="Arial"/>
                <w:sz w:val="16"/>
                <w:szCs w:val="16"/>
                <w:lang w:val="de-DE" w:eastAsia="de-DE"/>
              </w:rPr>
            </w:pPr>
            <w:r w:rsidRPr="002D3FF9">
              <w:rPr>
                <w:rFonts w:ascii="Arial" w:hAnsi="Arial" w:cs="Arial"/>
                <w:sz w:val="16"/>
                <w:szCs w:val="16"/>
                <w:lang w:val="de-DE" w:eastAsia="de-DE"/>
              </w:rPr>
              <w:t>(20)</w:t>
            </w:r>
          </w:p>
        </w:tc>
      </w:tr>
      <w:tr w:rsidR="00387BB6" w:rsidRPr="002D3FF9" w14:paraId="5D9E57A0" w14:textId="77777777" w:rsidTr="008827F5">
        <w:trPr>
          <w:trHeight w:val="3199"/>
        </w:trPr>
        <w:tc>
          <w:tcPr>
            <w:tcW w:w="540" w:type="dxa"/>
            <w:tcBorders>
              <w:top w:val="nil"/>
              <w:left w:val="single" w:sz="4" w:space="0" w:color="auto"/>
              <w:bottom w:val="single" w:sz="4" w:space="0" w:color="auto"/>
              <w:right w:val="single" w:sz="4" w:space="0" w:color="auto"/>
            </w:tcBorders>
            <w:shd w:val="clear" w:color="auto" w:fill="auto"/>
            <w:textDirection w:val="tbRl"/>
            <w:vAlign w:val="center"/>
            <w:hideMark/>
          </w:tcPr>
          <w:p w14:paraId="3FBF51FC"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 xml:space="preserve">UN-Nummer </w:t>
            </w:r>
            <w:r w:rsidRPr="002D3FF9">
              <w:rPr>
                <w:rFonts w:ascii="Arial" w:hAnsi="Arial" w:cs="Arial"/>
                <w:sz w:val="16"/>
                <w:szCs w:val="16"/>
                <w:lang w:val="de-DE" w:eastAsia="de-DE"/>
              </w:rPr>
              <w:br/>
              <w:t>oder Stoffnummer</w:t>
            </w:r>
          </w:p>
        </w:tc>
        <w:tc>
          <w:tcPr>
            <w:tcW w:w="3443" w:type="dxa"/>
            <w:tcBorders>
              <w:top w:val="nil"/>
              <w:left w:val="nil"/>
              <w:bottom w:val="single" w:sz="4" w:space="0" w:color="auto"/>
              <w:right w:val="single" w:sz="4" w:space="0" w:color="auto"/>
            </w:tcBorders>
            <w:shd w:val="clear" w:color="auto" w:fill="auto"/>
            <w:vAlign w:val="center"/>
            <w:hideMark/>
          </w:tcPr>
          <w:p w14:paraId="29B915A0"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 xml:space="preserve"> Benennung und Beschreibung</w:t>
            </w:r>
          </w:p>
        </w:tc>
        <w:tc>
          <w:tcPr>
            <w:tcW w:w="425" w:type="dxa"/>
            <w:tcBorders>
              <w:top w:val="nil"/>
              <w:left w:val="nil"/>
              <w:bottom w:val="single" w:sz="4" w:space="0" w:color="auto"/>
              <w:right w:val="single" w:sz="4" w:space="0" w:color="auto"/>
            </w:tcBorders>
            <w:shd w:val="clear" w:color="auto" w:fill="auto"/>
            <w:noWrap/>
            <w:textDirection w:val="tbRl"/>
            <w:vAlign w:val="center"/>
            <w:hideMark/>
          </w:tcPr>
          <w:p w14:paraId="3C7F763D"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Klasse</w:t>
            </w:r>
          </w:p>
        </w:tc>
        <w:tc>
          <w:tcPr>
            <w:tcW w:w="452" w:type="dxa"/>
            <w:tcBorders>
              <w:top w:val="nil"/>
              <w:left w:val="nil"/>
              <w:bottom w:val="single" w:sz="4" w:space="0" w:color="auto"/>
              <w:right w:val="single" w:sz="4" w:space="0" w:color="auto"/>
            </w:tcBorders>
            <w:shd w:val="clear" w:color="auto" w:fill="auto"/>
            <w:textDirection w:val="tbRl"/>
            <w:vAlign w:val="center"/>
            <w:hideMark/>
          </w:tcPr>
          <w:p w14:paraId="00E7D735"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Klassifizierungscode</w:t>
            </w:r>
          </w:p>
        </w:tc>
        <w:tc>
          <w:tcPr>
            <w:tcW w:w="400" w:type="dxa"/>
            <w:tcBorders>
              <w:top w:val="nil"/>
              <w:left w:val="nil"/>
              <w:bottom w:val="single" w:sz="4" w:space="0" w:color="auto"/>
              <w:right w:val="single" w:sz="4" w:space="0" w:color="auto"/>
            </w:tcBorders>
            <w:shd w:val="clear" w:color="auto" w:fill="auto"/>
            <w:textDirection w:val="tbRl"/>
            <w:vAlign w:val="center"/>
            <w:hideMark/>
          </w:tcPr>
          <w:p w14:paraId="5937C5F3"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Verpackungsgruppe</w:t>
            </w:r>
          </w:p>
        </w:tc>
        <w:tc>
          <w:tcPr>
            <w:tcW w:w="1440" w:type="dxa"/>
            <w:tcBorders>
              <w:top w:val="nil"/>
              <w:left w:val="nil"/>
              <w:bottom w:val="single" w:sz="4" w:space="0" w:color="auto"/>
              <w:right w:val="single" w:sz="4" w:space="0" w:color="auto"/>
            </w:tcBorders>
            <w:shd w:val="clear" w:color="auto" w:fill="auto"/>
            <w:textDirection w:val="tbRl"/>
            <w:vAlign w:val="center"/>
            <w:hideMark/>
          </w:tcPr>
          <w:p w14:paraId="4BB1CFDF"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Gefahren</w:t>
            </w:r>
          </w:p>
        </w:tc>
        <w:tc>
          <w:tcPr>
            <w:tcW w:w="400" w:type="dxa"/>
            <w:tcBorders>
              <w:top w:val="nil"/>
              <w:left w:val="nil"/>
              <w:bottom w:val="single" w:sz="4" w:space="0" w:color="auto"/>
              <w:right w:val="single" w:sz="4" w:space="0" w:color="auto"/>
            </w:tcBorders>
            <w:shd w:val="clear" w:color="auto" w:fill="auto"/>
            <w:textDirection w:val="tbRl"/>
            <w:vAlign w:val="center"/>
            <w:hideMark/>
          </w:tcPr>
          <w:p w14:paraId="7F808615"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Tankschiffstyp</w:t>
            </w:r>
          </w:p>
        </w:tc>
        <w:tc>
          <w:tcPr>
            <w:tcW w:w="400" w:type="dxa"/>
            <w:tcBorders>
              <w:top w:val="nil"/>
              <w:left w:val="nil"/>
              <w:bottom w:val="single" w:sz="4" w:space="0" w:color="auto"/>
              <w:right w:val="single" w:sz="4" w:space="0" w:color="auto"/>
            </w:tcBorders>
            <w:shd w:val="clear" w:color="auto" w:fill="auto"/>
            <w:textDirection w:val="tbRl"/>
            <w:vAlign w:val="center"/>
            <w:hideMark/>
          </w:tcPr>
          <w:p w14:paraId="00A4DF4D"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Ladetankzustand</w:t>
            </w:r>
          </w:p>
        </w:tc>
        <w:tc>
          <w:tcPr>
            <w:tcW w:w="400" w:type="dxa"/>
            <w:tcBorders>
              <w:top w:val="nil"/>
              <w:left w:val="nil"/>
              <w:bottom w:val="single" w:sz="4" w:space="0" w:color="auto"/>
              <w:right w:val="single" w:sz="4" w:space="0" w:color="auto"/>
            </w:tcBorders>
            <w:shd w:val="clear" w:color="auto" w:fill="auto"/>
            <w:textDirection w:val="tbRl"/>
            <w:vAlign w:val="center"/>
            <w:hideMark/>
          </w:tcPr>
          <w:p w14:paraId="50173043"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Ladetanktyp</w:t>
            </w:r>
          </w:p>
        </w:tc>
        <w:tc>
          <w:tcPr>
            <w:tcW w:w="400" w:type="dxa"/>
            <w:tcBorders>
              <w:top w:val="nil"/>
              <w:left w:val="nil"/>
              <w:bottom w:val="single" w:sz="4" w:space="0" w:color="auto"/>
              <w:right w:val="single" w:sz="4" w:space="0" w:color="auto"/>
            </w:tcBorders>
            <w:shd w:val="clear" w:color="auto" w:fill="auto"/>
            <w:textDirection w:val="tbRl"/>
            <w:vAlign w:val="center"/>
            <w:hideMark/>
          </w:tcPr>
          <w:p w14:paraId="24A36963"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Ladetankausrüstung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14:paraId="2C0EC140"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Öffnungsdruck des</w:t>
            </w:r>
            <w:r w:rsidRPr="002D3FF9">
              <w:rPr>
                <w:rFonts w:ascii="Arial" w:hAnsi="Arial" w:cs="Arial"/>
                <w:sz w:val="16"/>
                <w:szCs w:val="16"/>
                <w:lang w:val="de-DE" w:eastAsia="de-DE"/>
              </w:rPr>
              <w:br/>
              <w:t>H.-J.-Ventils in kPa</w:t>
            </w:r>
          </w:p>
        </w:tc>
        <w:tc>
          <w:tcPr>
            <w:tcW w:w="524" w:type="dxa"/>
            <w:tcBorders>
              <w:top w:val="nil"/>
              <w:left w:val="nil"/>
              <w:bottom w:val="single" w:sz="4" w:space="0" w:color="auto"/>
              <w:right w:val="single" w:sz="4" w:space="0" w:color="auto"/>
            </w:tcBorders>
            <w:shd w:val="clear" w:color="auto" w:fill="auto"/>
            <w:textDirection w:val="tbRl"/>
            <w:vAlign w:val="center"/>
            <w:hideMark/>
          </w:tcPr>
          <w:p w14:paraId="4D187643"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max. zul. Tankfüllungsgrad</w:t>
            </w:r>
            <w:r w:rsidRPr="002D3FF9">
              <w:rPr>
                <w:rFonts w:ascii="Arial" w:hAnsi="Arial" w:cs="Arial"/>
                <w:sz w:val="16"/>
                <w:szCs w:val="16"/>
                <w:lang w:val="de-DE" w:eastAsia="de-DE"/>
              </w:rPr>
              <w:br/>
              <w:t>in %</w:t>
            </w:r>
          </w:p>
        </w:tc>
        <w:tc>
          <w:tcPr>
            <w:tcW w:w="700" w:type="dxa"/>
            <w:tcBorders>
              <w:top w:val="nil"/>
              <w:left w:val="nil"/>
              <w:bottom w:val="single" w:sz="4" w:space="0" w:color="auto"/>
              <w:right w:val="single" w:sz="4" w:space="0" w:color="auto"/>
            </w:tcBorders>
            <w:shd w:val="clear" w:color="auto" w:fill="auto"/>
            <w:noWrap/>
            <w:textDirection w:val="tbRl"/>
            <w:vAlign w:val="center"/>
            <w:hideMark/>
          </w:tcPr>
          <w:p w14:paraId="3E7DC327"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relative Dichte bei 20 ºC</w:t>
            </w:r>
          </w:p>
        </w:tc>
        <w:tc>
          <w:tcPr>
            <w:tcW w:w="524" w:type="dxa"/>
            <w:tcBorders>
              <w:top w:val="nil"/>
              <w:left w:val="nil"/>
              <w:bottom w:val="single" w:sz="4" w:space="0" w:color="auto"/>
              <w:right w:val="single" w:sz="4" w:space="0" w:color="auto"/>
            </w:tcBorders>
            <w:shd w:val="clear" w:color="auto" w:fill="auto"/>
            <w:textDirection w:val="tbRl"/>
            <w:vAlign w:val="center"/>
            <w:hideMark/>
          </w:tcPr>
          <w:p w14:paraId="79B48EB3"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Art der</w:t>
            </w:r>
            <w:r w:rsidRPr="002D3FF9">
              <w:rPr>
                <w:rFonts w:ascii="Arial" w:hAnsi="Arial" w:cs="Arial"/>
                <w:sz w:val="16"/>
                <w:szCs w:val="16"/>
                <w:lang w:val="de-DE" w:eastAsia="de-DE"/>
              </w:rPr>
              <w:br/>
              <w:t>Probeentnahmeeinrichtung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14:paraId="1ED35992"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Pumpenraum unter Deck</w:t>
            </w:r>
            <w:r w:rsidRPr="002D3FF9">
              <w:rPr>
                <w:rFonts w:ascii="Arial" w:hAnsi="Arial" w:cs="Arial"/>
                <w:sz w:val="16"/>
                <w:szCs w:val="16"/>
                <w:lang w:val="de-DE" w:eastAsia="de-DE"/>
              </w:rPr>
              <w:br/>
              <w:t>erlaubt</w:t>
            </w:r>
          </w:p>
        </w:tc>
        <w:tc>
          <w:tcPr>
            <w:tcW w:w="500" w:type="dxa"/>
            <w:tcBorders>
              <w:top w:val="nil"/>
              <w:left w:val="nil"/>
              <w:bottom w:val="single" w:sz="4" w:space="0" w:color="auto"/>
              <w:right w:val="single" w:sz="4" w:space="0" w:color="auto"/>
            </w:tcBorders>
            <w:shd w:val="clear" w:color="auto" w:fill="auto"/>
            <w:noWrap/>
            <w:textDirection w:val="tbRl"/>
            <w:vAlign w:val="center"/>
            <w:hideMark/>
          </w:tcPr>
          <w:p w14:paraId="2D200949"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Temperaturklasse</w:t>
            </w:r>
          </w:p>
        </w:tc>
        <w:tc>
          <w:tcPr>
            <w:tcW w:w="500" w:type="dxa"/>
            <w:tcBorders>
              <w:top w:val="nil"/>
              <w:left w:val="nil"/>
              <w:bottom w:val="single" w:sz="4" w:space="0" w:color="auto"/>
              <w:right w:val="single" w:sz="4" w:space="0" w:color="auto"/>
            </w:tcBorders>
            <w:shd w:val="clear" w:color="auto" w:fill="auto"/>
            <w:noWrap/>
            <w:textDirection w:val="tbRl"/>
            <w:vAlign w:val="center"/>
            <w:hideMark/>
          </w:tcPr>
          <w:p w14:paraId="411107CB"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Explosionsgruppe</w:t>
            </w:r>
          </w:p>
        </w:tc>
        <w:tc>
          <w:tcPr>
            <w:tcW w:w="524" w:type="dxa"/>
            <w:tcBorders>
              <w:top w:val="nil"/>
              <w:left w:val="nil"/>
              <w:bottom w:val="single" w:sz="4" w:space="0" w:color="auto"/>
              <w:right w:val="single" w:sz="4" w:space="0" w:color="auto"/>
            </w:tcBorders>
            <w:shd w:val="clear" w:color="auto" w:fill="auto"/>
            <w:textDirection w:val="tbRl"/>
            <w:vAlign w:val="center"/>
            <w:hideMark/>
          </w:tcPr>
          <w:p w14:paraId="4564BB28"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Explosionsschutz</w:t>
            </w:r>
            <w:r w:rsidRPr="002D3FF9">
              <w:rPr>
                <w:rFonts w:ascii="Arial" w:hAnsi="Arial" w:cs="Arial"/>
                <w:sz w:val="16"/>
                <w:szCs w:val="16"/>
                <w:lang w:val="de-DE" w:eastAsia="de-DE"/>
              </w:rPr>
              <w:br/>
              <w:t>erforderlich</w:t>
            </w:r>
          </w:p>
        </w:tc>
        <w:tc>
          <w:tcPr>
            <w:tcW w:w="660" w:type="dxa"/>
            <w:tcBorders>
              <w:top w:val="nil"/>
              <w:left w:val="nil"/>
              <w:bottom w:val="single" w:sz="4" w:space="0" w:color="auto"/>
              <w:right w:val="single" w:sz="4" w:space="0" w:color="auto"/>
            </w:tcBorders>
            <w:shd w:val="clear" w:color="auto" w:fill="auto"/>
            <w:textDirection w:val="tbRl"/>
            <w:vAlign w:val="center"/>
            <w:hideMark/>
          </w:tcPr>
          <w:p w14:paraId="446CC127"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Ausrüstung</w:t>
            </w:r>
            <w:r w:rsidRPr="002D3FF9">
              <w:rPr>
                <w:rFonts w:ascii="Arial" w:hAnsi="Arial" w:cs="Arial"/>
                <w:sz w:val="16"/>
                <w:szCs w:val="16"/>
                <w:lang w:val="de-DE" w:eastAsia="de-DE"/>
              </w:rPr>
              <w:br/>
              <w:t>erforderlich</w:t>
            </w:r>
          </w:p>
        </w:tc>
        <w:tc>
          <w:tcPr>
            <w:tcW w:w="440" w:type="dxa"/>
            <w:tcBorders>
              <w:top w:val="nil"/>
              <w:left w:val="nil"/>
              <w:bottom w:val="single" w:sz="4" w:space="0" w:color="auto"/>
              <w:right w:val="single" w:sz="4" w:space="0" w:color="auto"/>
            </w:tcBorders>
            <w:shd w:val="clear" w:color="auto" w:fill="auto"/>
            <w:textDirection w:val="tbRl"/>
            <w:vAlign w:val="center"/>
            <w:hideMark/>
          </w:tcPr>
          <w:p w14:paraId="1B3AC3EC"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Anzahl der Kegel/Lichter</w:t>
            </w:r>
          </w:p>
        </w:tc>
        <w:tc>
          <w:tcPr>
            <w:tcW w:w="1240" w:type="dxa"/>
            <w:tcBorders>
              <w:top w:val="nil"/>
              <w:left w:val="nil"/>
              <w:bottom w:val="single" w:sz="4" w:space="0" w:color="auto"/>
              <w:right w:val="single" w:sz="4" w:space="0" w:color="auto"/>
            </w:tcBorders>
            <w:shd w:val="clear" w:color="auto" w:fill="auto"/>
            <w:textDirection w:val="tbRl"/>
            <w:vAlign w:val="center"/>
            <w:hideMark/>
          </w:tcPr>
          <w:p w14:paraId="387AE48A" w14:textId="77777777" w:rsidR="00387BB6" w:rsidRPr="002D3FF9" w:rsidRDefault="00387BB6" w:rsidP="004547E6">
            <w:pPr>
              <w:spacing w:after="0"/>
              <w:rPr>
                <w:rFonts w:ascii="Arial" w:hAnsi="Arial" w:cs="Arial"/>
                <w:sz w:val="16"/>
                <w:szCs w:val="16"/>
                <w:lang w:val="de-DE" w:eastAsia="de-DE"/>
              </w:rPr>
            </w:pPr>
            <w:r w:rsidRPr="002D3FF9">
              <w:rPr>
                <w:rFonts w:ascii="Arial" w:hAnsi="Arial" w:cs="Arial"/>
                <w:sz w:val="16"/>
                <w:szCs w:val="16"/>
                <w:lang w:val="de-DE" w:eastAsia="de-DE"/>
              </w:rPr>
              <w:t>zusätzliche Anforderungen</w:t>
            </w:r>
            <w:r w:rsidRPr="002D3FF9">
              <w:rPr>
                <w:rFonts w:ascii="Arial" w:hAnsi="Arial" w:cs="Arial"/>
                <w:sz w:val="16"/>
                <w:szCs w:val="16"/>
                <w:lang w:val="de-DE" w:eastAsia="de-DE"/>
              </w:rPr>
              <w:br/>
              <w:t>oder Bemerkungen</w:t>
            </w:r>
          </w:p>
        </w:tc>
      </w:tr>
      <w:tr w:rsidR="00387BB6" w:rsidRPr="002D3FF9" w14:paraId="1A6BBB44" w14:textId="77777777" w:rsidTr="008827F5">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14:paraId="1E9478A2" w14:textId="77777777" w:rsidR="00387BB6" w:rsidRPr="002D3FF9" w:rsidRDefault="00387BB6" w:rsidP="00FA5034">
            <w:pPr>
              <w:jc w:val="both"/>
              <w:rPr>
                <w:rFonts w:ascii="Arial" w:hAnsi="Arial" w:cs="Arial"/>
                <w:sz w:val="16"/>
                <w:szCs w:val="16"/>
              </w:rPr>
            </w:pPr>
            <w:r w:rsidRPr="002D3FF9">
              <w:rPr>
                <w:rFonts w:ascii="Arial" w:hAnsi="Arial" w:cs="Arial"/>
                <w:sz w:val="16"/>
                <w:szCs w:val="16"/>
              </w:rPr>
              <w:t>3082</w:t>
            </w:r>
          </w:p>
        </w:tc>
        <w:tc>
          <w:tcPr>
            <w:tcW w:w="3443" w:type="dxa"/>
            <w:tcBorders>
              <w:top w:val="nil"/>
              <w:left w:val="nil"/>
              <w:bottom w:val="single" w:sz="4" w:space="0" w:color="auto"/>
              <w:right w:val="single" w:sz="4" w:space="0" w:color="auto"/>
            </w:tcBorders>
            <w:shd w:val="clear" w:color="auto" w:fill="auto"/>
            <w:hideMark/>
          </w:tcPr>
          <w:p w14:paraId="40E49AB8" w14:textId="77777777" w:rsidR="00387BB6" w:rsidRPr="002D3FF9" w:rsidRDefault="00387BB6" w:rsidP="004547E6">
            <w:pPr>
              <w:rPr>
                <w:rFonts w:ascii="Arial" w:hAnsi="Arial" w:cs="Arial"/>
                <w:sz w:val="16"/>
                <w:szCs w:val="16"/>
                <w:lang w:val="de-DE"/>
              </w:rPr>
            </w:pPr>
            <w:r w:rsidRPr="002D3FF9">
              <w:rPr>
                <w:rFonts w:ascii="Arial" w:hAnsi="Arial" w:cs="Arial"/>
                <w:sz w:val="16"/>
                <w:szCs w:val="16"/>
                <w:lang w:val="de-DE"/>
              </w:rPr>
              <w:t>UMWELTGEFÄHRDENDER STOFF, FLÜSSIG, N.A.G. (</w:t>
            </w:r>
            <w:r>
              <w:rPr>
                <w:rFonts w:ascii="Arial" w:hAnsi="Arial" w:cs="Arial"/>
                <w:sz w:val="16"/>
                <w:szCs w:val="16"/>
                <w:lang w:val="de-DE"/>
              </w:rPr>
              <w:t xml:space="preserve">BILGENWASSER, ENTHÄLT </w:t>
            </w:r>
            <w:r w:rsidRPr="002D3FF9">
              <w:rPr>
                <w:rFonts w:ascii="Arial" w:hAnsi="Arial" w:cs="Arial"/>
                <w:sz w:val="16"/>
                <w:szCs w:val="16"/>
                <w:lang w:val="de-DE"/>
              </w:rPr>
              <w:t>ÖLSCHLAMM)</w:t>
            </w:r>
          </w:p>
        </w:tc>
        <w:tc>
          <w:tcPr>
            <w:tcW w:w="425" w:type="dxa"/>
            <w:tcBorders>
              <w:top w:val="nil"/>
              <w:left w:val="nil"/>
              <w:bottom w:val="single" w:sz="4" w:space="0" w:color="auto"/>
              <w:right w:val="single" w:sz="4" w:space="0" w:color="auto"/>
            </w:tcBorders>
            <w:shd w:val="clear" w:color="auto" w:fill="auto"/>
            <w:noWrap/>
            <w:hideMark/>
          </w:tcPr>
          <w:p w14:paraId="1D1063B5" w14:textId="77777777" w:rsidR="00387BB6" w:rsidRPr="002D3FF9" w:rsidRDefault="00387BB6" w:rsidP="00FA5034">
            <w:pPr>
              <w:jc w:val="both"/>
              <w:rPr>
                <w:rFonts w:ascii="Arial" w:hAnsi="Arial" w:cs="Arial"/>
                <w:sz w:val="16"/>
                <w:szCs w:val="16"/>
              </w:rPr>
            </w:pPr>
            <w:r w:rsidRPr="002D3FF9">
              <w:rPr>
                <w:rFonts w:ascii="Arial" w:hAnsi="Arial" w:cs="Arial"/>
                <w:sz w:val="16"/>
                <w:szCs w:val="16"/>
              </w:rPr>
              <w:t>9</w:t>
            </w:r>
          </w:p>
        </w:tc>
        <w:tc>
          <w:tcPr>
            <w:tcW w:w="452" w:type="dxa"/>
            <w:tcBorders>
              <w:top w:val="nil"/>
              <w:left w:val="nil"/>
              <w:bottom w:val="single" w:sz="4" w:space="0" w:color="auto"/>
              <w:right w:val="single" w:sz="4" w:space="0" w:color="auto"/>
            </w:tcBorders>
            <w:shd w:val="clear" w:color="auto" w:fill="auto"/>
            <w:noWrap/>
            <w:hideMark/>
          </w:tcPr>
          <w:p w14:paraId="18CDC895" w14:textId="77777777" w:rsidR="00387BB6" w:rsidRPr="002D3FF9" w:rsidRDefault="00387BB6" w:rsidP="00FA5034">
            <w:pPr>
              <w:jc w:val="both"/>
              <w:rPr>
                <w:rFonts w:ascii="Arial" w:hAnsi="Arial" w:cs="Arial"/>
                <w:sz w:val="16"/>
                <w:szCs w:val="16"/>
              </w:rPr>
            </w:pPr>
            <w:r w:rsidRPr="002D3FF9">
              <w:rPr>
                <w:rFonts w:ascii="Arial" w:hAnsi="Arial" w:cs="Arial"/>
                <w:sz w:val="16"/>
                <w:szCs w:val="16"/>
              </w:rPr>
              <w:t>M6</w:t>
            </w:r>
          </w:p>
        </w:tc>
        <w:tc>
          <w:tcPr>
            <w:tcW w:w="400" w:type="dxa"/>
            <w:tcBorders>
              <w:top w:val="nil"/>
              <w:left w:val="nil"/>
              <w:bottom w:val="single" w:sz="4" w:space="0" w:color="auto"/>
              <w:right w:val="single" w:sz="4" w:space="0" w:color="auto"/>
            </w:tcBorders>
            <w:shd w:val="clear" w:color="auto" w:fill="auto"/>
            <w:noWrap/>
            <w:hideMark/>
          </w:tcPr>
          <w:p w14:paraId="2994CDF4" w14:textId="77777777" w:rsidR="00387BB6" w:rsidRPr="002D3FF9" w:rsidRDefault="00387BB6" w:rsidP="00FA5034">
            <w:pPr>
              <w:jc w:val="both"/>
              <w:rPr>
                <w:rFonts w:ascii="Arial" w:hAnsi="Arial" w:cs="Arial"/>
                <w:sz w:val="16"/>
                <w:szCs w:val="16"/>
              </w:rPr>
            </w:pPr>
            <w:r w:rsidRPr="002D3FF9">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hideMark/>
          </w:tcPr>
          <w:p w14:paraId="4CADCA9A" w14:textId="77777777" w:rsidR="00387BB6" w:rsidRPr="002D3FF9" w:rsidRDefault="00387BB6" w:rsidP="00FA5034">
            <w:pPr>
              <w:jc w:val="both"/>
              <w:rPr>
                <w:rFonts w:ascii="Arial" w:hAnsi="Arial" w:cs="Arial"/>
                <w:sz w:val="16"/>
                <w:szCs w:val="16"/>
              </w:rPr>
            </w:pPr>
            <w:r w:rsidRPr="002D3FF9">
              <w:rPr>
                <w:rFonts w:ascii="Arial" w:hAnsi="Arial" w:cs="Arial"/>
                <w:sz w:val="16"/>
                <w:szCs w:val="16"/>
              </w:rPr>
              <w:t>9+CMR+N1</w:t>
            </w:r>
          </w:p>
        </w:tc>
        <w:tc>
          <w:tcPr>
            <w:tcW w:w="400" w:type="dxa"/>
            <w:tcBorders>
              <w:top w:val="nil"/>
              <w:left w:val="nil"/>
              <w:bottom w:val="single" w:sz="4" w:space="0" w:color="auto"/>
              <w:right w:val="single" w:sz="4" w:space="0" w:color="auto"/>
            </w:tcBorders>
            <w:shd w:val="clear" w:color="auto" w:fill="auto"/>
            <w:noWrap/>
            <w:hideMark/>
          </w:tcPr>
          <w:p w14:paraId="4242624B" w14:textId="77777777" w:rsidR="00387BB6" w:rsidRPr="002D3FF9" w:rsidRDefault="00387BB6" w:rsidP="00FA5034">
            <w:pPr>
              <w:jc w:val="both"/>
              <w:rPr>
                <w:rFonts w:ascii="Arial" w:hAnsi="Arial" w:cs="Arial"/>
                <w:sz w:val="16"/>
                <w:szCs w:val="16"/>
              </w:rPr>
            </w:pPr>
            <w:r w:rsidRPr="002D3FF9">
              <w:rPr>
                <w:rFonts w:ascii="Arial" w:hAnsi="Arial" w:cs="Arial"/>
                <w:sz w:val="16"/>
                <w:szCs w:val="16"/>
              </w:rPr>
              <w:t>N</w:t>
            </w:r>
          </w:p>
        </w:tc>
        <w:tc>
          <w:tcPr>
            <w:tcW w:w="400" w:type="dxa"/>
            <w:tcBorders>
              <w:top w:val="nil"/>
              <w:left w:val="nil"/>
              <w:bottom w:val="single" w:sz="4" w:space="0" w:color="auto"/>
              <w:right w:val="single" w:sz="4" w:space="0" w:color="auto"/>
            </w:tcBorders>
            <w:shd w:val="clear" w:color="auto" w:fill="auto"/>
            <w:noWrap/>
            <w:hideMark/>
          </w:tcPr>
          <w:p w14:paraId="07C1A3C0" w14:textId="77777777" w:rsidR="00387BB6" w:rsidRPr="002D3FF9" w:rsidRDefault="00387BB6" w:rsidP="00FA5034">
            <w:pPr>
              <w:jc w:val="both"/>
              <w:rPr>
                <w:rFonts w:ascii="Arial" w:hAnsi="Arial" w:cs="Arial"/>
                <w:sz w:val="16"/>
                <w:szCs w:val="16"/>
              </w:rPr>
            </w:pPr>
            <w:r w:rsidRPr="002D3FF9">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hideMark/>
          </w:tcPr>
          <w:p w14:paraId="2AB3C1B0" w14:textId="77777777" w:rsidR="00387BB6" w:rsidRPr="002D3FF9" w:rsidRDefault="00387BB6" w:rsidP="00FA5034">
            <w:pPr>
              <w:jc w:val="both"/>
              <w:rPr>
                <w:rFonts w:ascii="Arial" w:hAnsi="Arial" w:cs="Arial"/>
                <w:sz w:val="16"/>
                <w:szCs w:val="16"/>
              </w:rPr>
            </w:pPr>
            <w:r w:rsidRPr="002D3FF9">
              <w:rPr>
                <w:rFonts w:ascii="Arial" w:hAnsi="Arial" w:cs="Arial"/>
                <w:sz w:val="16"/>
                <w:szCs w:val="16"/>
              </w:rPr>
              <w:t>3</w:t>
            </w:r>
          </w:p>
        </w:tc>
        <w:tc>
          <w:tcPr>
            <w:tcW w:w="400" w:type="dxa"/>
            <w:tcBorders>
              <w:top w:val="nil"/>
              <w:left w:val="nil"/>
              <w:bottom w:val="single" w:sz="4" w:space="0" w:color="auto"/>
              <w:right w:val="single" w:sz="4" w:space="0" w:color="auto"/>
            </w:tcBorders>
            <w:shd w:val="clear" w:color="auto" w:fill="auto"/>
            <w:noWrap/>
            <w:hideMark/>
          </w:tcPr>
          <w:p w14:paraId="4D1A349C" w14:textId="77777777" w:rsidR="00387BB6" w:rsidRPr="002D3FF9" w:rsidRDefault="00387BB6" w:rsidP="00FA5034">
            <w:pPr>
              <w:jc w:val="both"/>
              <w:rPr>
                <w:rFonts w:ascii="Arial" w:hAnsi="Arial" w:cs="Arial"/>
                <w:sz w:val="16"/>
                <w:szCs w:val="16"/>
              </w:rPr>
            </w:pPr>
          </w:p>
        </w:tc>
        <w:tc>
          <w:tcPr>
            <w:tcW w:w="524" w:type="dxa"/>
            <w:tcBorders>
              <w:top w:val="nil"/>
              <w:left w:val="nil"/>
              <w:bottom w:val="single" w:sz="4" w:space="0" w:color="auto"/>
              <w:right w:val="single" w:sz="4" w:space="0" w:color="auto"/>
            </w:tcBorders>
            <w:shd w:val="clear" w:color="auto" w:fill="auto"/>
            <w:hideMark/>
          </w:tcPr>
          <w:p w14:paraId="01611CF1" w14:textId="77777777" w:rsidR="00387BB6" w:rsidRPr="002D3FF9" w:rsidRDefault="00387BB6" w:rsidP="00FA5034">
            <w:pPr>
              <w:jc w:val="both"/>
              <w:rPr>
                <w:rFonts w:ascii="Arial" w:hAnsi="Arial" w:cs="Arial"/>
                <w:sz w:val="16"/>
                <w:szCs w:val="16"/>
              </w:rPr>
            </w:pPr>
            <w:r w:rsidRPr="002D3FF9">
              <w:rPr>
                <w:rFonts w:ascii="Arial" w:hAnsi="Arial" w:cs="Arial"/>
                <w:sz w:val="16"/>
                <w:szCs w:val="16"/>
              </w:rPr>
              <w:t>10</w:t>
            </w:r>
          </w:p>
        </w:tc>
        <w:tc>
          <w:tcPr>
            <w:tcW w:w="524" w:type="dxa"/>
            <w:tcBorders>
              <w:top w:val="nil"/>
              <w:left w:val="nil"/>
              <w:bottom w:val="single" w:sz="4" w:space="0" w:color="auto"/>
              <w:right w:val="single" w:sz="4" w:space="0" w:color="auto"/>
            </w:tcBorders>
            <w:shd w:val="clear" w:color="auto" w:fill="auto"/>
            <w:hideMark/>
          </w:tcPr>
          <w:p w14:paraId="059FFBFB" w14:textId="77777777" w:rsidR="00387BB6" w:rsidRPr="002D3FF9" w:rsidRDefault="00387BB6" w:rsidP="00FA5034">
            <w:pPr>
              <w:jc w:val="both"/>
              <w:rPr>
                <w:rFonts w:ascii="Arial" w:hAnsi="Arial" w:cs="Arial"/>
                <w:sz w:val="16"/>
                <w:szCs w:val="16"/>
              </w:rPr>
            </w:pPr>
            <w:r w:rsidRPr="002D3FF9">
              <w:rPr>
                <w:rFonts w:ascii="Arial" w:hAnsi="Arial" w:cs="Arial"/>
                <w:sz w:val="16"/>
                <w:szCs w:val="16"/>
              </w:rPr>
              <w:t>97</w:t>
            </w:r>
          </w:p>
        </w:tc>
        <w:tc>
          <w:tcPr>
            <w:tcW w:w="700" w:type="dxa"/>
            <w:tcBorders>
              <w:top w:val="nil"/>
              <w:left w:val="nil"/>
              <w:bottom w:val="single" w:sz="4" w:space="0" w:color="auto"/>
              <w:right w:val="single" w:sz="4" w:space="0" w:color="auto"/>
            </w:tcBorders>
            <w:shd w:val="clear" w:color="auto" w:fill="auto"/>
            <w:hideMark/>
          </w:tcPr>
          <w:p w14:paraId="65928906" w14:textId="77777777" w:rsidR="00387BB6" w:rsidRPr="002D3FF9" w:rsidRDefault="00387BB6" w:rsidP="00FA5034">
            <w:pPr>
              <w:jc w:val="both"/>
              <w:rPr>
                <w:rFonts w:ascii="Arial" w:hAnsi="Arial" w:cs="Arial"/>
                <w:sz w:val="16"/>
                <w:szCs w:val="16"/>
              </w:rPr>
            </w:pPr>
          </w:p>
        </w:tc>
        <w:tc>
          <w:tcPr>
            <w:tcW w:w="524" w:type="dxa"/>
            <w:tcBorders>
              <w:top w:val="nil"/>
              <w:left w:val="nil"/>
              <w:bottom w:val="single" w:sz="4" w:space="0" w:color="auto"/>
              <w:right w:val="single" w:sz="4" w:space="0" w:color="auto"/>
            </w:tcBorders>
            <w:shd w:val="clear" w:color="auto" w:fill="auto"/>
            <w:noWrap/>
            <w:hideMark/>
          </w:tcPr>
          <w:p w14:paraId="419FA366" w14:textId="77777777" w:rsidR="00387BB6" w:rsidRPr="002D3FF9" w:rsidRDefault="00387BB6" w:rsidP="00FA5034">
            <w:pPr>
              <w:jc w:val="both"/>
              <w:rPr>
                <w:rFonts w:ascii="Arial" w:hAnsi="Arial" w:cs="Arial"/>
                <w:sz w:val="16"/>
                <w:szCs w:val="16"/>
              </w:rPr>
            </w:pPr>
            <w:r w:rsidRPr="002D3FF9">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noWrap/>
            <w:hideMark/>
          </w:tcPr>
          <w:p w14:paraId="244C5015" w14:textId="77777777" w:rsidR="00387BB6" w:rsidRPr="002D3FF9" w:rsidRDefault="00387BB6" w:rsidP="00FA5034">
            <w:pPr>
              <w:jc w:val="both"/>
              <w:rPr>
                <w:rFonts w:ascii="Arial" w:hAnsi="Arial" w:cs="Arial"/>
                <w:sz w:val="16"/>
                <w:szCs w:val="16"/>
              </w:rPr>
            </w:pPr>
            <w:proofErr w:type="spellStart"/>
            <w:r w:rsidRPr="002D3FF9">
              <w:rPr>
                <w:rFonts w:ascii="Arial" w:hAnsi="Arial" w:cs="Arial"/>
                <w:sz w:val="16"/>
                <w:szCs w:val="16"/>
              </w:rPr>
              <w:t>ja</w:t>
            </w:r>
            <w:proofErr w:type="spellEnd"/>
          </w:p>
        </w:tc>
        <w:tc>
          <w:tcPr>
            <w:tcW w:w="500" w:type="dxa"/>
            <w:tcBorders>
              <w:top w:val="nil"/>
              <w:left w:val="nil"/>
              <w:bottom w:val="single" w:sz="4" w:space="0" w:color="auto"/>
              <w:right w:val="single" w:sz="4" w:space="0" w:color="auto"/>
            </w:tcBorders>
            <w:shd w:val="clear" w:color="auto" w:fill="auto"/>
            <w:noWrap/>
            <w:hideMark/>
          </w:tcPr>
          <w:p w14:paraId="1EA8E8CF" w14:textId="77777777" w:rsidR="00387BB6" w:rsidRPr="002D3FF9" w:rsidRDefault="00387BB6" w:rsidP="00FA5034">
            <w:pPr>
              <w:jc w:val="both"/>
              <w:rPr>
                <w:rFonts w:ascii="Arial" w:hAnsi="Arial" w:cs="Arial"/>
                <w:sz w:val="16"/>
                <w:szCs w:val="16"/>
              </w:rPr>
            </w:pPr>
          </w:p>
        </w:tc>
        <w:tc>
          <w:tcPr>
            <w:tcW w:w="500" w:type="dxa"/>
            <w:tcBorders>
              <w:top w:val="nil"/>
              <w:left w:val="nil"/>
              <w:bottom w:val="single" w:sz="4" w:space="0" w:color="auto"/>
              <w:right w:val="single" w:sz="4" w:space="0" w:color="auto"/>
            </w:tcBorders>
            <w:shd w:val="clear" w:color="auto" w:fill="auto"/>
            <w:noWrap/>
            <w:hideMark/>
          </w:tcPr>
          <w:p w14:paraId="50F802FF" w14:textId="77777777" w:rsidR="00387BB6" w:rsidRPr="002D3FF9" w:rsidRDefault="00387BB6" w:rsidP="00FA5034">
            <w:pPr>
              <w:jc w:val="both"/>
              <w:rPr>
                <w:rFonts w:ascii="Arial" w:hAnsi="Arial" w:cs="Arial"/>
                <w:sz w:val="16"/>
                <w:szCs w:val="16"/>
              </w:rPr>
            </w:pPr>
          </w:p>
        </w:tc>
        <w:tc>
          <w:tcPr>
            <w:tcW w:w="524" w:type="dxa"/>
            <w:tcBorders>
              <w:top w:val="nil"/>
              <w:left w:val="nil"/>
              <w:bottom w:val="single" w:sz="4" w:space="0" w:color="auto"/>
              <w:right w:val="single" w:sz="4" w:space="0" w:color="auto"/>
            </w:tcBorders>
            <w:shd w:val="clear" w:color="auto" w:fill="auto"/>
            <w:noWrap/>
            <w:hideMark/>
          </w:tcPr>
          <w:p w14:paraId="5597DA82" w14:textId="77777777" w:rsidR="00387BB6" w:rsidRPr="002D3FF9" w:rsidRDefault="00387BB6" w:rsidP="00FA5034">
            <w:pPr>
              <w:jc w:val="both"/>
              <w:rPr>
                <w:rFonts w:ascii="Arial" w:hAnsi="Arial" w:cs="Arial"/>
                <w:sz w:val="16"/>
                <w:szCs w:val="16"/>
              </w:rPr>
            </w:pPr>
            <w:proofErr w:type="spellStart"/>
            <w:r w:rsidRPr="002D3FF9">
              <w:rPr>
                <w:rFonts w:ascii="Arial" w:hAnsi="Arial" w:cs="Arial"/>
                <w:sz w:val="16"/>
                <w:szCs w:val="16"/>
              </w:rPr>
              <w:t>nein</w:t>
            </w:r>
            <w:proofErr w:type="spellEnd"/>
          </w:p>
        </w:tc>
        <w:tc>
          <w:tcPr>
            <w:tcW w:w="660" w:type="dxa"/>
            <w:tcBorders>
              <w:top w:val="nil"/>
              <w:left w:val="nil"/>
              <w:bottom w:val="single" w:sz="4" w:space="0" w:color="auto"/>
              <w:right w:val="single" w:sz="4" w:space="0" w:color="auto"/>
            </w:tcBorders>
            <w:shd w:val="clear" w:color="auto" w:fill="auto"/>
            <w:hideMark/>
          </w:tcPr>
          <w:p w14:paraId="3DA6A051" w14:textId="77777777" w:rsidR="00387BB6" w:rsidRPr="002D3FF9" w:rsidRDefault="00387BB6" w:rsidP="00FA5034">
            <w:pPr>
              <w:jc w:val="both"/>
              <w:rPr>
                <w:rFonts w:ascii="Arial" w:hAnsi="Arial" w:cs="Arial"/>
                <w:sz w:val="16"/>
                <w:szCs w:val="16"/>
              </w:rPr>
            </w:pPr>
            <w:r w:rsidRPr="002D3FF9">
              <w:rPr>
                <w:rFonts w:ascii="Arial" w:hAnsi="Arial" w:cs="Arial"/>
                <w:sz w:val="16"/>
                <w:szCs w:val="16"/>
              </w:rPr>
              <w:t>PP, EP, TOX, A</w:t>
            </w:r>
          </w:p>
        </w:tc>
        <w:tc>
          <w:tcPr>
            <w:tcW w:w="440" w:type="dxa"/>
            <w:tcBorders>
              <w:top w:val="nil"/>
              <w:left w:val="nil"/>
              <w:bottom w:val="single" w:sz="4" w:space="0" w:color="auto"/>
              <w:right w:val="single" w:sz="4" w:space="0" w:color="auto"/>
            </w:tcBorders>
            <w:shd w:val="clear" w:color="auto" w:fill="auto"/>
            <w:noWrap/>
            <w:hideMark/>
          </w:tcPr>
          <w:p w14:paraId="3C611D44" w14:textId="77777777" w:rsidR="00387BB6" w:rsidRPr="002D3FF9" w:rsidRDefault="00387BB6" w:rsidP="00FA5034">
            <w:pPr>
              <w:jc w:val="both"/>
              <w:rPr>
                <w:rFonts w:ascii="Arial" w:hAnsi="Arial" w:cs="Arial"/>
                <w:sz w:val="16"/>
                <w:szCs w:val="16"/>
              </w:rPr>
            </w:pPr>
            <w:r w:rsidRPr="002D3FF9">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hideMark/>
          </w:tcPr>
          <w:p w14:paraId="74AC8B5F" w14:textId="77777777" w:rsidR="00387BB6" w:rsidRPr="002D3FF9" w:rsidRDefault="00387BB6" w:rsidP="00FA5034">
            <w:pPr>
              <w:jc w:val="both"/>
              <w:rPr>
                <w:rFonts w:ascii="Arial" w:hAnsi="Arial" w:cs="Arial"/>
                <w:sz w:val="16"/>
                <w:szCs w:val="16"/>
              </w:rPr>
            </w:pPr>
          </w:p>
        </w:tc>
      </w:tr>
    </w:tbl>
    <w:p w14:paraId="31FBEE01" w14:textId="77777777" w:rsidR="00387BB6" w:rsidRPr="002D3FF9" w:rsidRDefault="00387BB6" w:rsidP="00FA5034">
      <w:pPr>
        <w:tabs>
          <w:tab w:val="left" w:pos="1418"/>
          <w:tab w:val="left" w:pos="1985"/>
          <w:tab w:val="left" w:pos="2552"/>
          <w:tab w:val="left" w:pos="3119"/>
          <w:tab w:val="left" w:pos="3686"/>
        </w:tabs>
        <w:spacing w:after="0"/>
        <w:ind w:right="566"/>
        <w:jc w:val="both"/>
        <w:rPr>
          <w:sz w:val="20"/>
          <w:lang w:val="de-DE"/>
        </w:rPr>
      </w:pPr>
    </w:p>
    <w:p w14:paraId="28E66F16" w14:textId="77777777" w:rsidR="00387BB6" w:rsidRDefault="00387BB6" w:rsidP="00FA5034">
      <w:pPr>
        <w:spacing w:after="0"/>
        <w:ind w:right="566"/>
        <w:jc w:val="both"/>
        <w:rPr>
          <w:sz w:val="20"/>
          <w:lang w:val="de-DE"/>
        </w:rPr>
      </w:pPr>
    </w:p>
    <w:p w14:paraId="2B4066DA" w14:textId="77777777" w:rsidR="00FA5034" w:rsidRPr="00FA5034" w:rsidRDefault="00FA5034" w:rsidP="00FA5034">
      <w:pPr>
        <w:spacing w:after="0"/>
        <w:ind w:right="566"/>
        <w:jc w:val="both"/>
        <w:rPr>
          <w:b/>
          <w:i/>
          <w:sz w:val="20"/>
          <w:lang w:val="de-DE"/>
        </w:rPr>
      </w:pPr>
      <w:r w:rsidRPr="00FA5034">
        <w:rPr>
          <w:b/>
          <w:i/>
          <w:sz w:val="20"/>
          <w:lang w:val="de-DE"/>
        </w:rPr>
        <w:t>Anmerkung:</w:t>
      </w:r>
      <w:r w:rsidR="0026369B" w:rsidRPr="00FA5034">
        <w:rPr>
          <w:b/>
          <w:i/>
          <w:sz w:val="20"/>
          <w:lang w:val="de-DE"/>
        </w:rPr>
        <w:t xml:space="preserve"> </w:t>
      </w:r>
    </w:p>
    <w:p w14:paraId="60B67416" w14:textId="77777777" w:rsidR="00B72478" w:rsidRPr="00FA5034" w:rsidRDefault="0026369B" w:rsidP="00FA5034">
      <w:pPr>
        <w:spacing w:after="0"/>
        <w:ind w:right="566"/>
        <w:jc w:val="both"/>
        <w:rPr>
          <w:i/>
          <w:sz w:val="20"/>
          <w:lang w:val="de-DE"/>
        </w:rPr>
      </w:pPr>
      <w:r w:rsidRPr="00FA5034">
        <w:rPr>
          <w:i/>
          <w:sz w:val="20"/>
          <w:lang w:val="de-DE"/>
        </w:rPr>
        <w:t xml:space="preserve">Die Zuordnung des Tankschifftyps N-Doppelhülle zur o.g. neuen Zeile erfolgte </w:t>
      </w:r>
      <w:r w:rsidR="00E46CAC" w:rsidRPr="00FA5034">
        <w:rPr>
          <w:i/>
          <w:sz w:val="20"/>
          <w:lang w:val="de-DE"/>
        </w:rPr>
        <w:t xml:space="preserve">in Anlehnung an den für 2021 vorgesehenen Eintrag für Ölschlamm. </w:t>
      </w:r>
    </w:p>
    <w:p w14:paraId="5290675A" w14:textId="77777777" w:rsidR="0026369B" w:rsidRPr="00FA5034" w:rsidRDefault="0026369B" w:rsidP="00FA5034">
      <w:pPr>
        <w:spacing w:after="0"/>
        <w:ind w:right="566"/>
        <w:jc w:val="both"/>
        <w:rPr>
          <w:i/>
          <w:sz w:val="20"/>
          <w:lang w:val="de-DE"/>
        </w:rPr>
      </w:pPr>
      <w:r w:rsidRPr="00FA5034">
        <w:rPr>
          <w:i/>
          <w:sz w:val="20"/>
          <w:lang w:val="de-DE"/>
        </w:rPr>
        <w:t xml:space="preserve">Nach der Sitzung der </w:t>
      </w:r>
      <w:r w:rsidR="00903BDA">
        <w:rPr>
          <w:i/>
          <w:sz w:val="20"/>
          <w:lang w:val="de-DE"/>
        </w:rPr>
        <w:t>I</w:t>
      </w:r>
      <w:r w:rsidR="00FA5034" w:rsidRPr="00FA5034">
        <w:rPr>
          <w:i/>
          <w:sz w:val="20"/>
          <w:lang w:val="de-DE"/>
        </w:rPr>
        <w:t>nformelle</w:t>
      </w:r>
      <w:r w:rsidR="00FA5034">
        <w:rPr>
          <w:i/>
          <w:sz w:val="20"/>
          <w:lang w:val="de-DE"/>
        </w:rPr>
        <w:t>n</w:t>
      </w:r>
      <w:r w:rsidR="00FA5034" w:rsidRPr="00FA5034">
        <w:rPr>
          <w:i/>
          <w:sz w:val="20"/>
          <w:lang w:val="de-DE"/>
        </w:rPr>
        <w:t xml:space="preserve"> Arbeitsgrupp</w:t>
      </w:r>
      <w:r w:rsidR="00FA5034">
        <w:rPr>
          <w:i/>
          <w:sz w:val="20"/>
          <w:lang w:val="de-DE"/>
        </w:rPr>
        <w:t>e</w:t>
      </w:r>
      <w:r w:rsidRPr="00FA5034">
        <w:rPr>
          <w:i/>
          <w:sz w:val="20"/>
          <w:lang w:val="de-DE"/>
        </w:rPr>
        <w:t xml:space="preserve"> ist einigen Mitgliedern aufgefallen, dass </w:t>
      </w:r>
      <w:r w:rsidR="00E46CAC" w:rsidRPr="00FA5034">
        <w:rPr>
          <w:i/>
          <w:sz w:val="20"/>
          <w:lang w:val="de-DE"/>
        </w:rPr>
        <w:t xml:space="preserve">laut Entscheidungsdiagramm für die Gefahr N1 jedoch ein C-Schiff erforderlich wäre, da der Dampfdruck </w:t>
      </w:r>
      <w:r w:rsidR="00A915C2" w:rsidRPr="00FA5034">
        <w:rPr>
          <w:i/>
          <w:sz w:val="20"/>
          <w:lang w:val="de-DE"/>
        </w:rPr>
        <w:t xml:space="preserve">- </w:t>
      </w:r>
      <w:r w:rsidR="00B72478" w:rsidRPr="00FA5034">
        <w:rPr>
          <w:i/>
          <w:sz w:val="20"/>
          <w:lang w:val="de-DE"/>
        </w:rPr>
        <w:t>aufgrund des Wasseranteils</w:t>
      </w:r>
      <w:r w:rsidR="00E46CAC" w:rsidRPr="00FA5034">
        <w:rPr>
          <w:i/>
          <w:sz w:val="20"/>
          <w:lang w:val="de-DE"/>
        </w:rPr>
        <w:t xml:space="preserve"> </w:t>
      </w:r>
      <w:r w:rsidR="00A915C2" w:rsidRPr="00FA5034">
        <w:rPr>
          <w:i/>
          <w:sz w:val="20"/>
          <w:lang w:val="de-DE"/>
        </w:rPr>
        <w:t xml:space="preserve">- </w:t>
      </w:r>
      <w:r w:rsidR="00E46CAC" w:rsidRPr="00FA5034">
        <w:rPr>
          <w:i/>
          <w:sz w:val="20"/>
          <w:lang w:val="de-DE"/>
        </w:rPr>
        <w:t>bei 50 °C über 1</w:t>
      </w:r>
      <w:r w:rsidR="00745202">
        <w:rPr>
          <w:i/>
          <w:sz w:val="20"/>
          <w:lang w:val="de-DE"/>
        </w:rPr>
        <w:t> </w:t>
      </w:r>
      <w:r w:rsidR="00E46CAC" w:rsidRPr="00FA5034">
        <w:rPr>
          <w:i/>
          <w:sz w:val="20"/>
          <w:lang w:val="de-DE"/>
        </w:rPr>
        <w:t xml:space="preserve">kPa liegt. </w:t>
      </w:r>
      <w:r w:rsidR="00B72478" w:rsidRPr="00FA5034">
        <w:rPr>
          <w:i/>
          <w:sz w:val="20"/>
          <w:lang w:val="de-DE"/>
        </w:rPr>
        <w:t xml:space="preserve">Von einem Mitglied der </w:t>
      </w:r>
      <w:r w:rsidR="00903BDA">
        <w:rPr>
          <w:i/>
          <w:sz w:val="20"/>
          <w:lang w:val="de-DE"/>
        </w:rPr>
        <w:t>I</w:t>
      </w:r>
      <w:r w:rsidR="00FA5034" w:rsidRPr="00FA5034">
        <w:rPr>
          <w:i/>
          <w:sz w:val="20"/>
          <w:lang w:val="de-DE"/>
        </w:rPr>
        <w:t>nformelle</w:t>
      </w:r>
      <w:r w:rsidR="00FA5034">
        <w:rPr>
          <w:i/>
          <w:sz w:val="20"/>
          <w:lang w:val="de-DE"/>
        </w:rPr>
        <w:t>n</w:t>
      </w:r>
      <w:r w:rsidR="00FA5034" w:rsidRPr="00FA5034">
        <w:rPr>
          <w:i/>
          <w:sz w:val="20"/>
          <w:lang w:val="de-DE"/>
        </w:rPr>
        <w:t xml:space="preserve"> Arbeitsgruppe</w:t>
      </w:r>
      <w:r w:rsidR="00B72478" w:rsidRPr="00FA5034">
        <w:rPr>
          <w:i/>
          <w:sz w:val="20"/>
          <w:lang w:val="de-DE"/>
        </w:rPr>
        <w:t xml:space="preserve"> wurde daher im Nachgang vorgeschlagen, eine erklärende Bemerkung</w:t>
      </w:r>
      <w:r w:rsidR="00A915C2" w:rsidRPr="00FA5034">
        <w:rPr>
          <w:i/>
          <w:sz w:val="20"/>
          <w:lang w:val="de-DE"/>
        </w:rPr>
        <w:t xml:space="preserve"> für die Zuordnung des N-Schiffes (</w:t>
      </w:r>
      <w:r w:rsidR="00745202">
        <w:rPr>
          <w:i/>
          <w:sz w:val="20"/>
          <w:lang w:val="de-DE"/>
        </w:rPr>
        <w:t>z. B. </w:t>
      </w:r>
      <w:r w:rsidR="00A915C2" w:rsidRPr="00FA5034">
        <w:rPr>
          <w:i/>
          <w:sz w:val="20"/>
          <w:lang w:val="de-DE"/>
        </w:rPr>
        <w:t xml:space="preserve">die umweltgefährdende Komponente Ölschlamm mit der Gefahr N1 hat einen </w:t>
      </w:r>
      <w:r w:rsidR="00745202">
        <w:rPr>
          <w:i/>
          <w:sz w:val="20"/>
          <w:lang w:val="de-DE"/>
        </w:rPr>
        <w:t>D</w:t>
      </w:r>
      <w:r w:rsidR="00A915C2" w:rsidRPr="00FA5034">
        <w:rPr>
          <w:i/>
          <w:sz w:val="20"/>
          <w:lang w:val="de-DE"/>
        </w:rPr>
        <w:t>ampf</w:t>
      </w:r>
      <w:r w:rsidR="00745202">
        <w:rPr>
          <w:i/>
          <w:sz w:val="20"/>
          <w:lang w:val="de-DE"/>
        </w:rPr>
        <w:t>d</w:t>
      </w:r>
      <w:r w:rsidR="00A915C2" w:rsidRPr="00FA5034">
        <w:rPr>
          <w:i/>
          <w:sz w:val="20"/>
          <w:lang w:val="de-DE"/>
        </w:rPr>
        <w:t xml:space="preserve">ruck bei 50°C von ≤ 1 kPa) </w:t>
      </w:r>
      <w:r w:rsidR="00B72478" w:rsidRPr="00FA5034">
        <w:rPr>
          <w:i/>
          <w:sz w:val="20"/>
          <w:lang w:val="de-DE"/>
        </w:rPr>
        <w:t xml:space="preserve">einzufügen, </w:t>
      </w:r>
      <w:r w:rsidR="00E30068" w:rsidRPr="00FA5034">
        <w:rPr>
          <w:i/>
          <w:sz w:val="20"/>
          <w:lang w:val="de-DE"/>
        </w:rPr>
        <w:t>während andere dies nicht für notwendig erachten.</w:t>
      </w:r>
    </w:p>
    <w:p w14:paraId="08D9CF1A" w14:textId="77777777" w:rsidR="00E30068" w:rsidRPr="00FA5034" w:rsidRDefault="00FA5034" w:rsidP="00FA5034">
      <w:pPr>
        <w:spacing w:after="0"/>
        <w:ind w:right="566"/>
        <w:jc w:val="both"/>
        <w:rPr>
          <w:i/>
          <w:sz w:val="20"/>
          <w:lang w:val="de-DE"/>
        </w:rPr>
        <w:sectPr w:rsidR="00E30068" w:rsidRPr="00FA5034" w:rsidSect="00D43EA3">
          <w:headerReference w:type="first" r:id="rId13"/>
          <w:footerReference w:type="first" r:id="rId14"/>
          <w:endnotePr>
            <w:numFmt w:val="decimal"/>
          </w:endnotePr>
          <w:pgSz w:w="16840" w:h="11907" w:orient="landscape" w:code="9"/>
          <w:pgMar w:top="1418" w:right="1418" w:bottom="1418" w:left="1418" w:header="680" w:footer="680" w:gutter="0"/>
          <w:cols w:space="720"/>
          <w:titlePg/>
          <w:docGrid w:linePitch="326"/>
        </w:sectPr>
      </w:pPr>
      <w:r w:rsidRPr="00FA5034">
        <w:rPr>
          <w:i/>
          <w:sz w:val="20"/>
          <w:lang w:val="de-DE"/>
        </w:rPr>
        <w:t>Der</w:t>
      </w:r>
      <w:r w:rsidR="00E30068" w:rsidRPr="00FA5034">
        <w:rPr>
          <w:i/>
          <w:sz w:val="20"/>
          <w:lang w:val="de-DE"/>
        </w:rPr>
        <w:t xml:space="preserve"> Sicherheitsausschuss </w:t>
      </w:r>
      <w:r w:rsidRPr="00FA5034">
        <w:rPr>
          <w:i/>
          <w:sz w:val="20"/>
          <w:lang w:val="de-DE"/>
        </w:rPr>
        <w:t xml:space="preserve">wird </w:t>
      </w:r>
      <w:r w:rsidR="00745202">
        <w:rPr>
          <w:i/>
          <w:sz w:val="20"/>
          <w:lang w:val="de-DE"/>
        </w:rPr>
        <w:t xml:space="preserve">daher </w:t>
      </w:r>
      <w:r w:rsidRPr="00FA5034">
        <w:rPr>
          <w:i/>
          <w:sz w:val="20"/>
          <w:lang w:val="de-DE"/>
        </w:rPr>
        <w:t xml:space="preserve">gebeten, </w:t>
      </w:r>
      <w:r w:rsidR="00E30068" w:rsidRPr="00FA5034">
        <w:rPr>
          <w:i/>
          <w:sz w:val="20"/>
          <w:lang w:val="de-DE"/>
        </w:rPr>
        <w:t>bei Annahme des obigen Vorschlags auch das Einfügen einer etwaigen Bemerkung zur Erläuterung zu diskutieren</w:t>
      </w:r>
      <w:r w:rsidR="00A915C2" w:rsidRPr="00FA5034">
        <w:rPr>
          <w:i/>
          <w:sz w:val="20"/>
          <w:lang w:val="de-DE"/>
        </w:rPr>
        <w:t xml:space="preserve"> bzw. der </w:t>
      </w:r>
      <w:r w:rsidR="00903BDA">
        <w:rPr>
          <w:i/>
          <w:sz w:val="20"/>
          <w:lang w:val="de-DE"/>
        </w:rPr>
        <w:t>I</w:t>
      </w:r>
      <w:r w:rsidR="00745202" w:rsidRPr="00745202">
        <w:rPr>
          <w:i/>
          <w:sz w:val="20"/>
          <w:lang w:val="de-DE"/>
        </w:rPr>
        <w:t>nformelle</w:t>
      </w:r>
      <w:r w:rsidR="00745202">
        <w:rPr>
          <w:i/>
          <w:sz w:val="20"/>
          <w:lang w:val="de-DE"/>
        </w:rPr>
        <w:t>n</w:t>
      </w:r>
      <w:r w:rsidR="00745202" w:rsidRPr="00745202">
        <w:rPr>
          <w:i/>
          <w:sz w:val="20"/>
          <w:lang w:val="de-DE"/>
        </w:rPr>
        <w:t xml:space="preserve"> Arbeitsgruppe</w:t>
      </w:r>
      <w:r w:rsidR="00A915C2" w:rsidRPr="00FA5034">
        <w:rPr>
          <w:i/>
          <w:sz w:val="20"/>
          <w:lang w:val="de-DE"/>
        </w:rPr>
        <w:t xml:space="preserve"> „Stoffe“ dafür das Mandat zu erteile</w:t>
      </w:r>
      <w:r w:rsidR="00745202">
        <w:rPr>
          <w:i/>
          <w:sz w:val="20"/>
          <w:lang w:val="de-DE"/>
        </w:rPr>
        <w:t>n.</w:t>
      </w:r>
    </w:p>
    <w:p w14:paraId="26EABF09" w14:textId="77777777" w:rsidR="00387BB6" w:rsidRPr="00E62169" w:rsidRDefault="00B54556" w:rsidP="00FA5034">
      <w:pPr>
        <w:spacing w:after="0"/>
        <w:ind w:right="566"/>
        <w:jc w:val="both"/>
        <w:rPr>
          <w:szCs w:val="24"/>
          <w:lang w:val="de-DE"/>
        </w:rPr>
      </w:pPr>
      <w:r w:rsidRPr="00E62169">
        <w:rPr>
          <w:b/>
          <w:szCs w:val="24"/>
          <w:lang w:val="de-DE"/>
        </w:rPr>
        <w:lastRenderedPageBreak/>
        <w:t>H</w:t>
      </w:r>
      <w:r w:rsidR="00387BB6" w:rsidRPr="00E62169">
        <w:rPr>
          <w:b/>
          <w:szCs w:val="24"/>
          <w:lang w:val="de-DE"/>
        </w:rPr>
        <w:t>.</w:t>
      </w:r>
      <w:r w:rsidR="00387BB6" w:rsidRPr="00E62169">
        <w:rPr>
          <w:b/>
          <w:szCs w:val="24"/>
          <w:lang w:val="de-DE"/>
        </w:rPr>
        <w:tab/>
      </w:r>
      <w:r w:rsidRPr="00E62169">
        <w:rPr>
          <w:b/>
          <w:szCs w:val="24"/>
          <w:lang w:val="de-DE"/>
        </w:rPr>
        <w:t>Überprüfung des Verzeichnisses der Eintragungen 2.2.9.3 M11 und 2.2.9.1.14</w:t>
      </w:r>
    </w:p>
    <w:p w14:paraId="16AF84A7" w14:textId="77777777" w:rsidR="00B928D3" w:rsidRPr="00B928D3" w:rsidRDefault="00B928D3" w:rsidP="00FA5034">
      <w:pPr>
        <w:spacing w:after="0"/>
        <w:ind w:right="567"/>
        <w:jc w:val="both"/>
        <w:rPr>
          <w:bCs/>
          <w:sz w:val="20"/>
          <w:lang w:val="de-DE"/>
        </w:rPr>
      </w:pPr>
    </w:p>
    <w:p w14:paraId="6680BFFA" w14:textId="77777777" w:rsidR="00B928D3" w:rsidRPr="00B928D3" w:rsidRDefault="001B6241" w:rsidP="00FA5034">
      <w:pPr>
        <w:spacing w:after="0"/>
        <w:ind w:right="567"/>
        <w:jc w:val="both"/>
        <w:rPr>
          <w:bCs/>
          <w:sz w:val="20"/>
          <w:lang w:val="de-DE"/>
        </w:rPr>
      </w:pPr>
      <w:r>
        <w:rPr>
          <w:bCs/>
          <w:sz w:val="20"/>
          <w:lang w:val="de-DE"/>
        </w:rPr>
        <w:t>3</w:t>
      </w:r>
      <w:r w:rsidR="0079303F">
        <w:rPr>
          <w:bCs/>
          <w:sz w:val="20"/>
          <w:lang w:val="de-DE"/>
        </w:rPr>
        <w:t>2</w:t>
      </w:r>
      <w:r>
        <w:rPr>
          <w:bCs/>
          <w:sz w:val="20"/>
          <w:lang w:val="de-DE"/>
        </w:rPr>
        <w:t>.</w:t>
      </w:r>
      <w:r>
        <w:rPr>
          <w:bCs/>
          <w:sz w:val="20"/>
          <w:lang w:val="de-DE"/>
        </w:rPr>
        <w:tab/>
        <w:t xml:space="preserve">Nach Überprüfung der Einträge zu UN 2216 in 2.2.9.1.14, 2.2.9.3 und in Tabelle A in allen vier Sprachfassungen des ADN empfiehlt die </w:t>
      </w:r>
      <w:bookmarkStart w:id="1" w:name="_Hlk12615334"/>
      <w:r>
        <w:rPr>
          <w:bCs/>
          <w:sz w:val="20"/>
          <w:lang w:val="de-DE"/>
        </w:rPr>
        <w:t xml:space="preserve">informelle Arbeitsgruppe </w:t>
      </w:r>
      <w:bookmarkEnd w:id="1"/>
      <w:r w:rsidR="002451CF">
        <w:rPr>
          <w:bCs/>
          <w:sz w:val="20"/>
          <w:lang w:val="de-DE"/>
        </w:rPr>
        <w:t xml:space="preserve">die </w:t>
      </w:r>
      <w:r>
        <w:rPr>
          <w:bCs/>
          <w:sz w:val="20"/>
          <w:lang w:val="de-DE"/>
        </w:rPr>
        <w:t xml:space="preserve">Schreibweisen in Tabelle A zu harmonisieren und die Aufzählungen </w:t>
      </w:r>
      <w:r w:rsidR="008827F5">
        <w:rPr>
          <w:bCs/>
          <w:sz w:val="20"/>
          <w:lang w:val="de-DE"/>
        </w:rPr>
        <w:t xml:space="preserve">in 2.2.9.3 </w:t>
      </w:r>
      <w:r>
        <w:rPr>
          <w:bCs/>
          <w:sz w:val="20"/>
          <w:lang w:val="de-DE"/>
        </w:rPr>
        <w:t>zum Klassifizierungscode M11 entsprechend zu ergänzen.</w:t>
      </w:r>
    </w:p>
    <w:p w14:paraId="7451B455" w14:textId="77777777" w:rsidR="00B928D3" w:rsidRPr="00B928D3" w:rsidRDefault="00B928D3" w:rsidP="00FA5034">
      <w:pPr>
        <w:spacing w:after="0"/>
        <w:ind w:right="567"/>
        <w:jc w:val="both"/>
        <w:rPr>
          <w:bCs/>
          <w:sz w:val="20"/>
          <w:lang w:val="de-DE"/>
        </w:rPr>
      </w:pPr>
    </w:p>
    <w:p w14:paraId="7D800AE6" w14:textId="77777777" w:rsidR="00B928D3" w:rsidRPr="00E62169" w:rsidRDefault="001B6241" w:rsidP="00FA5034">
      <w:pPr>
        <w:spacing w:after="0"/>
        <w:ind w:right="567"/>
        <w:jc w:val="both"/>
        <w:rPr>
          <w:b/>
          <w:bCs/>
          <w:szCs w:val="24"/>
          <w:u w:val="single"/>
          <w:lang w:val="de-DE"/>
        </w:rPr>
      </w:pPr>
      <w:r w:rsidRPr="00E62169">
        <w:rPr>
          <w:b/>
          <w:bCs/>
          <w:szCs w:val="24"/>
          <w:u w:val="single"/>
          <w:lang w:val="de-DE"/>
        </w:rPr>
        <w:t>Vorschl</w:t>
      </w:r>
      <w:r w:rsidR="008827F5" w:rsidRPr="00E62169">
        <w:rPr>
          <w:b/>
          <w:bCs/>
          <w:szCs w:val="24"/>
          <w:u w:val="single"/>
          <w:lang w:val="de-DE"/>
        </w:rPr>
        <w:t>ä</w:t>
      </w:r>
      <w:r w:rsidRPr="00E62169">
        <w:rPr>
          <w:b/>
          <w:bCs/>
          <w:szCs w:val="24"/>
          <w:u w:val="single"/>
          <w:lang w:val="de-DE"/>
        </w:rPr>
        <w:t>g</w:t>
      </w:r>
      <w:r w:rsidR="008827F5" w:rsidRPr="00E62169">
        <w:rPr>
          <w:b/>
          <w:bCs/>
          <w:szCs w:val="24"/>
          <w:u w:val="single"/>
          <w:lang w:val="de-DE"/>
        </w:rPr>
        <w:t>e</w:t>
      </w:r>
      <w:r w:rsidRPr="00E62169">
        <w:rPr>
          <w:b/>
          <w:bCs/>
          <w:szCs w:val="24"/>
          <w:u w:val="single"/>
          <w:lang w:val="de-DE"/>
        </w:rPr>
        <w:t>:</w:t>
      </w:r>
    </w:p>
    <w:p w14:paraId="342F1AA8" w14:textId="77777777" w:rsidR="001B6241" w:rsidRDefault="001B6241" w:rsidP="00FA5034">
      <w:pPr>
        <w:spacing w:after="0"/>
        <w:ind w:right="567"/>
        <w:jc w:val="both"/>
        <w:rPr>
          <w:bCs/>
          <w:sz w:val="20"/>
          <w:lang w:val="de-DE"/>
        </w:rPr>
      </w:pPr>
    </w:p>
    <w:p w14:paraId="0E1E77AD" w14:textId="77777777" w:rsidR="001B6241" w:rsidRDefault="001B6241" w:rsidP="00FA5034">
      <w:pPr>
        <w:spacing w:after="0"/>
        <w:ind w:right="567"/>
        <w:jc w:val="both"/>
        <w:rPr>
          <w:bCs/>
          <w:sz w:val="20"/>
          <w:lang w:val="de-DE"/>
        </w:rPr>
      </w:pPr>
      <w:r>
        <w:rPr>
          <w:bCs/>
          <w:sz w:val="20"/>
          <w:lang w:val="de-DE"/>
        </w:rPr>
        <w:t>3</w:t>
      </w:r>
      <w:r w:rsidR="0079303F">
        <w:rPr>
          <w:bCs/>
          <w:sz w:val="20"/>
          <w:lang w:val="de-DE"/>
        </w:rPr>
        <w:t>3</w:t>
      </w:r>
      <w:r>
        <w:rPr>
          <w:bCs/>
          <w:sz w:val="20"/>
          <w:lang w:val="de-DE"/>
        </w:rPr>
        <w:t>.</w:t>
      </w:r>
      <w:r>
        <w:rPr>
          <w:bCs/>
          <w:sz w:val="20"/>
          <w:lang w:val="de-DE"/>
        </w:rPr>
        <w:tab/>
      </w:r>
      <w:r w:rsidR="008827F5">
        <w:rPr>
          <w:bCs/>
          <w:sz w:val="20"/>
          <w:lang w:val="de-DE"/>
        </w:rPr>
        <w:t>In der Tabelle A Spalte (2) die alternativen Benennungen („</w:t>
      </w:r>
      <w:r w:rsidR="008827F5" w:rsidRPr="008827F5">
        <w:rPr>
          <w:bCs/>
          <w:sz w:val="20"/>
          <w:lang w:val="de-DE"/>
        </w:rPr>
        <w:t>FISCHMEHL, STABILISIERT</w:t>
      </w:r>
      <w:r w:rsidR="008827F5">
        <w:rPr>
          <w:bCs/>
          <w:sz w:val="20"/>
          <w:lang w:val="de-DE"/>
        </w:rPr>
        <w:t>“ und „</w:t>
      </w:r>
      <w:r w:rsidR="008827F5" w:rsidRPr="008827F5">
        <w:rPr>
          <w:bCs/>
          <w:sz w:val="20"/>
          <w:lang w:val="de-DE"/>
        </w:rPr>
        <w:t>FISCHABFALL, STABILISIERT</w:t>
      </w:r>
      <w:r w:rsidR="008827F5">
        <w:rPr>
          <w:bCs/>
          <w:sz w:val="20"/>
          <w:lang w:val="de-DE"/>
        </w:rPr>
        <w:t>“) in Großbuchstaben getrennt durch ein klein geschriebenes „oder“ darstellen</w:t>
      </w:r>
      <w:r w:rsidR="00F35D05">
        <w:rPr>
          <w:bCs/>
          <w:sz w:val="20"/>
          <w:lang w:val="de-DE"/>
        </w:rPr>
        <w:t xml:space="preserve"> (alle Sprachfassungen)</w:t>
      </w:r>
      <w:r w:rsidR="008827F5">
        <w:rPr>
          <w:bCs/>
          <w:sz w:val="20"/>
          <w:lang w:val="de-DE"/>
        </w:rPr>
        <w:t>.</w:t>
      </w:r>
    </w:p>
    <w:p w14:paraId="41E1D6C1" w14:textId="77777777" w:rsidR="008827F5" w:rsidRDefault="008827F5" w:rsidP="00FA5034">
      <w:pPr>
        <w:spacing w:after="0"/>
        <w:ind w:right="567"/>
        <w:jc w:val="both"/>
        <w:rPr>
          <w:bCs/>
          <w:sz w:val="20"/>
          <w:lang w:val="de-DE"/>
        </w:rPr>
      </w:pPr>
    </w:p>
    <w:p w14:paraId="0FF878B7" w14:textId="77777777" w:rsidR="008827F5" w:rsidRDefault="008827F5" w:rsidP="00FA5034">
      <w:pPr>
        <w:spacing w:after="0"/>
        <w:ind w:right="567"/>
        <w:jc w:val="both"/>
        <w:rPr>
          <w:bCs/>
          <w:sz w:val="20"/>
          <w:lang w:val="de-DE"/>
        </w:rPr>
      </w:pPr>
      <w:r>
        <w:rPr>
          <w:bCs/>
          <w:sz w:val="20"/>
          <w:lang w:val="de-DE"/>
        </w:rPr>
        <w:t>3</w:t>
      </w:r>
      <w:r w:rsidR="0079303F">
        <w:rPr>
          <w:bCs/>
          <w:sz w:val="20"/>
          <w:lang w:val="de-DE"/>
        </w:rPr>
        <w:t>4</w:t>
      </w:r>
      <w:r>
        <w:rPr>
          <w:bCs/>
          <w:sz w:val="20"/>
          <w:lang w:val="de-DE"/>
        </w:rPr>
        <w:t>.</w:t>
      </w:r>
      <w:r>
        <w:rPr>
          <w:bCs/>
          <w:sz w:val="20"/>
          <w:lang w:val="de-DE"/>
        </w:rPr>
        <w:tab/>
        <w:t xml:space="preserve">In der Aufzählung </w:t>
      </w:r>
      <w:r w:rsidR="00E65269">
        <w:rPr>
          <w:bCs/>
          <w:sz w:val="20"/>
          <w:lang w:val="de-DE"/>
        </w:rPr>
        <w:t xml:space="preserve">in 2.2.9.3 </w:t>
      </w:r>
      <w:r>
        <w:rPr>
          <w:bCs/>
          <w:sz w:val="20"/>
          <w:lang w:val="de-DE"/>
        </w:rPr>
        <w:t xml:space="preserve">zum Klassifizierungscode M11 der französischen Fassung die alternative Benennung „2216   </w:t>
      </w:r>
      <w:r w:rsidRPr="008827F5">
        <w:rPr>
          <w:bCs/>
          <w:sz w:val="20"/>
          <w:lang w:val="de-DE"/>
        </w:rPr>
        <w:t>FISCHABFALL, STABILISIERT</w:t>
      </w:r>
      <w:r>
        <w:rPr>
          <w:bCs/>
          <w:sz w:val="20"/>
          <w:lang w:val="de-DE"/>
        </w:rPr>
        <w:t>“ ergänzen.</w:t>
      </w:r>
    </w:p>
    <w:p w14:paraId="4A3BCCB6" w14:textId="77777777" w:rsidR="008827F5" w:rsidRDefault="008827F5" w:rsidP="00FA5034">
      <w:pPr>
        <w:spacing w:after="0"/>
        <w:ind w:right="567"/>
        <w:jc w:val="both"/>
        <w:rPr>
          <w:bCs/>
          <w:sz w:val="20"/>
          <w:lang w:val="de-DE"/>
        </w:rPr>
      </w:pPr>
    </w:p>
    <w:p w14:paraId="73293FDA" w14:textId="129BF53F" w:rsidR="008827F5" w:rsidRDefault="008827F5" w:rsidP="00FA5034">
      <w:pPr>
        <w:spacing w:after="0"/>
        <w:ind w:right="567"/>
        <w:jc w:val="both"/>
        <w:rPr>
          <w:bCs/>
          <w:sz w:val="20"/>
          <w:lang w:val="de-DE"/>
        </w:rPr>
      </w:pPr>
      <w:r>
        <w:rPr>
          <w:bCs/>
          <w:sz w:val="20"/>
          <w:lang w:val="de-DE"/>
        </w:rPr>
        <w:t>3</w:t>
      </w:r>
      <w:r w:rsidR="0079303F">
        <w:rPr>
          <w:bCs/>
          <w:sz w:val="20"/>
          <w:lang w:val="de-DE"/>
        </w:rPr>
        <w:t>5</w:t>
      </w:r>
      <w:r>
        <w:rPr>
          <w:bCs/>
          <w:sz w:val="20"/>
          <w:lang w:val="de-DE"/>
        </w:rPr>
        <w:t>.</w:t>
      </w:r>
      <w:r>
        <w:rPr>
          <w:bCs/>
          <w:sz w:val="20"/>
          <w:lang w:val="de-DE"/>
        </w:rPr>
        <w:tab/>
        <w:t>In der englischen, russischen und deutschen Fassung des ADN in de</w:t>
      </w:r>
      <w:r w:rsidR="00E65269">
        <w:rPr>
          <w:bCs/>
          <w:sz w:val="20"/>
          <w:lang w:val="de-DE"/>
        </w:rPr>
        <w:t>n</w:t>
      </w:r>
      <w:r>
        <w:rPr>
          <w:bCs/>
          <w:sz w:val="20"/>
          <w:lang w:val="de-DE"/>
        </w:rPr>
        <w:t xml:space="preserve"> Aufzählungen </w:t>
      </w:r>
      <w:r w:rsidR="00E65269">
        <w:rPr>
          <w:bCs/>
          <w:sz w:val="20"/>
          <w:lang w:val="de-DE"/>
        </w:rPr>
        <w:t xml:space="preserve">in 2.2.9.3 </w:t>
      </w:r>
      <w:r>
        <w:rPr>
          <w:bCs/>
          <w:sz w:val="20"/>
          <w:lang w:val="de-DE"/>
        </w:rPr>
        <w:t xml:space="preserve">zum Klassifizierungscode M11 die alternativen Benennungen „2216 </w:t>
      </w:r>
      <w:r w:rsidRPr="008827F5">
        <w:rPr>
          <w:bCs/>
          <w:sz w:val="20"/>
          <w:lang w:val="de-DE"/>
        </w:rPr>
        <w:t>FISCHMEHL, STABILISIERT</w:t>
      </w:r>
      <w:r>
        <w:rPr>
          <w:bCs/>
          <w:sz w:val="20"/>
          <w:lang w:val="de-DE"/>
        </w:rPr>
        <w:t xml:space="preserve">“ und „2216 </w:t>
      </w:r>
      <w:r w:rsidRPr="008827F5">
        <w:rPr>
          <w:bCs/>
          <w:sz w:val="20"/>
          <w:lang w:val="de-DE"/>
        </w:rPr>
        <w:t>FISCHABFALL, STABILISIERT</w:t>
      </w:r>
      <w:r>
        <w:rPr>
          <w:bCs/>
          <w:sz w:val="20"/>
          <w:lang w:val="de-DE"/>
        </w:rPr>
        <w:t xml:space="preserve">“ </w:t>
      </w:r>
      <w:r w:rsidR="00E65269">
        <w:rPr>
          <w:bCs/>
          <w:sz w:val="20"/>
          <w:lang w:val="de-DE"/>
        </w:rPr>
        <w:t>ergänzen.</w:t>
      </w:r>
    </w:p>
    <w:p w14:paraId="108370F4" w14:textId="77777777" w:rsidR="001B6241" w:rsidRDefault="001B6241" w:rsidP="00FA5034">
      <w:pPr>
        <w:spacing w:after="0"/>
        <w:ind w:right="567"/>
        <w:jc w:val="both"/>
        <w:rPr>
          <w:bCs/>
          <w:sz w:val="20"/>
          <w:lang w:val="de-DE"/>
        </w:rPr>
      </w:pPr>
    </w:p>
    <w:p w14:paraId="1D9103B4" w14:textId="77777777" w:rsidR="001B6241" w:rsidRDefault="001B6241" w:rsidP="00FA5034">
      <w:pPr>
        <w:spacing w:after="0"/>
        <w:ind w:right="567"/>
        <w:jc w:val="both"/>
        <w:rPr>
          <w:bCs/>
          <w:sz w:val="20"/>
          <w:lang w:val="de-DE"/>
        </w:rPr>
      </w:pPr>
    </w:p>
    <w:p w14:paraId="5F47D9AB" w14:textId="77777777" w:rsidR="00E65269" w:rsidRPr="00E62169" w:rsidRDefault="00E65269" w:rsidP="00FA5034">
      <w:pPr>
        <w:spacing w:after="0"/>
        <w:ind w:right="566"/>
        <w:jc w:val="both"/>
        <w:rPr>
          <w:szCs w:val="24"/>
          <w:lang w:val="de-DE"/>
        </w:rPr>
      </w:pPr>
      <w:r w:rsidRPr="00E62169">
        <w:rPr>
          <w:b/>
          <w:szCs w:val="24"/>
          <w:lang w:val="de-DE"/>
        </w:rPr>
        <w:t>I.</w:t>
      </w:r>
      <w:r w:rsidRPr="00E62169">
        <w:rPr>
          <w:b/>
          <w:szCs w:val="24"/>
          <w:lang w:val="de-DE"/>
        </w:rPr>
        <w:tab/>
        <w:t>Entscheidungsdiagramm 3.2.3.3 - Schema A</w:t>
      </w:r>
    </w:p>
    <w:p w14:paraId="627667AF" w14:textId="77777777" w:rsidR="00E65269" w:rsidRPr="00B928D3" w:rsidRDefault="00E65269" w:rsidP="00FA5034">
      <w:pPr>
        <w:spacing w:after="0"/>
        <w:ind w:right="567"/>
        <w:jc w:val="both"/>
        <w:rPr>
          <w:bCs/>
          <w:sz w:val="20"/>
          <w:lang w:val="de-DE"/>
        </w:rPr>
      </w:pPr>
    </w:p>
    <w:p w14:paraId="73749A5C" w14:textId="77777777" w:rsidR="001B6241" w:rsidRDefault="00F35D05" w:rsidP="00FA5034">
      <w:pPr>
        <w:spacing w:after="0"/>
        <w:ind w:right="567"/>
        <w:jc w:val="both"/>
        <w:rPr>
          <w:bCs/>
          <w:sz w:val="20"/>
          <w:lang w:val="de-DE"/>
        </w:rPr>
      </w:pPr>
      <w:r>
        <w:rPr>
          <w:bCs/>
          <w:sz w:val="20"/>
          <w:lang w:val="de-DE"/>
        </w:rPr>
        <w:t>3</w:t>
      </w:r>
      <w:r w:rsidR="0079303F">
        <w:rPr>
          <w:bCs/>
          <w:sz w:val="20"/>
          <w:lang w:val="de-DE"/>
        </w:rPr>
        <w:t>6</w:t>
      </w:r>
      <w:r>
        <w:rPr>
          <w:bCs/>
          <w:sz w:val="20"/>
          <w:lang w:val="de-DE"/>
        </w:rPr>
        <w:t>.</w:t>
      </w:r>
      <w:r>
        <w:rPr>
          <w:bCs/>
          <w:sz w:val="20"/>
          <w:lang w:val="de-DE"/>
        </w:rPr>
        <w:tab/>
      </w:r>
      <w:r w:rsidR="00C04D00">
        <w:rPr>
          <w:bCs/>
          <w:sz w:val="20"/>
          <w:lang w:val="de-DE"/>
        </w:rPr>
        <w:t>Nach einer grundsätzlichen Erörterung stellte die informelle Arbeitsgruppe fest, dass der</w:t>
      </w:r>
      <w:r w:rsidR="000905F9">
        <w:rPr>
          <w:bCs/>
          <w:sz w:val="20"/>
          <w:lang w:val="de-DE"/>
        </w:rPr>
        <w:t>z</w:t>
      </w:r>
      <w:r w:rsidR="00C04D00">
        <w:rPr>
          <w:bCs/>
          <w:sz w:val="20"/>
          <w:lang w:val="de-DE"/>
        </w:rPr>
        <w:t>eit keine Veranlassung besteht</w:t>
      </w:r>
      <w:r w:rsidR="00B03750">
        <w:rPr>
          <w:bCs/>
          <w:sz w:val="20"/>
          <w:lang w:val="de-DE"/>
        </w:rPr>
        <w:t>,</w:t>
      </w:r>
      <w:r w:rsidR="00C04D00">
        <w:rPr>
          <w:bCs/>
          <w:sz w:val="20"/>
          <w:lang w:val="de-DE"/>
        </w:rPr>
        <w:t xml:space="preserve"> das etablierte dreistufige System für die Festlegung der Beförderungsbedingungen </w:t>
      </w:r>
      <w:r w:rsidR="00B03750">
        <w:rPr>
          <w:bCs/>
          <w:sz w:val="20"/>
          <w:lang w:val="de-DE"/>
        </w:rPr>
        <w:t>für</w:t>
      </w:r>
      <w:r w:rsidR="00C04D00">
        <w:rPr>
          <w:bCs/>
          <w:sz w:val="20"/>
          <w:lang w:val="de-DE"/>
        </w:rPr>
        <w:t xml:space="preserve"> Tankschiffe (C-Schiff – Berechnung Tankinnenüberdruck / C-Schiff mit Mangel an Daten – Siedebeginn / N-Schiff – Dampfdruck) in Frage zu stellen oder zu verändern.</w:t>
      </w:r>
    </w:p>
    <w:p w14:paraId="5B52A9F1" w14:textId="77777777" w:rsidR="00C04D00" w:rsidRDefault="00C04D00" w:rsidP="00FA5034">
      <w:pPr>
        <w:spacing w:after="0"/>
        <w:ind w:right="567"/>
        <w:jc w:val="both"/>
        <w:rPr>
          <w:bCs/>
          <w:sz w:val="20"/>
          <w:lang w:val="de-DE"/>
        </w:rPr>
      </w:pPr>
    </w:p>
    <w:p w14:paraId="0D4E5965" w14:textId="77777777" w:rsidR="00C04D00" w:rsidRDefault="00C04D00" w:rsidP="00FA5034">
      <w:pPr>
        <w:spacing w:after="0"/>
        <w:ind w:right="567"/>
        <w:jc w:val="both"/>
        <w:rPr>
          <w:bCs/>
          <w:sz w:val="20"/>
          <w:lang w:val="de-DE"/>
        </w:rPr>
      </w:pPr>
      <w:r>
        <w:rPr>
          <w:bCs/>
          <w:sz w:val="20"/>
          <w:lang w:val="de-DE"/>
        </w:rPr>
        <w:t>3</w:t>
      </w:r>
      <w:r w:rsidR="0079303F">
        <w:rPr>
          <w:bCs/>
          <w:sz w:val="20"/>
          <w:lang w:val="de-DE"/>
        </w:rPr>
        <w:t>7</w:t>
      </w:r>
      <w:r>
        <w:rPr>
          <w:bCs/>
          <w:sz w:val="20"/>
          <w:lang w:val="de-DE"/>
        </w:rPr>
        <w:t>.</w:t>
      </w:r>
      <w:r>
        <w:rPr>
          <w:bCs/>
          <w:sz w:val="20"/>
          <w:lang w:val="de-DE"/>
        </w:rPr>
        <w:tab/>
      </w:r>
      <w:r w:rsidR="00B03750">
        <w:rPr>
          <w:bCs/>
          <w:sz w:val="20"/>
          <w:lang w:val="de-DE"/>
        </w:rPr>
        <w:t xml:space="preserve">Auf Basis einer Tischvorlage </w:t>
      </w:r>
      <w:r w:rsidR="00F42F12">
        <w:rPr>
          <w:bCs/>
          <w:sz w:val="20"/>
          <w:lang w:val="de-DE"/>
        </w:rPr>
        <w:t>von CEFIC wurde der Vorschlag, die Inhalte der Schemata A, B und C ebenfalls in Form von Entscheidungsdiagrammen darzustellen, einer ersten Diskussion unterzogen, die im Rahmen der nächsten Sitzung der informellen Arbeitsgruppe fortgesetzt werden soll.</w:t>
      </w:r>
    </w:p>
    <w:p w14:paraId="11C83F2D" w14:textId="77777777" w:rsidR="00CB4DBE" w:rsidRDefault="00CB4DBE" w:rsidP="00FA5034">
      <w:pPr>
        <w:spacing w:after="0"/>
        <w:ind w:right="567"/>
        <w:jc w:val="both"/>
        <w:rPr>
          <w:bCs/>
          <w:sz w:val="20"/>
          <w:lang w:val="de-DE"/>
        </w:rPr>
      </w:pPr>
    </w:p>
    <w:p w14:paraId="4A2C5FC3" w14:textId="77777777" w:rsidR="00CB4DBE" w:rsidRDefault="00CB4DBE" w:rsidP="00FA5034">
      <w:pPr>
        <w:spacing w:after="0"/>
        <w:ind w:right="567"/>
        <w:jc w:val="both"/>
        <w:rPr>
          <w:bCs/>
          <w:sz w:val="20"/>
          <w:lang w:val="de-DE"/>
        </w:rPr>
      </w:pPr>
      <w:r>
        <w:rPr>
          <w:bCs/>
          <w:sz w:val="20"/>
          <w:lang w:val="de-DE"/>
        </w:rPr>
        <w:t>3</w:t>
      </w:r>
      <w:r w:rsidR="0079303F">
        <w:rPr>
          <w:bCs/>
          <w:sz w:val="20"/>
          <w:lang w:val="de-DE"/>
        </w:rPr>
        <w:t>8</w:t>
      </w:r>
      <w:r>
        <w:rPr>
          <w:bCs/>
          <w:sz w:val="20"/>
          <w:lang w:val="de-DE"/>
        </w:rPr>
        <w:t>.</w:t>
      </w:r>
      <w:r>
        <w:rPr>
          <w:bCs/>
          <w:sz w:val="20"/>
          <w:lang w:val="de-DE"/>
        </w:rPr>
        <w:tab/>
      </w:r>
      <w:r w:rsidR="00357533">
        <w:rPr>
          <w:bCs/>
          <w:sz w:val="20"/>
          <w:lang w:val="de-DE"/>
        </w:rPr>
        <w:t xml:space="preserve">Bei der Diskussion wurde darauf hingewiesen, dass es im Entscheidungsdiagramm </w:t>
      </w:r>
      <w:r w:rsidR="00C1503F">
        <w:rPr>
          <w:bCs/>
          <w:sz w:val="20"/>
          <w:lang w:val="de-DE"/>
        </w:rPr>
        <w:t xml:space="preserve">eine Inkorrektheit gibt. Nach der aktuellen Fassung </w:t>
      </w:r>
      <w:r w:rsidR="001321C7">
        <w:rPr>
          <w:bCs/>
          <w:sz w:val="20"/>
          <w:lang w:val="de-DE"/>
        </w:rPr>
        <w:t>müsste man</w:t>
      </w:r>
      <w:r w:rsidR="00C1503F">
        <w:rPr>
          <w:bCs/>
          <w:sz w:val="20"/>
          <w:lang w:val="de-DE"/>
        </w:rPr>
        <w:t xml:space="preserve"> formal Stoffe, die keine anderen gefährlichen Eigenschaften haben als eine Zündtem</w:t>
      </w:r>
      <w:r w:rsidR="001321C7">
        <w:rPr>
          <w:bCs/>
          <w:sz w:val="20"/>
          <w:lang w:val="de-DE"/>
        </w:rPr>
        <w:t>peratur &lt;</w:t>
      </w:r>
      <w:r w:rsidR="00712DBE">
        <w:rPr>
          <w:bCs/>
          <w:sz w:val="20"/>
          <w:lang w:val="de-DE"/>
        </w:rPr>
        <w:t> </w:t>
      </w:r>
      <w:r w:rsidR="001321C7">
        <w:rPr>
          <w:bCs/>
          <w:sz w:val="20"/>
          <w:lang w:val="de-DE"/>
        </w:rPr>
        <w:t>200</w:t>
      </w:r>
      <w:r w:rsidR="002451CF">
        <w:rPr>
          <w:bCs/>
          <w:sz w:val="20"/>
          <w:lang w:val="de-DE"/>
        </w:rPr>
        <w:t> </w:t>
      </w:r>
      <w:r w:rsidR="001321C7">
        <w:rPr>
          <w:bCs/>
          <w:sz w:val="20"/>
          <w:lang w:val="de-DE"/>
        </w:rPr>
        <w:t>°C, im ersten Kasten als nicht gefährliches Gut bewerten. Die Zustimmung des Sicherheitsausschusses vorausgesetzt</w:t>
      </w:r>
      <w:r w:rsidR="000905F9">
        <w:rPr>
          <w:bCs/>
          <w:sz w:val="20"/>
          <w:lang w:val="de-DE"/>
        </w:rPr>
        <w:t>,</w:t>
      </w:r>
      <w:r w:rsidR="001321C7">
        <w:rPr>
          <w:bCs/>
          <w:sz w:val="20"/>
          <w:lang w:val="de-DE"/>
        </w:rPr>
        <w:t xml:space="preserve"> könnte die informelle Arbeitsgruppe in ihrer nächsten Sitzung eine</w:t>
      </w:r>
      <w:r w:rsidR="000905F9">
        <w:rPr>
          <w:bCs/>
          <w:sz w:val="20"/>
          <w:lang w:val="de-DE"/>
        </w:rPr>
        <w:t>n</w:t>
      </w:r>
      <w:r w:rsidR="001321C7">
        <w:rPr>
          <w:bCs/>
          <w:sz w:val="20"/>
          <w:lang w:val="de-DE"/>
        </w:rPr>
        <w:t xml:space="preserve"> Vorschlag für die Lösung des Problems erstellen.</w:t>
      </w:r>
    </w:p>
    <w:p w14:paraId="2362A172" w14:textId="77777777" w:rsidR="00F42F12" w:rsidRDefault="00F42F12" w:rsidP="00FA5034">
      <w:pPr>
        <w:spacing w:after="0"/>
        <w:ind w:right="567"/>
        <w:jc w:val="both"/>
        <w:rPr>
          <w:bCs/>
          <w:sz w:val="20"/>
          <w:lang w:val="de-DE"/>
        </w:rPr>
      </w:pPr>
    </w:p>
    <w:p w14:paraId="19D85195" w14:textId="77777777" w:rsidR="00F42F12" w:rsidRDefault="00F42F12" w:rsidP="00FA5034">
      <w:pPr>
        <w:spacing w:after="0"/>
        <w:ind w:right="567"/>
        <w:jc w:val="both"/>
        <w:rPr>
          <w:bCs/>
          <w:sz w:val="20"/>
          <w:lang w:val="de-DE"/>
        </w:rPr>
      </w:pPr>
      <w:r>
        <w:rPr>
          <w:bCs/>
          <w:sz w:val="20"/>
          <w:lang w:val="de-DE"/>
        </w:rPr>
        <w:t>3</w:t>
      </w:r>
      <w:r w:rsidR="0079303F">
        <w:rPr>
          <w:bCs/>
          <w:sz w:val="20"/>
          <w:lang w:val="de-DE"/>
        </w:rPr>
        <w:t>9</w:t>
      </w:r>
      <w:r>
        <w:rPr>
          <w:bCs/>
          <w:sz w:val="20"/>
          <w:lang w:val="de-DE"/>
        </w:rPr>
        <w:t>.</w:t>
      </w:r>
      <w:r>
        <w:rPr>
          <w:bCs/>
          <w:sz w:val="20"/>
          <w:lang w:val="de-DE"/>
        </w:rPr>
        <w:tab/>
        <w:t>Der von der niederländischen Seite vorgelegte Vorschlag, für die Verbesserung der Lesbarkeit der Schemata A, B und C die Reihenfolge der Spalte</w:t>
      </w:r>
      <w:r w:rsidR="000905F9">
        <w:rPr>
          <w:bCs/>
          <w:sz w:val="20"/>
          <w:lang w:val="de-DE"/>
        </w:rPr>
        <w:t>n</w:t>
      </w:r>
      <w:r>
        <w:rPr>
          <w:bCs/>
          <w:sz w:val="20"/>
          <w:lang w:val="de-DE"/>
        </w:rPr>
        <w:t xml:space="preserve"> zu verändern und die Schemata mit zusätzlichen Erläuterungen zu versehen</w:t>
      </w:r>
      <w:r w:rsidR="006622AD">
        <w:rPr>
          <w:bCs/>
          <w:sz w:val="20"/>
          <w:lang w:val="de-DE"/>
        </w:rPr>
        <w:t>, fand Zustimmung. Auf Anregung aus der Arbeitsgruppe hin hat es die niederländische Delegation übernommen, zu prüfen, ob für das Entscheidungsdiagramm in 3.2.3.3 generell erläuternde Bemerkungen, die die Verständlichkeit in der Anwendung des Diagramms verbessern, vorgeschlagen werden können.</w:t>
      </w:r>
    </w:p>
    <w:p w14:paraId="1ABE7954" w14:textId="77777777" w:rsidR="00FE3B3E" w:rsidRPr="00C71333" w:rsidRDefault="00FE3B3E" w:rsidP="00FA5034">
      <w:pPr>
        <w:tabs>
          <w:tab w:val="center" w:pos="4536"/>
        </w:tabs>
        <w:spacing w:before="180"/>
        <w:ind w:left="1418" w:hanging="1418"/>
        <w:jc w:val="both"/>
        <w:rPr>
          <w:rFonts w:cs="Arial"/>
          <w:lang w:val="de-DE" w:eastAsia="fr-FR"/>
        </w:rPr>
      </w:pPr>
    </w:p>
    <w:p w14:paraId="184147D6" w14:textId="77777777" w:rsidR="00FE3B3E" w:rsidRPr="00C71333" w:rsidRDefault="00FE3B3E" w:rsidP="00FA5034">
      <w:pPr>
        <w:tabs>
          <w:tab w:val="center" w:pos="4536"/>
        </w:tabs>
        <w:spacing w:before="180"/>
        <w:ind w:left="1418" w:hanging="1418"/>
        <w:jc w:val="both"/>
        <w:rPr>
          <w:lang w:val="de-DE" w:eastAsia="fr-FR"/>
        </w:rPr>
        <w:sectPr w:rsidR="00FE3B3E" w:rsidRPr="00C71333" w:rsidSect="00EA2AB2">
          <w:headerReference w:type="even" r:id="rId15"/>
          <w:headerReference w:type="default" r:id="rId16"/>
          <w:footerReference w:type="even" r:id="rId17"/>
          <w:footerReference w:type="default" r:id="rId18"/>
          <w:headerReference w:type="first" r:id="rId19"/>
          <w:footerReference w:type="first" r:id="rId20"/>
          <w:footnotePr>
            <w:numFmt w:val="chicago"/>
            <w:numRestart w:val="eachPage"/>
          </w:footnotePr>
          <w:pgSz w:w="11906" w:h="16838" w:code="9"/>
          <w:pgMar w:top="1134" w:right="1418" w:bottom="1134" w:left="1418" w:header="680" w:footer="680" w:gutter="0"/>
          <w:cols w:space="708"/>
        </w:sectPr>
      </w:pPr>
    </w:p>
    <w:p w14:paraId="1B6D98B0" w14:textId="77777777" w:rsidR="00FE3B3E" w:rsidRPr="00E62169" w:rsidRDefault="00FE3B3E" w:rsidP="00FA5034">
      <w:pPr>
        <w:spacing w:after="0"/>
        <w:ind w:right="566"/>
        <w:jc w:val="both"/>
        <w:rPr>
          <w:b/>
          <w:szCs w:val="24"/>
          <w:u w:val="single"/>
          <w:lang w:val="de-DE"/>
        </w:rPr>
      </w:pPr>
      <w:r w:rsidRPr="00E62169">
        <w:rPr>
          <w:b/>
          <w:szCs w:val="24"/>
          <w:u w:val="single"/>
          <w:lang w:val="de-DE"/>
        </w:rPr>
        <w:lastRenderedPageBreak/>
        <w:t>Vorschläge:</w:t>
      </w:r>
    </w:p>
    <w:p w14:paraId="56875767" w14:textId="77777777" w:rsidR="00FE3B3E" w:rsidRDefault="00FE3B3E" w:rsidP="00FA5034">
      <w:pPr>
        <w:spacing w:after="0"/>
        <w:ind w:right="566"/>
        <w:jc w:val="both"/>
        <w:rPr>
          <w:sz w:val="20"/>
          <w:lang w:val="de-DE"/>
        </w:rPr>
      </w:pPr>
    </w:p>
    <w:p w14:paraId="2130DE7D" w14:textId="77777777" w:rsidR="00FE3B3E" w:rsidRPr="00155839" w:rsidRDefault="0079303F" w:rsidP="00FA5034">
      <w:pPr>
        <w:spacing w:after="0"/>
        <w:ind w:right="567"/>
        <w:jc w:val="both"/>
        <w:rPr>
          <w:bCs/>
          <w:sz w:val="20"/>
          <w:lang w:val="de-DE"/>
        </w:rPr>
      </w:pPr>
      <w:r w:rsidRPr="00155839">
        <w:rPr>
          <w:bCs/>
          <w:sz w:val="20"/>
          <w:lang w:val="de-DE"/>
        </w:rPr>
        <w:t>40</w:t>
      </w:r>
      <w:r w:rsidR="00FE3B3E" w:rsidRPr="00155839">
        <w:rPr>
          <w:bCs/>
          <w:sz w:val="20"/>
          <w:lang w:val="de-DE"/>
        </w:rPr>
        <w:t>.</w:t>
      </w:r>
      <w:r w:rsidR="00FE3B3E" w:rsidRPr="00155839">
        <w:rPr>
          <w:bCs/>
          <w:sz w:val="20"/>
          <w:lang w:val="de-DE"/>
        </w:rPr>
        <w:tab/>
        <w:t>Schema A ändern, sodass es wie folgt lautet:</w:t>
      </w:r>
    </w:p>
    <w:p w14:paraId="6AD4339B" w14:textId="77777777" w:rsidR="00FE3B3E" w:rsidRPr="00155839" w:rsidRDefault="00FE3B3E" w:rsidP="00FA5034">
      <w:pPr>
        <w:spacing w:after="0"/>
        <w:ind w:right="567"/>
        <w:jc w:val="both"/>
        <w:rPr>
          <w:bCs/>
          <w:sz w:val="20"/>
          <w:lang w:val="de-DE"/>
        </w:rPr>
      </w:pPr>
    </w:p>
    <w:p w14:paraId="69CCA51C" w14:textId="77777777" w:rsidR="00FE3B3E" w:rsidRPr="00E62169" w:rsidRDefault="00FE3B3E" w:rsidP="00FA5034">
      <w:pPr>
        <w:tabs>
          <w:tab w:val="left" w:pos="0"/>
        </w:tabs>
        <w:spacing w:after="40"/>
        <w:jc w:val="both"/>
        <w:rPr>
          <w:rFonts w:cs="Arial"/>
          <w:b/>
          <w:szCs w:val="24"/>
          <w:lang w:val="de-DE" w:eastAsia="de-DE"/>
        </w:rPr>
      </w:pPr>
      <w:r w:rsidRPr="00E62169">
        <w:rPr>
          <w:rFonts w:cs="Arial"/>
          <w:b/>
          <w:szCs w:val="24"/>
          <w:lang w:val="de-DE" w:eastAsia="de-DE"/>
        </w:rPr>
        <w:t>„Schema A: Kriterien für die Ladetankausrüstung von C-Schiffen</w:t>
      </w:r>
    </w:p>
    <w:p w14:paraId="6AE72146" w14:textId="77777777" w:rsidR="00FE3B3E" w:rsidRPr="00155839" w:rsidRDefault="00FE3B3E" w:rsidP="00FA5034">
      <w:pPr>
        <w:tabs>
          <w:tab w:val="left" w:pos="0"/>
        </w:tabs>
        <w:spacing w:after="40"/>
        <w:jc w:val="both"/>
        <w:rPr>
          <w:rFonts w:cs="Arial"/>
          <w:sz w:val="20"/>
          <w:lang w:val="de-DE" w:eastAsia="de-DE"/>
        </w:rPr>
      </w:pPr>
    </w:p>
    <w:p w14:paraId="3FF46F2B" w14:textId="77777777" w:rsidR="00FE3B3E" w:rsidRPr="00155839" w:rsidRDefault="00FE3B3E" w:rsidP="00FA5034">
      <w:pPr>
        <w:tabs>
          <w:tab w:val="left" w:pos="0"/>
        </w:tabs>
        <w:spacing w:after="40"/>
        <w:jc w:val="both"/>
        <w:rPr>
          <w:rFonts w:cs="Arial"/>
          <w:sz w:val="20"/>
          <w:lang w:val="de-DE" w:eastAsia="de-DE"/>
        </w:rPr>
      </w:pPr>
      <w:r w:rsidRPr="00155839">
        <w:rPr>
          <w:rFonts w:cs="Arial"/>
          <w:sz w:val="20"/>
          <w:lang w:val="de-DE" w:eastAsia="de-DE"/>
        </w:rPr>
        <w:t>Feststellen</w:t>
      </w:r>
      <w:r w:rsidR="000905F9" w:rsidRPr="00155839">
        <w:rPr>
          <w:rFonts w:cs="Arial"/>
          <w:sz w:val="20"/>
          <w:lang w:val="de-DE" w:eastAsia="de-DE"/>
        </w:rPr>
        <w:t>,</w:t>
      </w:r>
      <w:r w:rsidRPr="00155839">
        <w:rPr>
          <w:rFonts w:cs="Arial"/>
          <w:sz w:val="20"/>
          <w:lang w:val="de-DE" w:eastAsia="de-DE"/>
        </w:rPr>
        <w:t xml:space="preserve"> welche Stoff-/Ladetank-Eigenschaften aus den ersten drei Spalten relevant sind. In der relevanten Spalte die anwendbare Zeile auswählen. In dieser Zeile sind dann in der vierten Spalte die sich ergebenden </w:t>
      </w:r>
      <w:r w:rsidR="000905F9" w:rsidRPr="00155839">
        <w:rPr>
          <w:rFonts w:cs="Arial"/>
          <w:sz w:val="20"/>
          <w:lang w:val="de-DE" w:eastAsia="de-DE"/>
        </w:rPr>
        <w:t>Anforderungen</w:t>
      </w:r>
      <w:r w:rsidRPr="00155839">
        <w:rPr>
          <w:rFonts w:cs="Arial"/>
          <w:sz w:val="20"/>
          <w:lang w:val="de-DE" w:eastAsia="de-DE"/>
        </w:rPr>
        <w:t xml:space="preserve"> für die Ladetankausrüstung in C-Schiffen dargestellt.</w:t>
      </w:r>
    </w:p>
    <w:p w14:paraId="1F599E76" w14:textId="77777777" w:rsidR="00FE3B3E" w:rsidRPr="00FE3B3E" w:rsidRDefault="00FE3B3E" w:rsidP="00FA5034">
      <w:pPr>
        <w:tabs>
          <w:tab w:val="left" w:pos="0"/>
        </w:tabs>
        <w:spacing w:after="40"/>
        <w:jc w:val="both"/>
        <w:rPr>
          <w:rFonts w:cs="Arial"/>
          <w:sz w:val="18"/>
          <w:szCs w:val="18"/>
          <w:lang w:val="de-DE" w:eastAsia="de-DE"/>
        </w:rPr>
      </w:pP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2"/>
        <w:gridCol w:w="2911"/>
        <w:gridCol w:w="2735"/>
        <w:gridCol w:w="2559"/>
      </w:tblGrid>
      <w:tr w:rsidR="00D20A88" w:rsidRPr="00764A4C" w14:paraId="19FB83E8" w14:textId="77777777" w:rsidTr="007C35C4">
        <w:trPr>
          <w:jc w:val="center"/>
        </w:trPr>
        <w:tc>
          <w:tcPr>
            <w:tcW w:w="8398" w:type="dxa"/>
            <w:gridSpan w:val="3"/>
          </w:tcPr>
          <w:p w14:paraId="4C20E68A" w14:textId="77777777" w:rsidR="00D20A88" w:rsidRPr="00764A4C" w:rsidRDefault="00D20A88" w:rsidP="00FA5034">
            <w:pPr>
              <w:spacing w:before="60" w:after="60"/>
              <w:jc w:val="both"/>
              <w:rPr>
                <w:rFonts w:cs="Arial"/>
                <w:sz w:val="18"/>
                <w:szCs w:val="18"/>
                <w:lang w:val="de-DE" w:eastAsia="fr-FR"/>
              </w:rPr>
            </w:pPr>
            <w:r>
              <w:rPr>
                <w:rFonts w:cs="Arial"/>
                <w:sz w:val="18"/>
                <w:szCs w:val="18"/>
                <w:lang w:val="de-DE" w:eastAsia="de-DE"/>
              </w:rPr>
              <w:t>Stoff-/Ladetank-Eigenschaften</w:t>
            </w:r>
          </w:p>
        </w:tc>
        <w:tc>
          <w:tcPr>
            <w:tcW w:w="2559" w:type="dxa"/>
            <w:vAlign w:val="center"/>
          </w:tcPr>
          <w:p w14:paraId="25391586" w14:textId="77777777" w:rsidR="00D20A88" w:rsidRPr="00764A4C" w:rsidRDefault="00D20A88" w:rsidP="00FA5034">
            <w:pPr>
              <w:spacing w:before="60" w:after="60"/>
              <w:jc w:val="both"/>
              <w:outlineLvl w:val="4"/>
              <w:rPr>
                <w:rFonts w:cs="Arial"/>
                <w:bCs/>
                <w:sz w:val="18"/>
                <w:szCs w:val="18"/>
                <w:lang w:val="de-DE" w:eastAsia="fr-FR"/>
              </w:rPr>
            </w:pPr>
            <w:r>
              <w:rPr>
                <w:rFonts w:cs="Arial"/>
                <w:sz w:val="18"/>
                <w:szCs w:val="18"/>
                <w:lang w:val="de-DE" w:eastAsia="de-DE"/>
              </w:rPr>
              <w:t>sich ergebenden Anforderungen</w:t>
            </w:r>
          </w:p>
        </w:tc>
      </w:tr>
      <w:tr w:rsidR="00D20A88" w:rsidRPr="00764A4C" w14:paraId="2420FCA3" w14:textId="77777777" w:rsidTr="00D20A88">
        <w:trPr>
          <w:jc w:val="center"/>
        </w:trPr>
        <w:tc>
          <w:tcPr>
            <w:tcW w:w="2752" w:type="dxa"/>
          </w:tcPr>
          <w:p w14:paraId="61002708" w14:textId="77777777" w:rsidR="00D20A88" w:rsidRPr="00764A4C" w:rsidRDefault="00D20A88" w:rsidP="004547E6">
            <w:pPr>
              <w:spacing w:before="60" w:after="60"/>
              <w:rPr>
                <w:rFonts w:cs="Arial"/>
                <w:sz w:val="18"/>
                <w:szCs w:val="18"/>
                <w:lang w:val="de-DE" w:eastAsia="fr-FR"/>
              </w:rPr>
            </w:pPr>
            <w:r w:rsidRPr="00764A4C">
              <w:rPr>
                <w:rFonts w:cs="Arial"/>
                <w:sz w:val="18"/>
                <w:szCs w:val="18"/>
                <w:lang w:val="de-DE" w:eastAsia="fr-FR"/>
              </w:rPr>
              <w:t xml:space="preserve">Tankinnenüberdruck für </w:t>
            </w:r>
            <w:r>
              <w:rPr>
                <w:rFonts w:cs="Arial"/>
                <w:sz w:val="18"/>
                <w:szCs w:val="18"/>
                <w:lang w:val="de-DE" w:eastAsia="fr-FR"/>
              </w:rPr>
              <w:br/>
            </w:r>
            <w:r w:rsidRPr="00764A4C">
              <w:rPr>
                <w:rFonts w:cs="Arial"/>
                <w:sz w:val="18"/>
                <w:szCs w:val="18"/>
                <w:lang w:val="de-DE" w:eastAsia="fr-FR"/>
              </w:rPr>
              <w:t>30 °C Flüssigkeitstemperatur und 37,8 °C Dampfraumtemperatur</w:t>
            </w:r>
            <w:r>
              <w:rPr>
                <w:rFonts w:cs="Arial"/>
                <w:sz w:val="18"/>
                <w:szCs w:val="18"/>
                <w:lang w:val="de-DE" w:eastAsia="fr-FR"/>
              </w:rPr>
              <w:t xml:space="preserve"> </w:t>
            </w:r>
            <w:r>
              <w:rPr>
                <w:rFonts w:cs="Arial"/>
                <w:sz w:val="18"/>
                <w:szCs w:val="18"/>
                <w:lang w:val="de-DE" w:eastAsia="fr-FR"/>
              </w:rPr>
              <w:br/>
            </w:r>
            <w:r w:rsidRPr="00764A4C">
              <w:rPr>
                <w:rFonts w:cs="Arial"/>
                <w:sz w:val="18"/>
                <w:szCs w:val="18"/>
                <w:lang w:val="de-DE" w:eastAsia="fr-FR"/>
              </w:rPr>
              <w:t>&gt; 50 kPa</w:t>
            </w:r>
          </w:p>
        </w:tc>
        <w:tc>
          <w:tcPr>
            <w:tcW w:w="2911" w:type="dxa"/>
          </w:tcPr>
          <w:p w14:paraId="5DE6503F" w14:textId="77777777" w:rsidR="00D20A88" w:rsidRPr="00764A4C" w:rsidRDefault="00D20A88" w:rsidP="004547E6">
            <w:pPr>
              <w:spacing w:before="60" w:after="60"/>
              <w:rPr>
                <w:rFonts w:cs="Arial"/>
                <w:sz w:val="18"/>
                <w:szCs w:val="18"/>
                <w:lang w:val="de-DE" w:eastAsia="fr-FR"/>
              </w:rPr>
            </w:pPr>
            <w:r w:rsidRPr="00764A4C">
              <w:rPr>
                <w:rFonts w:cs="Arial"/>
                <w:sz w:val="18"/>
                <w:szCs w:val="18"/>
                <w:lang w:val="de-DE" w:eastAsia="fr-FR"/>
              </w:rPr>
              <w:t>Tankinnenüberdruck für</w:t>
            </w:r>
            <w:r>
              <w:rPr>
                <w:rFonts w:cs="Arial"/>
                <w:sz w:val="18"/>
                <w:szCs w:val="18"/>
                <w:lang w:val="de-DE" w:eastAsia="fr-FR"/>
              </w:rPr>
              <w:br/>
            </w:r>
            <w:r w:rsidRPr="00764A4C">
              <w:rPr>
                <w:rFonts w:cs="Arial"/>
                <w:sz w:val="18"/>
                <w:szCs w:val="18"/>
                <w:lang w:val="de-DE" w:eastAsia="fr-FR"/>
              </w:rPr>
              <w:t>30 °C Flüssigkeitstemperatur und 37,8 °C Dampfraumtemperatur</w:t>
            </w:r>
            <w:r>
              <w:rPr>
                <w:rFonts w:cs="Arial"/>
                <w:sz w:val="18"/>
                <w:szCs w:val="18"/>
                <w:lang w:val="de-DE" w:eastAsia="fr-FR"/>
              </w:rPr>
              <w:br/>
            </w:r>
            <w:r w:rsidRPr="00764A4C">
              <w:rPr>
                <w:rFonts w:cs="Arial"/>
                <w:sz w:val="18"/>
                <w:szCs w:val="18"/>
                <w:lang w:val="de-DE" w:eastAsia="fr-FR"/>
              </w:rPr>
              <w:sym w:font="Symbol" w:char="F0A3"/>
            </w:r>
            <w:r w:rsidRPr="00764A4C">
              <w:rPr>
                <w:rFonts w:cs="Arial"/>
                <w:sz w:val="18"/>
                <w:szCs w:val="18"/>
                <w:lang w:val="de-DE" w:eastAsia="fr-FR"/>
              </w:rPr>
              <w:t xml:space="preserve"> 50 kPa</w:t>
            </w:r>
          </w:p>
        </w:tc>
        <w:tc>
          <w:tcPr>
            <w:tcW w:w="2735" w:type="dxa"/>
            <w:vAlign w:val="center"/>
          </w:tcPr>
          <w:p w14:paraId="67A161C4" w14:textId="77777777" w:rsidR="00D20A88" w:rsidRPr="00764A4C" w:rsidRDefault="00D20A88" w:rsidP="004547E6">
            <w:pPr>
              <w:spacing w:before="60" w:after="60"/>
              <w:rPr>
                <w:rFonts w:cs="Arial"/>
                <w:sz w:val="18"/>
                <w:szCs w:val="18"/>
                <w:lang w:val="de-DE" w:eastAsia="fr-FR"/>
              </w:rPr>
            </w:pPr>
            <w:r w:rsidRPr="00764A4C">
              <w:rPr>
                <w:rFonts w:cs="Arial"/>
                <w:sz w:val="18"/>
                <w:szCs w:val="18"/>
                <w:lang w:val="de-DE" w:eastAsia="fr-FR"/>
              </w:rPr>
              <w:t>Tankinnenüberdruck unbekannt wegen Mangel an Daten</w:t>
            </w:r>
          </w:p>
        </w:tc>
        <w:tc>
          <w:tcPr>
            <w:tcW w:w="2559" w:type="dxa"/>
            <w:vAlign w:val="center"/>
          </w:tcPr>
          <w:p w14:paraId="35309716" w14:textId="77777777" w:rsidR="00D20A88" w:rsidRPr="00764A4C" w:rsidRDefault="00D20A88" w:rsidP="004547E6">
            <w:pPr>
              <w:spacing w:before="60" w:after="60"/>
              <w:outlineLvl w:val="4"/>
              <w:rPr>
                <w:rFonts w:cs="Arial"/>
                <w:bCs/>
                <w:sz w:val="18"/>
                <w:szCs w:val="18"/>
                <w:lang w:val="de-DE" w:eastAsia="fr-FR"/>
              </w:rPr>
            </w:pPr>
            <w:r w:rsidRPr="00764A4C">
              <w:rPr>
                <w:rFonts w:cs="Arial"/>
                <w:bCs/>
                <w:sz w:val="18"/>
                <w:szCs w:val="18"/>
                <w:lang w:val="de-DE" w:eastAsia="fr-FR"/>
              </w:rPr>
              <w:t>Ladetankausrüstung</w:t>
            </w:r>
          </w:p>
        </w:tc>
      </w:tr>
      <w:tr w:rsidR="00D20A88" w:rsidRPr="00D93C93" w14:paraId="5BED836F" w14:textId="77777777" w:rsidTr="00D20A88">
        <w:trPr>
          <w:jc w:val="center"/>
        </w:trPr>
        <w:tc>
          <w:tcPr>
            <w:tcW w:w="2752" w:type="dxa"/>
          </w:tcPr>
          <w:p w14:paraId="2088C44C"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gekühlt</w:t>
            </w:r>
          </w:p>
        </w:tc>
        <w:tc>
          <w:tcPr>
            <w:tcW w:w="2911" w:type="dxa"/>
          </w:tcPr>
          <w:p w14:paraId="39DF4B3C" w14:textId="77777777" w:rsidR="00D20A88" w:rsidRPr="00764A4C" w:rsidRDefault="00D20A88" w:rsidP="00FA5034">
            <w:pPr>
              <w:spacing w:before="60" w:after="60"/>
              <w:jc w:val="both"/>
              <w:rPr>
                <w:rFonts w:cs="Arial"/>
                <w:sz w:val="18"/>
                <w:szCs w:val="18"/>
                <w:lang w:val="de-DE" w:eastAsia="fr-FR"/>
              </w:rPr>
            </w:pPr>
          </w:p>
        </w:tc>
        <w:tc>
          <w:tcPr>
            <w:tcW w:w="2735" w:type="dxa"/>
          </w:tcPr>
          <w:p w14:paraId="46561C68" w14:textId="77777777" w:rsidR="00D20A88" w:rsidRPr="00764A4C" w:rsidRDefault="00D20A88" w:rsidP="00FA5034">
            <w:pPr>
              <w:spacing w:before="60" w:after="60"/>
              <w:jc w:val="both"/>
              <w:rPr>
                <w:rFonts w:cs="Arial"/>
                <w:sz w:val="18"/>
                <w:szCs w:val="18"/>
                <w:lang w:val="de-DE" w:eastAsia="fr-FR"/>
              </w:rPr>
            </w:pPr>
          </w:p>
        </w:tc>
        <w:tc>
          <w:tcPr>
            <w:tcW w:w="2559" w:type="dxa"/>
          </w:tcPr>
          <w:p w14:paraId="708C92ED"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 xml:space="preserve">Mit Kühlanlage (Ziffer 1 in Spalte </w:t>
            </w:r>
            <w:r>
              <w:rPr>
                <w:rFonts w:cs="Arial"/>
                <w:sz w:val="18"/>
                <w:szCs w:val="18"/>
                <w:lang w:val="de-DE" w:eastAsia="fr-FR"/>
              </w:rPr>
              <w:t>(</w:t>
            </w:r>
            <w:r w:rsidRPr="00764A4C">
              <w:rPr>
                <w:rFonts w:cs="Arial"/>
                <w:sz w:val="18"/>
                <w:szCs w:val="18"/>
                <w:lang w:val="de-DE" w:eastAsia="fr-FR"/>
              </w:rPr>
              <w:t>9</w:t>
            </w:r>
            <w:r>
              <w:rPr>
                <w:rFonts w:cs="Arial"/>
                <w:sz w:val="18"/>
                <w:szCs w:val="18"/>
                <w:lang w:val="de-DE" w:eastAsia="fr-FR"/>
              </w:rPr>
              <w:t>)</w:t>
            </w:r>
            <w:r w:rsidRPr="00764A4C">
              <w:rPr>
                <w:rFonts w:cs="Arial"/>
                <w:sz w:val="18"/>
                <w:szCs w:val="18"/>
                <w:lang w:val="de-DE" w:eastAsia="fr-FR"/>
              </w:rPr>
              <w:t>)</w:t>
            </w:r>
          </w:p>
        </w:tc>
      </w:tr>
      <w:tr w:rsidR="00D20A88" w:rsidRPr="00764A4C" w14:paraId="3D750798" w14:textId="77777777" w:rsidTr="00D20A88">
        <w:trPr>
          <w:jc w:val="center"/>
        </w:trPr>
        <w:tc>
          <w:tcPr>
            <w:tcW w:w="2752" w:type="dxa"/>
            <w:vAlign w:val="center"/>
          </w:tcPr>
          <w:p w14:paraId="41D8248C"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ungekühlt</w:t>
            </w:r>
          </w:p>
        </w:tc>
        <w:tc>
          <w:tcPr>
            <w:tcW w:w="2911" w:type="dxa"/>
            <w:vAlign w:val="center"/>
          </w:tcPr>
          <w:p w14:paraId="1BFEE5EE"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Tankinnenüberdruck bei 50 °C</w:t>
            </w:r>
            <w:r>
              <w:rPr>
                <w:rFonts w:cs="Arial"/>
                <w:sz w:val="18"/>
                <w:szCs w:val="18"/>
                <w:lang w:val="de-DE" w:eastAsia="fr-FR"/>
              </w:rPr>
              <w:br/>
            </w:r>
            <w:r w:rsidRPr="00764A4C">
              <w:rPr>
                <w:rFonts w:cs="Arial"/>
                <w:sz w:val="18"/>
                <w:szCs w:val="18"/>
                <w:lang w:val="de-DE" w:eastAsia="fr-FR"/>
              </w:rPr>
              <w:t>&gt; 50 kPa, ohne Berieselung</w:t>
            </w:r>
          </w:p>
        </w:tc>
        <w:tc>
          <w:tcPr>
            <w:tcW w:w="2735" w:type="dxa"/>
            <w:vAlign w:val="center"/>
          </w:tcPr>
          <w:p w14:paraId="1CC7917D"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 xml:space="preserve">Siedepunkt </w:t>
            </w:r>
            <w:r w:rsidRPr="00764A4C">
              <w:rPr>
                <w:rFonts w:cs="Arial"/>
                <w:sz w:val="18"/>
                <w:szCs w:val="18"/>
                <w:lang w:val="de-DE" w:eastAsia="fr-FR"/>
              </w:rPr>
              <w:sym w:font="Symbol" w:char="F0A3"/>
            </w:r>
            <w:r w:rsidRPr="00764A4C">
              <w:rPr>
                <w:rFonts w:cs="Arial"/>
                <w:sz w:val="18"/>
                <w:szCs w:val="18"/>
                <w:lang w:val="de-DE" w:eastAsia="fr-FR"/>
              </w:rPr>
              <w:t xml:space="preserve"> 60 °C</w:t>
            </w:r>
          </w:p>
        </w:tc>
        <w:tc>
          <w:tcPr>
            <w:tcW w:w="2559" w:type="dxa"/>
            <w:vAlign w:val="center"/>
          </w:tcPr>
          <w:p w14:paraId="2F251A77"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Drucktank (400 kPa)</w:t>
            </w:r>
          </w:p>
        </w:tc>
      </w:tr>
      <w:tr w:rsidR="00D20A88" w:rsidRPr="00D93C93" w14:paraId="2B7FEE7B" w14:textId="77777777" w:rsidTr="00D20A88">
        <w:trPr>
          <w:jc w:val="center"/>
        </w:trPr>
        <w:tc>
          <w:tcPr>
            <w:tcW w:w="2752" w:type="dxa"/>
            <w:vAlign w:val="center"/>
          </w:tcPr>
          <w:p w14:paraId="4DB12D2E" w14:textId="77777777" w:rsidR="00D20A88" w:rsidRPr="00764A4C" w:rsidRDefault="00D20A88" w:rsidP="00FA5034">
            <w:pPr>
              <w:spacing w:before="60" w:after="60"/>
              <w:jc w:val="both"/>
              <w:rPr>
                <w:rFonts w:cs="Arial"/>
                <w:sz w:val="18"/>
                <w:szCs w:val="18"/>
                <w:lang w:val="de-DE" w:eastAsia="fr-FR"/>
              </w:rPr>
            </w:pPr>
          </w:p>
        </w:tc>
        <w:tc>
          <w:tcPr>
            <w:tcW w:w="2911" w:type="dxa"/>
            <w:vAlign w:val="center"/>
          </w:tcPr>
          <w:p w14:paraId="211F2B2F"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Tankinnenüberdruck bei 50 °C</w:t>
            </w:r>
            <w:r>
              <w:rPr>
                <w:rFonts w:cs="Arial"/>
                <w:sz w:val="18"/>
                <w:szCs w:val="18"/>
                <w:lang w:val="de-DE" w:eastAsia="fr-FR"/>
              </w:rPr>
              <w:br/>
            </w:r>
            <w:r w:rsidRPr="00764A4C">
              <w:rPr>
                <w:rFonts w:cs="Arial"/>
                <w:sz w:val="18"/>
                <w:szCs w:val="18"/>
                <w:lang w:val="de-DE" w:eastAsia="fr-FR"/>
              </w:rPr>
              <w:t>&gt; 50 kPa, mit Berieselung</w:t>
            </w:r>
          </w:p>
        </w:tc>
        <w:tc>
          <w:tcPr>
            <w:tcW w:w="2735" w:type="dxa"/>
            <w:vAlign w:val="center"/>
          </w:tcPr>
          <w:p w14:paraId="43C86C03"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 xml:space="preserve">60 °C &lt; Siedepunkt </w:t>
            </w:r>
            <w:r w:rsidRPr="00764A4C">
              <w:rPr>
                <w:rFonts w:cs="Arial"/>
                <w:sz w:val="18"/>
                <w:szCs w:val="18"/>
                <w:lang w:val="de-DE" w:eastAsia="fr-FR"/>
              </w:rPr>
              <w:sym w:font="Symbol" w:char="F0A3"/>
            </w:r>
            <w:r w:rsidRPr="00764A4C">
              <w:rPr>
                <w:rFonts w:cs="Arial"/>
                <w:sz w:val="18"/>
                <w:szCs w:val="18"/>
                <w:lang w:val="de-DE" w:eastAsia="fr-FR"/>
              </w:rPr>
              <w:t xml:space="preserve"> 85 °C</w:t>
            </w:r>
          </w:p>
        </w:tc>
        <w:tc>
          <w:tcPr>
            <w:tcW w:w="2559" w:type="dxa"/>
          </w:tcPr>
          <w:p w14:paraId="7AE482EE"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 xml:space="preserve">Mit Öffnungsdruck </w:t>
            </w:r>
            <w:r w:rsidRPr="0021269D">
              <w:rPr>
                <w:rFonts w:cs="Arial"/>
                <w:sz w:val="18"/>
                <w:szCs w:val="18"/>
                <w:lang w:val="de-DE" w:eastAsia="fr-FR"/>
              </w:rPr>
              <w:t>Überdruck-/Hochgeschwindigkeitsventil</w:t>
            </w:r>
            <w:r w:rsidRPr="0021269D" w:rsidDel="0021269D">
              <w:rPr>
                <w:rFonts w:cs="Arial"/>
                <w:sz w:val="18"/>
                <w:szCs w:val="18"/>
                <w:lang w:val="de-DE" w:eastAsia="fr-FR"/>
              </w:rPr>
              <w:t xml:space="preserve"> </w:t>
            </w:r>
            <w:r w:rsidRPr="00764A4C">
              <w:rPr>
                <w:rFonts w:cs="Arial"/>
                <w:sz w:val="18"/>
                <w:szCs w:val="18"/>
                <w:lang w:val="de-DE" w:eastAsia="fr-FR"/>
              </w:rPr>
              <w:t xml:space="preserve">50 kPa, mit Berieselungsanlage (Ziffer 3 in Spalte </w:t>
            </w:r>
            <w:r>
              <w:rPr>
                <w:rFonts w:cs="Arial"/>
                <w:sz w:val="18"/>
                <w:szCs w:val="18"/>
                <w:lang w:val="de-DE" w:eastAsia="fr-FR"/>
              </w:rPr>
              <w:t>(</w:t>
            </w:r>
            <w:r w:rsidRPr="00764A4C">
              <w:rPr>
                <w:rFonts w:cs="Arial"/>
                <w:sz w:val="18"/>
                <w:szCs w:val="18"/>
                <w:lang w:val="de-DE" w:eastAsia="fr-FR"/>
              </w:rPr>
              <w:t>9</w:t>
            </w:r>
            <w:r>
              <w:rPr>
                <w:rFonts w:cs="Arial"/>
                <w:sz w:val="18"/>
                <w:szCs w:val="18"/>
                <w:lang w:val="de-DE" w:eastAsia="fr-FR"/>
              </w:rPr>
              <w:t>)</w:t>
            </w:r>
            <w:r w:rsidRPr="00764A4C">
              <w:rPr>
                <w:rFonts w:cs="Arial"/>
                <w:sz w:val="18"/>
                <w:szCs w:val="18"/>
                <w:lang w:val="de-DE" w:eastAsia="fr-FR"/>
              </w:rPr>
              <w:t>)</w:t>
            </w:r>
          </w:p>
        </w:tc>
      </w:tr>
      <w:tr w:rsidR="00D20A88" w:rsidRPr="00D93C93" w14:paraId="3DD169DF" w14:textId="77777777" w:rsidTr="00D20A88">
        <w:trPr>
          <w:jc w:val="center"/>
        </w:trPr>
        <w:tc>
          <w:tcPr>
            <w:tcW w:w="2752" w:type="dxa"/>
            <w:vAlign w:val="center"/>
          </w:tcPr>
          <w:p w14:paraId="65ECAEA3" w14:textId="77777777" w:rsidR="00D20A88" w:rsidRPr="00764A4C" w:rsidRDefault="00D20A88" w:rsidP="00FA5034">
            <w:pPr>
              <w:tabs>
                <w:tab w:val="center" w:pos="4536"/>
              </w:tabs>
              <w:spacing w:before="60" w:after="60"/>
              <w:jc w:val="both"/>
              <w:rPr>
                <w:rFonts w:cs="Arial"/>
                <w:sz w:val="18"/>
                <w:szCs w:val="18"/>
                <w:lang w:val="de-DE" w:eastAsia="fr-FR"/>
              </w:rPr>
            </w:pPr>
          </w:p>
        </w:tc>
        <w:tc>
          <w:tcPr>
            <w:tcW w:w="2911" w:type="dxa"/>
            <w:vAlign w:val="center"/>
          </w:tcPr>
          <w:p w14:paraId="43F487C5"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Tankinnenüberdruck bei 50 °C</w:t>
            </w:r>
            <w:r>
              <w:rPr>
                <w:rFonts w:cs="Arial"/>
                <w:sz w:val="18"/>
                <w:szCs w:val="18"/>
                <w:lang w:val="de-DE" w:eastAsia="fr-FR"/>
              </w:rPr>
              <w:br/>
            </w:r>
            <w:r w:rsidRPr="00764A4C">
              <w:rPr>
                <w:rFonts w:cs="Arial"/>
                <w:sz w:val="18"/>
                <w:szCs w:val="18"/>
                <w:lang w:val="de-DE" w:eastAsia="fr-FR"/>
              </w:rPr>
              <w:sym w:font="Symbol" w:char="F0A3"/>
            </w:r>
            <w:r w:rsidRPr="00764A4C">
              <w:rPr>
                <w:rFonts w:cs="Arial"/>
                <w:sz w:val="18"/>
                <w:szCs w:val="18"/>
                <w:lang w:val="de-DE" w:eastAsia="fr-FR"/>
              </w:rPr>
              <w:t xml:space="preserve"> 50 kPa</w:t>
            </w:r>
          </w:p>
        </w:tc>
        <w:tc>
          <w:tcPr>
            <w:tcW w:w="2735" w:type="dxa"/>
            <w:vAlign w:val="center"/>
          </w:tcPr>
          <w:p w14:paraId="17096144" w14:textId="77777777" w:rsidR="00D20A88" w:rsidRPr="00764A4C" w:rsidRDefault="00D20A88" w:rsidP="00FA5034">
            <w:pPr>
              <w:spacing w:before="60" w:after="60"/>
              <w:jc w:val="both"/>
              <w:rPr>
                <w:rFonts w:cs="Arial"/>
                <w:sz w:val="18"/>
                <w:szCs w:val="18"/>
                <w:lang w:val="de-DE" w:eastAsia="fr-FR"/>
              </w:rPr>
            </w:pPr>
          </w:p>
        </w:tc>
        <w:tc>
          <w:tcPr>
            <w:tcW w:w="2559" w:type="dxa"/>
          </w:tcPr>
          <w:p w14:paraId="5DE5393B"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 xml:space="preserve">Mit Öffnungsdruck </w:t>
            </w:r>
            <w:r w:rsidRPr="0021269D">
              <w:rPr>
                <w:rFonts w:cs="Arial"/>
                <w:sz w:val="18"/>
                <w:szCs w:val="18"/>
                <w:lang w:val="de-DE" w:eastAsia="fr-FR"/>
              </w:rPr>
              <w:t>Überdruck-/Hochgeschwindigkeitsventil</w:t>
            </w:r>
            <w:r w:rsidRPr="0021269D" w:rsidDel="0021269D">
              <w:rPr>
                <w:rFonts w:cs="Arial"/>
                <w:sz w:val="18"/>
                <w:szCs w:val="18"/>
                <w:lang w:val="de-DE" w:eastAsia="fr-FR"/>
              </w:rPr>
              <w:t xml:space="preserve"> </w:t>
            </w:r>
            <w:r w:rsidRPr="00764A4C">
              <w:rPr>
                <w:rFonts w:cs="Arial"/>
                <w:sz w:val="18"/>
                <w:szCs w:val="18"/>
                <w:lang w:val="de-DE" w:eastAsia="fr-FR"/>
              </w:rPr>
              <w:t>berechnet, aber mindestens 10 kPa</w:t>
            </w:r>
          </w:p>
        </w:tc>
      </w:tr>
      <w:tr w:rsidR="00D20A88" w:rsidRPr="00DF2832" w14:paraId="3C139752" w14:textId="77777777" w:rsidTr="00D20A88">
        <w:trPr>
          <w:jc w:val="center"/>
        </w:trPr>
        <w:tc>
          <w:tcPr>
            <w:tcW w:w="2752" w:type="dxa"/>
            <w:vAlign w:val="center"/>
          </w:tcPr>
          <w:p w14:paraId="25D756E5" w14:textId="77777777" w:rsidR="00D20A88" w:rsidRPr="00764A4C" w:rsidRDefault="00D20A88" w:rsidP="00FA5034">
            <w:pPr>
              <w:spacing w:before="60" w:after="60"/>
              <w:jc w:val="both"/>
              <w:rPr>
                <w:rFonts w:cs="Arial"/>
                <w:color w:val="000000"/>
                <w:sz w:val="18"/>
                <w:szCs w:val="18"/>
                <w:lang w:val="de-DE" w:eastAsia="fr-FR"/>
              </w:rPr>
            </w:pPr>
          </w:p>
        </w:tc>
        <w:tc>
          <w:tcPr>
            <w:tcW w:w="2911" w:type="dxa"/>
            <w:vAlign w:val="center"/>
          </w:tcPr>
          <w:p w14:paraId="512D6296" w14:textId="77777777" w:rsidR="00D20A88" w:rsidRPr="00764A4C" w:rsidRDefault="00D20A88" w:rsidP="00FA5034">
            <w:pPr>
              <w:spacing w:before="60" w:after="60"/>
              <w:jc w:val="both"/>
              <w:rPr>
                <w:rFonts w:cs="Arial"/>
                <w:color w:val="000000"/>
                <w:sz w:val="18"/>
                <w:szCs w:val="18"/>
                <w:lang w:val="de-DE" w:eastAsia="fr-FR"/>
              </w:rPr>
            </w:pPr>
          </w:p>
        </w:tc>
        <w:tc>
          <w:tcPr>
            <w:tcW w:w="2735" w:type="dxa"/>
            <w:vAlign w:val="center"/>
          </w:tcPr>
          <w:p w14:paraId="552BF4B3" w14:textId="77777777" w:rsidR="00D20A88" w:rsidRPr="00764A4C" w:rsidRDefault="00D20A88" w:rsidP="00FA5034">
            <w:pPr>
              <w:spacing w:before="60" w:after="60"/>
              <w:jc w:val="both"/>
              <w:rPr>
                <w:rFonts w:cs="Arial"/>
                <w:color w:val="000000"/>
                <w:sz w:val="18"/>
                <w:szCs w:val="18"/>
                <w:lang w:val="de-DE" w:eastAsia="fr-FR"/>
              </w:rPr>
            </w:pPr>
            <w:r w:rsidRPr="00764A4C">
              <w:rPr>
                <w:rFonts w:cs="Arial"/>
                <w:color w:val="000000"/>
                <w:sz w:val="18"/>
                <w:szCs w:val="18"/>
                <w:lang w:val="de-DE" w:eastAsia="fr-FR"/>
              </w:rPr>
              <w:t xml:space="preserve">85 °C &lt; Siedepunkt </w:t>
            </w:r>
            <w:r w:rsidRPr="00764A4C">
              <w:rPr>
                <w:rFonts w:cs="Arial"/>
                <w:color w:val="000000"/>
                <w:sz w:val="18"/>
                <w:szCs w:val="18"/>
                <w:lang w:val="de-DE" w:eastAsia="fr-FR"/>
              </w:rPr>
              <w:sym w:font="Symbol" w:char="F0A3"/>
            </w:r>
            <w:r w:rsidRPr="00764A4C">
              <w:rPr>
                <w:rFonts w:cs="Arial"/>
                <w:color w:val="000000"/>
                <w:sz w:val="18"/>
                <w:szCs w:val="18"/>
                <w:lang w:val="de-DE" w:eastAsia="fr-FR"/>
              </w:rPr>
              <w:t xml:space="preserve"> 115 °C</w:t>
            </w:r>
          </w:p>
        </w:tc>
        <w:tc>
          <w:tcPr>
            <w:tcW w:w="2559" w:type="dxa"/>
          </w:tcPr>
          <w:p w14:paraId="12575990" w14:textId="77777777" w:rsidR="00D20A88" w:rsidRPr="00764A4C" w:rsidRDefault="00D20A88" w:rsidP="00FA5034">
            <w:pPr>
              <w:spacing w:before="60" w:after="60"/>
              <w:jc w:val="both"/>
              <w:rPr>
                <w:rFonts w:cs="Arial"/>
                <w:color w:val="000000"/>
                <w:sz w:val="18"/>
                <w:szCs w:val="18"/>
                <w:lang w:val="de-DE" w:eastAsia="fr-FR"/>
              </w:rPr>
            </w:pPr>
            <w:r w:rsidRPr="00764A4C">
              <w:rPr>
                <w:rFonts w:cs="Arial"/>
                <w:color w:val="000000"/>
                <w:sz w:val="18"/>
                <w:szCs w:val="18"/>
                <w:lang w:val="de-DE" w:eastAsia="fr-FR"/>
              </w:rPr>
              <w:t xml:space="preserve">Mit Öffnungsdruck </w:t>
            </w:r>
            <w:r w:rsidRPr="0021269D">
              <w:rPr>
                <w:rFonts w:cs="Arial"/>
                <w:color w:val="000000"/>
                <w:sz w:val="18"/>
                <w:szCs w:val="18"/>
                <w:lang w:val="de-DE" w:eastAsia="fr-FR"/>
              </w:rPr>
              <w:t>Überdruck-/Hochgeschwindigkeitsventil</w:t>
            </w:r>
            <w:r w:rsidRPr="0021269D" w:rsidDel="0021269D">
              <w:rPr>
                <w:rFonts w:cs="Arial"/>
                <w:color w:val="000000"/>
                <w:sz w:val="18"/>
                <w:szCs w:val="18"/>
                <w:lang w:val="de-DE" w:eastAsia="fr-FR"/>
              </w:rPr>
              <w:t xml:space="preserve"> </w:t>
            </w:r>
            <w:r w:rsidRPr="00764A4C">
              <w:rPr>
                <w:rFonts w:cs="Arial"/>
                <w:color w:val="000000"/>
                <w:sz w:val="18"/>
                <w:szCs w:val="18"/>
                <w:lang w:val="de-DE" w:eastAsia="fr-FR"/>
              </w:rPr>
              <w:t>50 kPa</w:t>
            </w:r>
          </w:p>
        </w:tc>
      </w:tr>
      <w:tr w:rsidR="00D20A88" w:rsidRPr="00DF2832" w14:paraId="18CE3FB7" w14:textId="77777777" w:rsidTr="00D20A88">
        <w:trPr>
          <w:jc w:val="center"/>
        </w:trPr>
        <w:tc>
          <w:tcPr>
            <w:tcW w:w="2752" w:type="dxa"/>
            <w:vAlign w:val="center"/>
          </w:tcPr>
          <w:p w14:paraId="56A0EC7F" w14:textId="77777777" w:rsidR="00D20A88" w:rsidRPr="00764A4C" w:rsidRDefault="00D20A88" w:rsidP="00FA5034">
            <w:pPr>
              <w:spacing w:before="60" w:after="60"/>
              <w:jc w:val="both"/>
              <w:rPr>
                <w:rFonts w:cs="Arial"/>
                <w:sz w:val="18"/>
                <w:szCs w:val="18"/>
                <w:lang w:val="de-DE" w:eastAsia="fr-FR"/>
              </w:rPr>
            </w:pPr>
          </w:p>
        </w:tc>
        <w:tc>
          <w:tcPr>
            <w:tcW w:w="2911" w:type="dxa"/>
            <w:vAlign w:val="center"/>
          </w:tcPr>
          <w:p w14:paraId="769D9774" w14:textId="77777777" w:rsidR="00D20A88" w:rsidRPr="00764A4C" w:rsidRDefault="00D20A88" w:rsidP="00FA5034">
            <w:pPr>
              <w:spacing w:before="60" w:after="60"/>
              <w:jc w:val="both"/>
              <w:rPr>
                <w:rFonts w:cs="Arial"/>
                <w:sz w:val="18"/>
                <w:szCs w:val="18"/>
                <w:lang w:val="de-DE" w:eastAsia="fr-FR"/>
              </w:rPr>
            </w:pPr>
          </w:p>
        </w:tc>
        <w:tc>
          <w:tcPr>
            <w:tcW w:w="2735" w:type="dxa"/>
            <w:vAlign w:val="center"/>
          </w:tcPr>
          <w:p w14:paraId="16C83CBF"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Siedepunkt &gt; 115 °C</w:t>
            </w:r>
          </w:p>
        </w:tc>
        <w:tc>
          <w:tcPr>
            <w:tcW w:w="2559" w:type="dxa"/>
          </w:tcPr>
          <w:p w14:paraId="1ACF2BC1"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 xml:space="preserve">Mit Öffnungsdruck </w:t>
            </w:r>
            <w:r w:rsidRPr="0021269D">
              <w:rPr>
                <w:rFonts w:cs="Arial"/>
                <w:sz w:val="18"/>
                <w:szCs w:val="18"/>
                <w:lang w:val="de-DE" w:eastAsia="fr-FR"/>
              </w:rPr>
              <w:t>Überdruck-/Hochgeschwindigkeitsventil</w:t>
            </w:r>
            <w:r w:rsidRPr="0021269D" w:rsidDel="0021269D">
              <w:rPr>
                <w:rFonts w:cs="Arial"/>
                <w:sz w:val="18"/>
                <w:szCs w:val="18"/>
                <w:lang w:val="de-DE" w:eastAsia="fr-FR"/>
              </w:rPr>
              <w:t xml:space="preserve"> </w:t>
            </w:r>
            <w:r w:rsidRPr="00764A4C">
              <w:rPr>
                <w:rFonts w:cs="Arial"/>
                <w:sz w:val="18"/>
                <w:szCs w:val="18"/>
                <w:lang w:val="de-DE" w:eastAsia="fr-FR"/>
              </w:rPr>
              <w:t>35 kPa</w:t>
            </w:r>
          </w:p>
        </w:tc>
      </w:tr>
    </w:tbl>
    <w:p w14:paraId="3B6F1697" w14:textId="77777777" w:rsidR="00FE3B3E" w:rsidRDefault="00FE3B3E" w:rsidP="00FA5034">
      <w:pPr>
        <w:tabs>
          <w:tab w:val="left" w:pos="0"/>
        </w:tabs>
        <w:jc w:val="both"/>
        <w:rPr>
          <w:rFonts w:cs="Arial"/>
          <w:b/>
          <w:sz w:val="18"/>
          <w:szCs w:val="18"/>
          <w:lang w:val="de-DE" w:eastAsia="de-DE"/>
        </w:rPr>
      </w:pPr>
    </w:p>
    <w:p w14:paraId="4F081F97" w14:textId="77777777" w:rsidR="00D20A88" w:rsidRDefault="00FE3B3E" w:rsidP="00FA5034">
      <w:pPr>
        <w:tabs>
          <w:tab w:val="left" w:pos="0"/>
        </w:tabs>
        <w:spacing w:after="120"/>
        <w:jc w:val="both"/>
        <w:rPr>
          <w:rFonts w:cs="Arial"/>
          <w:b/>
          <w:sz w:val="18"/>
          <w:szCs w:val="18"/>
          <w:lang w:val="de-DE" w:eastAsia="de-DE"/>
        </w:rPr>
      </w:pPr>
      <w:r>
        <w:rPr>
          <w:rFonts w:cs="Arial"/>
          <w:b/>
          <w:sz w:val="18"/>
          <w:szCs w:val="18"/>
          <w:lang w:val="de-DE" w:eastAsia="de-DE"/>
        </w:rPr>
        <w:br w:type="page"/>
      </w:r>
    </w:p>
    <w:p w14:paraId="05B0C784" w14:textId="77777777" w:rsidR="00D20A88" w:rsidRPr="00155839" w:rsidRDefault="006A4DD6" w:rsidP="00FA5034">
      <w:pPr>
        <w:spacing w:after="0"/>
        <w:ind w:right="567"/>
        <w:jc w:val="both"/>
        <w:rPr>
          <w:bCs/>
          <w:sz w:val="20"/>
          <w:lang w:val="de-DE"/>
        </w:rPr>
      </w:pPr>
      <w:r w:rsidRPr="00155839">
        <w:rPr>
          <w:bCs/>
          <w:sz w:val="20"/>
          <w:lang w:val="de-DE"/>
        </w:rPr>
        <w:lastRenderedPageBreak/>
        <w:t>4</w:t>
      </w:r>
      <w:r w:rsidR="0079303F" w:rsidRPr="00155839">
        <w:rPr>
          <w:bCs/>
          <w:sz w:val="20"/>
          <w:lang w:val="de-DE"/>
        </w:rPr>
        <w:t>1</w:t>
      </w:r>
      <w:r w:rsidR="00D20A88" w:rsidRPr="00155839">
        <w:rPr>
          <w:bCs/>
          <w:sz w:val="20"/>
          <w:lang w:val="de-DE"/>
        </w:rPr>
        <w:t>.</w:t>
      </w:r>
      <w:r w:rsidR="00D20A88" w:rsidRPr="00155839">
        <w:rPr>
          <w:bCs/>
          <w:sz w:val="20"/>
          <w:lang w:val="de-DE"/>
        </w:rPr>
        <w:tab/>
        <w:t>Schema B ändern, sodass es wie folgt lautet:</w:t>
      </w:r>
    </w:p>
    <w:p w14:paraId="69E2B664" w14:textId="77777777" w:rsidR="00D20A88" w:rsidRPr="00155839" w:rsidRDefault="00D20A88" w:rsidP="00FA5034">
      <w:pPr>
        <w:spacing w:after="0"/>
        <w:ind w:right="567"/>
        <w:jc w:val="both"/>
        <w:rPr>
          <w:bCs/>
          <w:sz w:val="20"/>
          <w:lang w:val="de-DE"/>
        </w:rPr>
      </w:pPr>
    </w:p>
    <w:p w14:paraId="397C174F" w14:textId="77777777" w:rsidR="00FE3B3E" w:rsidRPr="00E62169" w:rsidRDefault="00D20A88" w:rsidP="00FA5034">
      <w:pPr>
        <w:tabs>
          <w:tab w:val="left" w:pos="0"/>
        </w:tabs>
        <w:spacing w:after="0"/>
        <w:jc w:val="both"/>
        <w:rPr>
          <w:rFonts w:cs="Arial"/>
          <w:b/>
          <w:szCs w:val="24"/>
          <w:lang w:val="de-DE" w:eastAsia="de-DE"/>
        </w:rPr>
      </w:pPr>
      <w:r w:rsidRPr="00E62169">
        <w:rPr>
          <w:rFonts w:cs="Arial"/>
          <w:b/>
          <w:szCs w:val="24"/>
          <w:lang w:val="de-DE" w:eastAsia="de-DE"/>
        </w:rPr>
        <w:t>„</w:t>
      </w:r>
      <w:r w:rsidR="00FE3B3E" w:rsidRPr="00E62169">
        <w:rPr>
          <w:rFonts w:cs="Arial"/>
          <w:b/>
          <w:szCs w:val="24"/>
          <w:lang w:val="de-DE" w:eastAsia="de-DE"/>
        </w:rPr>
        <w:t>Schema B: Kriterien für die Ladetankausrüstung von N-Schiffen mit geschlossenen Ladetanks</w:t>
      </w:r>
    </w:p>
    <w:p w14:paraId="68970AA3" w14:textId="77777777" w:rsidR="00D20A88" w:rsidRPr="00155839" w:rsidRDefault="00D20A88" w:rsidP="00FA5034">
      <w:pPr>
        <w:tabs>
          <w:tab w:val="left" w:pos="0"/>
        </w:tabs>
        <w:spacing w:after="0"/>
        <w:jc w:val="both"/>
        <w:rPr>
          <w:rFonts w:cs="Arial"/>
          <w:b/>
          <w:sz w:val="20"/>
          <w:lang w:val="de-DE" w:eastAsia="de-DE"/>
        </w:rPr>
      </w:pPr>
    </w:p>
    <w:p w14:paraId="0580005C" w14:textId="77777777" w:rsidR="00D20A88" w:rsidRPr="00155839" w:rsidRDefault="00D20A88" w:rsidP="00FA5034">
      <w:pPr>
        <w:tabs>
          <w:tab w:val="left" w:pos="0"/>
        </w:tabs>
        <w:spacing w:after="40"/>
        <w:jc w:val="both"/>
        <w:rPr>
          <w:rFonts w:cs="Arial"/>
          <w:sz w:val="20"/>
          <w:lang w:val="de-DE" w:eastAsia="de-DE"/>
        </w:rPr>
      </w:pPr>
      <w:r w:rsidRPr="00155839">
        <w:rPr>
          <w:rFonts w:cs="Arial"/>
          <w:sz w:val="20"/>
          <w:lang w:val="de-DE" w:eastAsia="de-DE"/>
        </w:rPr>
        <w:t>Feststellen</w:t>
      </w:r>
      <w:r w:rsidR="00791FFD" w:rsidRPr="00155839">
        <w:rPr>
          <w:rFonts w:cs="Arial"/>
          <w:sz w:val="20"/>
          <w:lang w:val="de-DE" w:eastAsia="de-DE"/>
        </w:rPr>
        <w:t>,</w:t>
      </w:r>
      <w:r w:rsidRPr="00155839">
        <w:rPr>
          <w:rFonts w:cs="Arial"/>
          <w:sz w:val="20"/>
          <w:lang w:val="de-DE" w:eastAsia="de-DE"/>
        </w:rPr>
        <w:t xml:space="preserve"> welche Stoffeigenschaften aus den ersten sechs Spalten relevant sind. In der relevanten Spalte die anwendbare Zeile auswählen. In dieser Zeile sind dann in der siebten Spalte die sich ergebenden </w:t>
      </w:r>
      <w:r w:rsidR="00791FFD" w:rsidRPr="00155839">
        <w:rPr>
          <w:rFonts w:cs="Arial"/>
          <w:sz w:val="20"/>
          <w:lang w:val="de-DE" w:eastAsia="de-DE"/>
        </w:rPr>
        <w:t>Anforderungen</w:t>
      </w:r>
      <w:r w:rsidRPr="00155839">
        <w:rPr>
          <w:rFonts w:cs="Arial"/>
          <w:sz w:val="20"/>
          <w:lang w:val="de-DE" w:eastAsia="de-DE"/>
        </w:rPr>
        <w:t xml:space="preserve"> für die Ladetankausrüstung in N-Schiffen mit geschlossenen Ladetanks dargestellt.</w:t>
      </w:r>
    </w:p>
    <w:p w14:paraId="1A9A878A" w14:textId="77777777" w:rsidR="00D20A88" w:rsidRPr="00155839" w:rsidRDefault="00D20A88" w:rsidP="00FA5034">
      <w:pPr>
        <w:tabs>
          <w:tab w:val="left" w:pos="0"/>
        </w:tabs>
        <w:spacing w:after="0"/>
        <w:jc w:val="both"/>
        <w:rPr>
          <w:rFonts w:cs="Arial"/>
          <w:b/>
          <w:sz w:val="20"/>
          <w:lang w:val="de-DE" w:eastAsia="de-DE"/>
        </w:rPr>
      </w:pPr>
    </w:p>
    <w:tbl>
      <w:tblP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4"/>
        <w:gridCol w:w="2294"/>
        <w:gridCol w:w="2340"/>
        <w:gridCol w:w="1440"/>
        <w:gridCol w:w="1844"/>
        <w:gridCol w:w="2425"/>
        <w:gridCol w:w="2425"/>
      </w:tblGrid>
      <w:tr w:rsidR="00D20A88" w:rsidRPr="00764A4C" w14:paraId="1AABD8E3" w14:textId="77777777" w:rsidTr="00B369D3">
        <w:trPr>
          <w:cantSplit/>
          <w:tblHeader/>
        </w:trPr>
        <w:tc>
          <w:tcPr>
            <w:tcW w:w="12697" w:type="dxa"/>
            <w:gridSpan w:val="6"/>
            <w:vAlign w:val="center"/>
          </w:tcPr>
          <w:p w14:paraId="354E82DD" w14:textId="77777777" w:rsidR="00D20A88" w:rsidRPr="00764A4C" w:rsidRDefault="0000657B" w:rsidP="004547E6">
            <w:pPr>
              <w:spacing w:before="60" w:after="60"/>
              <w:rPr>
                <w:rFonts w:cs="Arial"/>
                <w:sz w:val="18"/>
                <w:szCs w:val="18"/>
                <w:lang w:val="de-DE" w:eastAsia="fr-FR"/>
              </w:rPr>
            </w:pPr>
            <w:r>
              <w:rPr>
                <w:rFonts w:cs="Arial"/>
                <w:sz w:val="18"/>
                <w:szCs w:val="18"/>
                <w:lang w:val="de-DE" w:eastAsia="de-DE"/>
              </w:rPr>
              <w:t>Stoffeigenschaften</w:t>
            </w:r>
          </w:p>
        </w:tc>
        <w:tc>
          <w:tcPr>
            <w:tcW w:w="2425" w:type="dxa"/>
          </w:tcPr>
          <w:p w14:paraId="1FFF27F0" w14:textId="77777777" w:rsidR="00D20A88" w:rsidRPr="00764A4C" w:rsidRDefault="0000657B" w:rsidP="004547E6">
            <w:pPr>
              <w:spacing w:before="60" w:after="60"/>
              <w:rPr>
                <w:rFonts w:cs="Arial"/>
                <w:sz w:val="18"/>
                <w:szCs w:val="18"/>
                <w:lang w:val="de-DE" w:eastAsia="fr-FR"/>
              </w:rPr>
            </w:pPr>
            <w:r>
              <w:rPr>
                <w:rFonts w:cs="Arial"/>
                <w:sz w:val="18"/>
                <w:szCs w:val="18"/>
                <w:lang w:val="de-DE" w:eastAsia="de-DE"/>
              </w:rPr>
              <w:t>sich ergebenden Anforderungen</w:t>
            </w:r>
          </w:p>
        </w:tc>
      </w:tr>
      <w:tr w:rsidR="00D20A88" w:rsidRPr="00764A4C" w14:paraId="4C12D85D" w14:textId="77777777" w:rsidTr="00D20A88">
        <w:trPr>
          <w:cantSplit/>
          <w:tblHeader/>
        </w:trPr>
        <w:tc>
          <w:tcPr>
            <w:tcW w:w="8428" w:type="dxa"/>
            <w:gridSpan w:val="4"/>
            <w:vAlign w:val="center"/>
          </w:tcPr>
          <w:p w14:paraId="4DAC46DE"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Klasse 3, Flammpunkt &lt; 23 °C</w:t>
            </w:r>
          </w:p>
        </w:tc>
        <w:tc>
          <w:tcPr>
            <w:tcW w:w="1844" w:type="dxa"/>
            <w:vAlign w:val="center"/>
          </w:tcPr>
          <w:p w14:paraId="65279AA6"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Ätzende Stoffe</w:t>
            </w:r>
          </w:p>
        </w:tc>
        <w:tc>
          <w:tcPr>
            <w:tcW w:w="2425" w:type="dxa"/>
            <w:vAlign w:val="center"/>
          </w:tcPr>
          <w:p w14:paraId="3B64B0A4"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CMR-Stoffe</w:t>
            </w:r>
          </w:p>
        </w:tc>
        <w:tc>
          <w:tcPr>
            <w:tcW w:w="2425" w:type="dxa"/>
          </w:tcPr>
          <w:p w14:paraId="20D9515B"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Ladetankausrüstung</w:t>
            </w:r>
          </w:p>
        </w:tc>
      </w:tr>
      <w:tr w:rsidR="00D20A88" w:rsidRPr="00764A4C" w14:paraId="2155E162" w14:textId="77777777" w:rsidTr="00D20A88">
        <w:tc>
          <w:tcPr>
            <w:tcW w:w="2354" w:type="dxa"/>
            <w:vAlign w:val="center"/>
          </w:tcPr>
          <w:p w14:paraId="0A034C7E"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 xml:space="preserve">175 kPa </w:t>
            </w:r>
            <w:r w:rsidRPr="00764A4C">
              <w:rPr>
                <w:rFonts w:cs="Arial"/>
                <w:sz w:val="18"/>
                <w:szCs w:val="18"/>
                <w:lang w:val="de-DE" w:eastAsia="fr-FR"/>
              </w:rPr>
              <w:sym w:font="Symbol" w:char="F0A3"/>
            </w:r>
            <w:r w:rsidRPr="00764A4C">
              <w:rPr>
                <w:rFonts w:cs="Arial"/>
                <w:sz w:val="18"/>
                <w:szCs w:val="18"/>
                <w:lang w:val="de-DE" w:eastAsia="fr-FR"/>
              </w:rPr>
              <w:t xml:space="preserve"> </w:t>
            </w:r>
            <w:proofErr w:type="spellStart"/>
            <w:r w:rsidRPr="00764A4C">
              <w:rPr>
                <w:rFonts w:cs="Arial"/>
                <w:sz w:val="18"/>
                <w:szCs w:val="18"/>
                <w:lang w:val="de-DE" w:eastAsia="fr-FR"/>
              </w:rPr>
              <w:t>P</w:t>
            </w:r>
            <w:r w:rsidRPr="00764A4C">
              <w:rPr>
                <w:rFonts w:cs="Arial"/>
                <w:sz w:val="18"/>
                <w:szCs w:val="18"/>
                <w:vertAlign w:val="subscript"/>
                <w:lang w:val="de-DE" w:eastAsia="fr-FR"/>
              </w:rPr>
              <w:t>d</w:t>
            </w:r>
            <w:proofErr w:type="spellEnd"/>
            <w:r w:rsidRPr="00764A4C">
              <w:rPr>
                <w:rFonts w:cs="Arial"/>
                <w:sz w:val="18"/>
                <w:szCs w:val="18"/>
                <w:vertAlign w:val="subscript"/>
                <w:lang w:val="de-DE" w:eastAsia="fr-FR"/>
              </w:rPr>
              <w:t xml:space="preserve"> 50 </w:t>
            </w:r>
            <w:r w:rsidRPr="00764A4C">
              <w:rPr>
                <w:rFonts w:cs="Arial"/>
                <w:sz w:val="18"/>
                <w:szCs w:val="18"/>
                <w:lang w:val="de-DE" w:eastAsia="fr-FR"/>
              </w:rPr>
              <w:t>&lt; 300 kPa, ohne Kühlung</w:t>
            </w:r>
          </w:p>
        </w:tc>
        <w:tc>
          <w:tcPr>
            <w:tcW w:w="2294" w:type="dxa"/>
            <w:vAlign w:val="center"/>
          </w:tcPr>
          <w:p w14:paraId="3B9A360C" w14:textId="77777777" w:rsidR="00D20A88" w:rsidRPr="00764A4C" w:rsidRDefault="00D20A88" w:rsidP="00FA5034">
            <w:pPr>
              <w:spacing w:before="60" w:after="60"/>
              <w:jc w:val="both"/>
              <w:rPr>
                <w:rFonts w:cs="Arial"/>
                <w:sz w:val="18"/>
                <w:szCs w:val="18"/>
                <w:lang w:val="de-DE" w:eastAsia="fr-FR"/>
              </w:rPr>
            </w:pPr>
          </w:p>
        </w:tc>
        <w:tc>
          <w:tcPr>
            <w:tcW w:w="2340" w:type="dxa"/>
            <w:vAlign w:val="center"/>
          </w:tcPr>
          <w:p w14:paraId="26182DA6" w14:textId="77777777" w:rsidR="00D20A88" w:rsidRPr="00764A4C" w:rsidRDefault="00D20A88" w:rsidP="00FA5034">
            <w:pPr>
              <w:spacing w:before="60" w:after="60"/>
              <w:jc w:val="both"/>
              <w:rPr>
                <w:rFonts w:cs="Arial"/>
                <w:sz w:val="18"/>
                <w:szCs w:val="18"/>
                <w:lang w:val="de-DE" w:eastAsia="fr-FR"/>
              </w:rPr>
            </w:pPr>
          </w:p>
        </w:tc>
        <w:tc>
          <w:tcPr>
            <w:tcW w:w="1440" w:type="dxa"/>
            <w:vAlign w:val="center"/>
          </w:tcPr>
          <w:p w14:paraId="089BF121" w14:textId="77777777" w:rsidR="00D20A88" w:rsidRPr="00764A4C" w:rsidRDefault="00D20A88" w:rsidP="00FA5034">
            <w:pPr>
              <w:spacing w:before="60" w:after="60"/>
              <w:jc w:val="both"/>
              <w:rPr>
                <w:rFonts w:cs="Arial"/>
                <w:sz w:val="18"/>
                <w:szCs w:val="18"/>
                <w:lang w:val="de-DE" w:eastAsia="fr-FR"/>
              </w:rPr>
            </w:pPr>
          </w:p>
        </w:tc>
        <w:tc>
          <w:tcPr>
            <w:tcW w:w="1844" w:type="dxa"/>
          </w:tcPr>
          <w:p w14:paraId="617E3ED3" w14:textId="77777777" w:rsidR="00D20A88" w:rsidRPr="00764A4C" w:rsidRDefault="00D20A88" w:rsidP="00FA5034">
            <w:pPr>
              <w:spacing w:before="60" w:after="60"/>
              <w:jc w:val="both"/>
              <w:rPr>
                <w:rFonts w:cs="Arial"/>
                <w:sz w:val="18"/>
                <w:szCs w:val="18"/>
                <w:lang w:val="de-DE" w:eastAsia="fr-FR"/>
              </w:rPr>
            </w:pPr>
          </w:p>
        </w:tc>
        <w:tc>
          <w:tcPr>
            <w:tcW w:w="2425" w:type="dxa"/>
          </w:tcPr>
          <w:p w14:paraId="433D1B90" w14:textId="77777777" w:rsidR="00D20A88" w:rsidRPr="00764A4C" w:rsidRDefault="00D20A88" w:rsidP="00FA5034">
            <w:pPr>
              <w:spacing w:before="60" w:after="60"/>
              <w:jc w:val="both"/>
              <w:rPr>
                <w:rFonts w:cs="Arial"/>
                <w:sz w:val="18"/>
                <w:szCs w:val="18"/>
                <w:lang w:val="de-DE" w:eastAsia="fr-FR"/>
              </w:rPr>
            </w:pPr>
          </w:p>
        </w:tc>
        <w:tc>
          <w:tcPr>
            <w:tcW w:w="2425" w:type="dxa"/>
            <w:vAlign w:val="center"/>
          </w:tcPr>
          <w:p w14:paraId="1A574745" w14:textId="77777777" w:rsidR="00D20A88" w:rsidRPr="00764A4C" w:rsidRDefault="00D20A88" w:rsidP="00FA5034">
            <w:pPr>
              <w:spacing w:before="60" w:after="60"/>
              <w:jc w:val="both"/>
              <w:rPr>
                <w:rFonts w:cs="Arial"/>
                <w:sz w:val="18"/>
                <w:szCs w:val="18"/>
                <w:lang w:val="de-DE" w:eastAsia="fr-FR"/>
              </w:rPr>
            </w:pPr>
            <w:r w:rsidRPr="00764A4C">
              <w:rPr>
                <w:rFonts w:cs="Arial"/>
                <w:sz w:val="18"/>
                <w:szCs w:val="18"/>
                <w:lang w:val="de-DE" w:eastAsia="fr-FR"/>
              </w:rPr>
              <w:t>Drucktank (400 kPa)</w:t>
            </w:r>
          </w:p>
        </w:tc>
      </w:tr>
      <w:tr w:rsidR="00D20A88" w:rsidRPr="00D93C93" w14:paraId="18701AF5" w14:textId="77777777" w:rsidTr="00D20A88">
        <w:trPr>
          <w:cantSplit/>
        </w:trPr>
        <w:tc>
          <w:tcPr>
            <w:tcW w:w="2354" w:type="dxa"/>
            <w:vAlign w:val="center"/>
          </w:tcPr>
          <w:p w14:paraId="76B432BB" w14:textId="77777777" w:rsidR="00D20A88" w:rsidRPr="00764A4C" w:rsidRDefault="00D20A88" w:rsidP="004547E6">
            <w:pPr>
              <w:spacing w:before="60" w:after="60"/>
              <w:rPr>
                <w:rFonts w:cs="Arial"/>
                <w:sz w:val="18"/>
                <w:szCs w:val="18"/>
                <w:lang w:val="de-DE" w:eastAsia="fr-FR"/>
              </w:rPr>
            </w:pPr>
            <w:r w:rsidRPr="00764A4C">
              <w:rPr>
                <w:rFonts w:cs="Arial"/>
                <w:sz w:val="18"/>
                <w:szCs w:val="18"/>
                <w:lang w:val="de-DE" w:eastAsia="fr-FR"/>
              </w:rPr>
              <w:t xml:space="preserve">175 kPa </w:t>
            </w:r>
            <w:r w:rsidRPr="00764A4C">
              <w:rPr>
                <w:rFonts w:cs="Arial"/>
                <w:sz w:val="18"/>
                <w:szCs w:val="18"/>
                <w:lang w:val="de-DE" w:eastAsia="fr-FR"/>
              </w:rPr>
              <w:sym w:font="Symbol" w:char="F0A3"/>
            </w:r>
            <w:r w:rsidRPr="00764A4C">
              <w:rPr>
                <w:rFonts w:cs="Arial"/>
                <w:sz w:val="18"/>
                <w:szCs w:val="18"/>
                <w:lang w:val="de-DE" w:eastAsia="fr-FR"/>
              </w:rPr>
              <w:t xml:space="preserve"> </w:t>
            </w:r>
            <w:proofErr w:type="spellStart"/>
            <w:r w:rsidRPr="00764A4C">
              <w:rPr>
                <w:rFonts w:cs="Arial"/>
                <w:sz w:val="18"/>
                <w:szCs w:val="18"/>
                <w:lang w:val="de-DE" w:eastAsia="fr-FR"/>
              </w:rPr>
              <w:t>P</w:t>
            </w:r>
            <w:r w:rsidRPr="00764A4C">
              <w:rPr>
                <w:rFonts w:cs="Arial"/>
                <w:sz w:val="18"/>
                <w:szCs w:val="18"/>
                <w:vertAlign w:val="subscript"/>
                <w:lang w:val="de-DE" w:eastAsia="fr-FR"/>
              </w:rPr>
              <w:t>d</w:t>
            </w:r>
            <w:proofErr w:type="spellEnd"/>
            <w:r w:rsidRPr="00764A4C">
              <w:rPr>
                <w:rFonts w:cs="Arial"/>
                <w:sz w:val="18"/>
                <w:szCs w:val="18"/>
                <w:vertAlign w:val="subscript"/>
                <w:lang w:val="de-DE" w:eastAsia="fr-FR"/>
              </w:rPr>
              <w:t xml:space="preserve"> 50</w:t>
            </w:r>
            <w:r w:rsidRPr="00764A4C">
              <w:rPr>
                <w:rFonts w:cs="Arial"/>
                <w:sz w:val="18"/>
                <w:szCs w:val="18"/>
                <w:lang w:val="de-DE" w:eastAsia="fr-FR"/>
              </w:rPr>
              <w:t xml:space="preserve"> &lt; 300 kPa, mit Kühlung</w:t>
            </w:r>
            <w:r>
              <w:rPr>
                <w:rFonts w:cs="Arial"/>
                <w:sz w:val="18"/>
                <w:szCs w:val="18"/>
                <w:lang w:val="de-DE" w:eastAsia="fr-FR"/>
              </w:rPr>
              <w:br/>
            </w:r>
            <w:r w:rsidRPr="00764A4C">
              <w:rPr>
                <w:rFonts w:cs="Arial"/>
                <w:sz w:val="18"/>
                <w:szCs w:val="18"/>
                <w:lang w:val="de-DE" w:eastAsia="fr-FR"/>
              </w:rPr>
              <w:t xml:space="preserve">(Ziffer 1 in Spalte </w:t>
            </w:r>
            <w:r>
              <w:rPr>
                <w:rFonts w:cs="Arial"/>
                <w:sz w:val="18"/>
                <w:szCs w:val="18"/>
                <w:lang w:val="de-DE" w:eastAsia="fr-FR"/>
              </w:rPr>
              <w:t>(</w:t>
            </w:r>
            <w:r w:rsidRPr="00764A4C">
              <w:rPr>
                <w:rFonts w:cs="Arial"/>
                <w:sz w:val="18"/>
                <w:szCs w:val="18"/>
                <w:lang w:val="de-DE" w:eastAsia="fr-FR"/>
              </w:rPr>
              <w:t>9</w:t>
            </w:r>
            <w:r>
              <w:rPr>
                <w:rFonts w:cs="Arial"/>
                <w:sz w:val="18"/>
                <w:szCs w:val="18"/>
                <w:lang w:val="de-DE" w:eastAsia="fr-FR"/>
              </w:rPr>
              <w:t>)</w:t>
            </w:r>
            <w:r w:rsidRPr="00764A4C">
              <w:rPr>
                <w:rFonts w:cs="Arial"/>
                <w:sz w:val="18"/>
                <w:szCs w:val="18"/>
                <w:lang w:val="de-DE" w:eastAsia="fr-FR"/>
              </w:rPr>
              <w:t>)</w:t>
            </w:r>
          </w:p>
        </w:tc>
        <w:tc>
          <w:tcPr>
            <w:tcW w:w="2294" w:type="dxa"/>
            <w:vAlign w:val="center"/>
          </w:tcPr>
          <w:p w14:paraId="7A0B30BB" w14:textId="77777777" w:rsidR="00D20A88" w:rsidRPr="00764A4C" w:rsidRDefault="00D20A88" w:rsidP="004547E6">
            <w:pPr>
              <w:spacing w:before="60" w:after="60"/>
              <w:rPr>
                <w:rFonts w:cs="Arial"/>
                <w:sz w:val="18"/>
                <w:szCs w:val="18"/>
                <w:lang w:val="de-DE" w:eastAsia="fr-FR"/>
              </w:rPr>
            </w:pPr>
            <w:r w:rsidRPr="00764A4C">
              <w:rPr>
                <w:rFonts w:cs="Arial"/>
                <w:sz w:val="18"/>
                <w:szCs w:val="18"/>
                <w:lang w:val="de-DE" w:eastAsia="fr-FR"/>
              </w:rPr>
              <w:t xml:space="preserve">110 kPa </w:t>
            </w:r>
            <w:r w:rsidRPr="00764A4C">
              <w:rPr>
                <w:rFonts w:cs="Arial"/>
                <w:sz w:val="18"/>
                <w:szCs w:val="18"/>
                <w:lang w:val="de-DE" w:eastAsia="fr-FR"/>
              </w:rPr>
              <w:sym w:font="Symbol" w:char="F0A3"/>
            </w:r>
            <w:r w:rsidRPr="00764A4C">
              <w:rPr>
                <w:rFonts w:cs="Arial"/>
                <w:sz w:val="18"/>
                <w:szCs w:val="18"/>
                <w:lang w:val="de-DE" w:eastAsia="fr-FR"/>
              </w:rPr>
              <w:t xml:space="preserve"> </w:t>
            </w:r>
            <w:proofErr w:type="spellStart"/>
            <w:r w:rsidRPr="00764A4C">
              <w:rPr>
                <w:rFonts w:cs="Arial"/>
                <w:sz w:val="18"/>
                <w:szCs w:val="18"/>
                <w:lang w:val="de-DE" w:eastAsia="fr-FR"/>
              </w:rPr>
              <w:t>P</w:t>
            </w:r>
            <w:r w:rsidRPr="00764A4C">
              <w:rPr>
                <w:rFonts w:cs="Arial"/>
                <w:sz w:val="18"/>
                <w:szCs w:val="18"/>
                <w:vertAlign w:val="subscript"/>
                <w:lang w:val="de-DE" w:eastAsia="fr-FR"/>
              </w:rPr>
              <w:t>d</w:t>
            </w:r>
            <w:proofErr w:type="spellEnd"/>
            <w:r w:rsidRPr="00764A4C">
              <w:rPr>
                <w:rFonts w:cs="Arial"/>
                <w:sz w:val="18"/>
                <w:szCs w:val="18"/>
                <w:vertAlign w:val="subscript"/>
                <w:lang w:val="de-DE" w:eastAsia="fr-FR"/>
              </w:rPr>
              <w:t xml:space="preserve"> 50 </w:t>
            </w:r>
            <w:r w:rsidRPr="00764A4C">
              <w:rPr>
                <w:rFonts w:cs="Arial"/>
                <w:sz w:val="18"/>
                <w:szCs w:val="18"/>
                <w:lang w:val="de-DE" w:eastAsia="fr-FR"/>
              </w:rPr>
              <w:t>&lt; 175 kPa, ohne Berieselung</w:t>
            </w:r>
          </w:p>
        </w:tc>
        <w:tc>
          <w:tcPr>
            <w:tcW w:w="2340" w:type="dxa"/>
            <w:vAlign w:val="center"/>
          </w:tcPr>
          <w:p w14:paraId="1A597F6E" w14:textId="77777777" w:rsidR="00D20A88" w:rsidRPr="00764A4C" w:rsidRDefault="00D20A88" w:rsidP="004547E6">
            <w:pPr>
              <w:spacing w:before="60" w:after="60"/>
              <w:rPr>
                <w:rFonts w:cs="Arial"/>
                <w:sz w:val="18"/>
                <w:szCs w:val="18"/>
                <w:lang w:val="de-DE" w:eastAsia="fr-FR"/>
              </w:rPr>
            </w:pPr>
          </w:p>
        </w:tc>
        <w:tc>
          <w:tcPr>
            <w:tcW w:w="1440" w:type="dxa"/>
            <w:vAlign w:val="center"/>
          </w:tcPr>
          <w:p w14:paraId="767A5E6C" w14:textId="77777777" w:rsidR="00D20A88" w:rsidRPr="00764A4C" w:rsidRDefault="00D20A88" w:rsidP="004547E6">
            <w:pPr>
              <w:spacing w:before="60" w:after="60"/>
              <w:rPr>
                <w:rFonts w:cs="Arial"/>
                <w:sz w:val="18"/>
                <w:szCs w:val="18"/>
                <w:lang w:val="de-DE" w:eastAsia="fr-FR"/>
              </w:rPr>
            </w:pPr>
          </w:p>
        </w:tc>
        <w:tc>
          <w:tcPr>
            <w:tcW w:w="1844" w:type="dxa"/>
          </w:tcPr>
          <w:p w14:paraId="4F854FAB" w14:textId="77777777" w:rsidR="00D20A88" w:rsidRPr="00764A4C" w:rsidRDefault="00D20A88" w:rsidP="004547E6">
            <w:pPr>
              <w:spacing w:before="60" w:after="60"/>
              <w:rPr>
                <w:rFonts w:cs="Arial"/>
                <w:sz w:val="18"/>
                <w:szCs w:val="18"/>
                <w:lang w:val="de-DE" w:eastAsia="fr-FR"/>
              </w:rPr>
            </w:pPr>
          </w:p>
        </w:tc>
        <w:tc>
          <w:tcPr>
            <w:tcW w:w="2425" w:type="dxa"/>
            <w:vAlign w:val="center"/>
          </w:tcPr>
          <w:p w14:paraId="484E2578" w14:textId="77777777" w:rsidR="00D20A88" w:rsidRPr="00764A4C" w:rsidRDefault="00D20A88" w:rsidP="004547E6">
            <w:pPr>
              <w:spacing w:before="60" w:after="60"/>
              <w:rPr>
                <w:rFonts w:cs="Arial"/>
                <w:sz w:val="18"/>
                <w:szCs w:val="18"/>
                <w:lang w:val="de-DE" w:eastAsia="fr-FR"/>
              </w:rPr>
            </w:pPr>
          </w:p>
        </w:tc>
        <w:tc>
          <w:tcPr>
            <w:tcW w:w="2425" w:type="dxa"/>
          </w:tcPr>
          <w:p w14:paraId="790037F8" w14:textId="77777777" w:rsidR="00D20A88" w:rsidRPr="00764A4C" w:rsidRDefault="00D20A88" w:rsidP="004547E6">
            <w:pPr>
              <w:spacing w:before="60" w:after="60"/>
              <w:rPr>
                <w:rFonts w:cs="Arial"/>
                <w:sz w:val="18"/>
                <w:szCs w:val="18"/>
                <w:lang w:val="de-DE" w:eastAsia="fr-FR"/>
              </w:rPr>
            </w:pPr>
            <w:r w:rsidRPr="00764A4C">
              <w:rPr>
                <w:rFonts w:cs="Arial"/>
                <w:sz w:val="18"/>
                <w:szCs w:val="18"/>
                <w:lang w:val="de-DE" w:eastAsia="fr-FR"/>
              </w:rPr>
              <w:t xml:space="preserve">Mit Öffnungsdruck </w:t>
            </w:r>
            <w:r w:rsidRPr="0021269D">
              <w:rPr>
                <w:rFonts w:cs="Arial"/>
                <w:sz w:val="18"/>
                <w:szCs w:val="18"/>
                <w:lang w:val="de-DE" w:eastAsia="fr-FR"/>
              </w:rPr>
              <w:t>Überdruck-/Hochgeschwindigkeitsventil</w:t>
            </w:r>
            <w:r w:rsidRPr="0021269D" w:rsidDel="0021269D">
              <w:rPr>
                <w:rFonts w:cs="Arial"/>
                <w:sz w:val="18"/>
                <w:szCs w:val="18"/>
                <w:lang w:val="de-DE" w:eastAsia="fr-FR"/>
              </w:rPr>
              <w:t xml:space="preserve"> </w:t>
            </w:r>
            <w:r w:rsidRPr="00764A4C">
              <w:rPr>
                <w:rFonts w:cs="Arial"/>
                <w:sz w:val="18"/>
                <w:szCs w:val="18"/>
                <w:lang w:val="de-DE" w:eastAsia="fr-FR"/>
              </w:rPr>
              <w:t>50 kPa</w:t>
            </w:r>
            <w:r w:rsidR="00E30068">
              <w:rPr>
                <w:rFonts w:cs="Arial"/>
                <w:sz w:val="18"/>
                <w:szCs w:val="18"/>
                <w:lang w:val="de-DE" w:eastAsia="fr-FR"/>
              </w:rPr>
              <w:t xml:space="preserve"> (</w:t>
            </w:r>
            <w:r w:rsidR="00E30068" w:rsidRPr="00764A4C">
              <w:rPr>
                <w:rFonts w:cs="Arial"/>
                <w:sz w:val="18"/>
                <w:szCs w:val="18"/>
                <w:lang w:val="de-DE" w:eastAsia="fr-FR"/>
              </w:rPr>
              <w:t>mit Kühlung</w:t>
            </w:r>
            <w:r w:rsidR="00E30068">
              <w:rPr>
                <w:rFonts w:cs="Arial"/>
                <w:sz w:val="18"/>
                <w:szCs w:val="18"/>
                <w:lang w:val="de-DE" w:eastAsia="fr-FR"/>
              </w:rPr>
              <w:br/>
            </w:r>
            <w:r w:rsidR="00E30068" w:rsidRPr="00764A4C">
              <w:rPr>
                <w:rFonts w:cs="Arial"/>
                <w:sz w:val="18"/>
                <w:szCs w:val="18"/>
                <w:lang w:val="de-DE" w:eastAsia="fr-FR"/>
              </w:rPr>
              <w:t xml:space="preserve">(Ziffer 1 in Spalte </w:t>
            </w:r>
            <w:r w:rsidR="00E30068">
              <w:rPr>
                <w:rFonts w:cs="Arial"/>
                <w:sz w:val="18"/>
                <w:szCs w:val="18"/>
                <w:lang w:val="de-DE" w:eastAsia="fr-FR"/>
              </w:rPr>
              <w:t>(</w:t>
            </w:r>
            <w:r w:rsidR="00E30068" w:rsidRPr="00764A4C">
              <w:rPr>
                <w:rFonts w:cs="Arial"/>
                <w:sz w:val="18"/>
                <w:szCs w:val="18"/>
                <w:lang w:val="de-DE" w:eastAsia="fr-FR"/>
              </w:rPr>
              <w:t>9</w:t>
            </w:r>
            <w:r w:rsidR="00E30068">
              <w:rPr>
                <w:rFonts w:cs="Arial"/>
                <w:sz w:val="18"/>
                <w:szCs w:val="18"/>
                <w:lang w:val="de-DE" w:eastAsia="fr-FR"/>
              </w:rPr>
              <w:t>)</w:t>
            </w:r>
            <w:r w:rsidR="00E30068" w:rsidRPr="00764A4C">
              <w:rPr>
                <w:rFonts w:cs="Arial"/>
                <w:sz w:val="18"/>
                <w:szCs w:val="18"/>
                <w:lang w:val="de-DE" w:eastAsia="fr-FR"/>
              </w:rPr>
              <w:t>)</w:t>
            </w:r>
            <w:r w:rsidR="00E30068">
              <w:rPr>
                <w:rFonts w:cs="Arial"/>
                <w:sz w:val="18"/>
                <w:szCs w:val="18"/>
                <w:lang w:val="de-DE" w:eastAsia="fr-FR"/>
              </w:rPr>
              <w:t>)</w:t>
            </w:r>
          </w:p>
        </w:tc>
      </w:tr>
      <w:tr w:rsidR="00D20A88" w:rsidRPr="00D93C93" w14:paraId="4072260B" w14:textId="77777777" w:rsidTr="00D20A88">
        <w:trPr>
          <w:cantSplit/>
        </w:trPr>
        <w:tc>
          <w:tcPr>
            <w:tcW w:w="2354" w:type="dxa"/>
            <w:vAlign w:val="center"/>
          </w:tcPr>
          <w:p w14:paraId="1FC6F835" w14:textId="77777777" w:rsidR="00D20A88" w:rsidRPr="00764A4C" w:rsidRDefault="00D20A88" w:rsidP="004547E6">
            <w:pPr>
              <w:spacing w:before="60" w:after="60"/>
              <w:rPr>
                <w:rFonts w:cs="Arial"/>
                <w:sz w:val="18"/>
                <w:szCs w:val="18"/>
                <w:lang w:val="de-DE" w:eastAsia="fr-FR"/>
              </w:rPr>
            </w:pPr>
          </w:p>
        </w:tc>
        <w:tc>
          <w:tcPr>
            <w:tcW w:w="2294" w:type="dxa"/>
            <w:vAlign w:val="center"/>
          </w:tcPr>
          <w:p w14:paraId="2F2CBC82" w14:textId="77777777" w:rsidR="00D20A88" w:rsidRPr="00764A4C" w:rsidRDefault="00D20A88" w:rsidP="004547E6">
            <w:pPr>
              <w:spacing w:before="60" w:after="60"/>
              <w:rPr>
                <w:rFonts w:cs="Arial"/>
                <w:sz w:val="18"/>
                <w:szCs w:val="18"/>
                <w:lang w:val="de-DE" w:eastAsia="fr-FR"/>
              </w:rPr>
            </w:pPr>
          </w:p>
        </w:tc>
        <w:tc>
          <w:tcPr>
            <w:tcW w:w="2340" w:type="dxa"/>
            <w:vAlign w:val="center"/>
          </w:tcPr>
          <w:p w14:paraId="624883FE" w14:textId="77777777" w:rsidR="00D20A88" w:rsidRPr="00764A4C" w:rsidRDefault="00D20A88" w:rsidP="004547E6">
            <w:pPr>
              <w:spacing w:before="60" w:after="60"/>
              <w:rPr>
                <w:rFonts w:cs="Arial"/>
                <w:sz w:val="18"/>
                <w:szCs w:val="18"/>
                <w:lang w:val="de-DE" w:eastAsia="fr-FR"/>
              </w:rPr>
            </w:pPr>
            <w:r w:rsidRPr="00764A4C">
              <w:rPr>
                <w:rFonts w:cs="Arial"/>
                <w:sz w:val="18"/>
                <w:szCs w:val="18"/>
                <w:lang w:val="de-DE" w:eastAsia="fr-FR"/>
              </w:rPr>
              <w:t xml:space="preserve">110 kPa </w:t>
            </w:r>
            <w:r w:rsidRPr="00764A4C">
              <w:rPr>
                <w:rFonts w:cs="Arial"/>
                <w:sz w:val="18"/>
                <w:szCs w:val="18"/>
                <w:lang w:val="de-DE" w:eastAsia="fr-FR"/>
              </w:rPr>
              <w:sym w:font="Symbol" w:char="F0A3"/>
            </w:r>
            <w:r w:rsidRPr="00764A4C">
              <w:rPr>
                <w:rFonts w:cs="Arial"/>
                <w:sz w:val="18"/>
                <w:szCs w:val="18"/>
                <w:lang w:val="de-DE" w:eastAsia="fr-FR"/>
              </w:rPr>
              <w:t xml:space="preserve"> </w:t>
            </w:r>
            <w:proofErr w:type="spellStart"/>
            <w:r w:rsidRPr="00764A4C">
              <w:rPr>
                <w:rFonts w:cs="Arial"/>
                <w:sz w:val="18"/>
                <w:szCs w:val="18"/>
                <w:lang w:val="de-DE" w:eastAsia="fr-FR"/>
              </w:rPr>
              <w:t>P</w:t>
            </w:r>
            <w:r w:rsidRPr="00764A4C">
              <w:rPr>
                <w:rFonts w:cs="Arial"/>
                <w:sz w:val="18"/>
                <w:szCs w:val="18"/>
                <w:vertAlign w:val="subscript"/>
                <w:lang w:val="de-DE" w:eastAsia="fr-FR"/>
              </w:rPr>
              <w:t>d</w:t>
            </w:r>
            <w:proofErr w:type="spellEnd"/>
            <w:r w:rsidRPr="00764A4C">
              <w:rPr>
                <w:rFonts w:cs="Arial"/>
                <w:sz w:val="18"/>
                <w:szCs w:val="18"/>
                <w:vertAlign w:val="subscript"/>
                <w:lang w:val="de-DE" w:eastAsia="fr-FR"/>
              </w:rPr>
              <w:t xml:space="preserve"> 50</w:t>
            </w:r>
            <w:r w:rsidRPr="00764A4C">
              <w:rPr>
                <w:rFonts w:cs="Arial"/>
                <w:sz w:val="18"/>
                <w:szCs w:val="18"/>
                <w:lang w:val="de-DE" w:eastAsia="fr-FR"/>
              </w:rPr>
              <w:t>&lt; 150 kPa, mit Berieselung</w:t>
            </w:r>
            <w:r w:rsidRPr="00764A4C">
              <w:rPr>
                <w:rFonts w:cs="Arial"/>
                <w:sz w:val="18"/>
                <w:szCs w:val="18"/>
                <w:lang w:val="de-DE" w:eastAsia="fr-FR"/>
              </w:rPr>
              <w:br/>
              <w:t xml:space="preserve">(Ziffer 3 in Spalte </w:t>
            </w:r>
            <w:r>
              <w:rPr>
                <w:rFonts w:cs="Arial"/>
                <w:sz w:val="18"/>
                <w:szCs w:val="18"/>
                <w:lang w:val="de-DE" w:eastAsia="fr-FR"/>
              </w:rPr>
              <w:t>(</w:t>
            </w:r>
            <w:r w:rsidRPr="00764A4C">
              <w:rPr>
                <w:rFonts w:cs="Arial"/>
                <w:sz w:val="18"/>
                <w:szCs w:val="18"/>
                <w:lang w:val="de-DE" w:eastAsia="fr-FR"/>
              </w:rPr>
              <w:t>9</w:t>
            </w:r>
            <w:r>
              <w:rPr>
                <w:rFonts w:cs="Arial"/>
                <w:sz w:val="18"/>
                <w:szCs w:val="18"/>
                <w:lang w:val="de-DE" w:eastAsia="fr-FR"/>
              </w:rPr>
              <w:t>)</w:t>
            </w:r>
            <w:r w:rsidRPr="00764A4C">
              <w:rPr>
                <w:rFonts w:cs="Arial"/>
                <w:sz w:val="18"/>
                <w:szCs w:val="18"/>
                <w:lang w:val="de-DE" w:eastAsia="fr-FR"/>
              </w:rPr>
              <w:t>)</w:t>
            </w:r>
          </w:p>
        </w:tc>
        <w:tc>
          <w:tcPr>
            <w:tcW w:w="1440" w:type="dxa"/>
            <w:vAlign w:val="center"/>
          </w:tcPr>
          <w:p w14:paraId="12FC8D07" w14:textId="77777777" w:rsidR="00D20A88" w:rsidRPr="00764A4C" w:rsidRDefault="00D20A88" w:rsidP="004547E6">
            <w:pPr>
              <w:spacing w:before="60" w:after="60"/>
              <w:rPr>
                <w:rFonts w:cs="Arial"/>
                <w:sz w:val="18"/>
                <w:szCs w:val="18"/>
                <w:lang w:val="de-DE" w:eastAsia="fr-FR"/>
              </w:rPr>
            </w:pPr>
            <w:proofErr w:type="spellStart"/>
            <w:r w:rsidRPr="00764A4C">
              <w:rPr>
                <w:rFonts w:cs="Arial"/>
                <w:sz w:val="18"/>
                <w:szCs w:val="18"/>
                <w:lang w:val="de-DE" w:eastAsia="fr-FR"/>
              </w:rPr>
              <w:t>P</w:t>
            </w:r>
            <w:r w:rsidRPr="00764A4C">
              <w:rPr>
                <w:rFonts w:cs="Arial"/>
                <w:sz w:val="18"/>
                <w:szCs w:val="18"/>
                <w:vertAlign w:val="subscript"/>
                <w:lang w:val="de-DE" w:eastAsia="fr-FR"/>
              </w:rPr>
              <w:t>d</w:t>
            </w:r>
            <w:proofErr w:type="spellEnd"/>
            <w:r w:rsidRPr="00764A4C">
              <w:rPr>
                <w:rFonts w:cs="Arial"/>
                <w:sz w:val="18"/>
                <w:szCs w:val="18"/>
                <w:vertAlign w:val="subscript"/>
                <w:lang w:val="de-DE" w:eastAsia="fr-FR"/>
              </w:rPr>
              <w:t xml:space="preserve"> 50</w:t>
            </w:r>
            <w:r w:rsidRPr="00764A4C">
              <w:rPr>
                <w:rFonts w:cs="Arial"/>
                <w:sz w:val="18"/>
                <w:szCs w:val="18"/>
                <w:lang w:val="de-DE" w:eastAsia="fr-FR"/>
              </w:rPr>
              <w:t xml:space="preserve"> &lt; 110 kPa</w:t>
            </w:r>
          </w:p>
        </w:tc>
        <w:tc>
          <w:tcPr>
            <w:tcW w:w="1844" w:type="dxa"/>
            <w:vAlign w:val="center"/>
          </w:tcPr>
          <w:p w14:paraId="7DBB12A4" w14:textId="77777777" w:rsidR="00D20A88" w:rsidRPr="00764A4C" w:rsidRDefault="00D20A88" w:rsidP="004547E6">
            <w:pPr>
              <w:spacing w:before="60" w:after="60"/>
              <w:rPr>
                <w:rFonts w:cs="Arial"/>
                <w:sz w:val="18"/>
                <w:szCs w:val="18"/>
                <w:lang w:val="de-DE" w:eastAsia="fr-FR"/>
              </w:rPr>
            </w:pPr>
            <w:r w:rsidRPr="0021269D">
              <w:rPr>
                <w:rFonts w:cs="Arial"/>
                <w:color w:val="000000"/>
                <w:sz w:val="18"/>
                <w:szCs w:val="18"/>
                <w:lang w:val="de-DE" w:eastAsia="fr-FR"/>
              </w:rPr>
              <w:t xml:space="preserve">Verpackungsgruppe I oder II mit P </w:t>
            </w:r>
            <w:r w:rsidRPr="0021269D">
              <w:rPr>
                <w:rFonts w:cs="Arial"/>
                <w:color w:val="000000"/>
                <w:sz w:val="18"/>
                <w:szCs w:val="18"/>
                <w:vertAlign w:val="subscript"/>
                <w:lang w:val="de-DE" w:eastAsia="fr-FR"/>
              </w:rPr>
              <w:t>d 50</w:t>
            </w:r>
            <w:r w:rsidRPr="0021269D">
              <w:rPr>
                <w:rFonts w:cs="Arial"/>
                <w:color w:val="000000"/>
                <w:sz w:val="18"/>
                <w:szCs w:val="18"/>
                <w:lang w:val="de-DE" w:eastAsia="fr-FR"/>
              </w:rPr>
              <w:t xml:space="preserve"> &gt; 12,5 kPa oder mit Wasser gefährlich reagierend oder mit gelösten Gasen</w:t>
            </w:r>
          </w:p>
        </w:tc>
        <w:tc>
          <w:tcPr>
            <w:tcW w:w="2425" w:type="dxa"/>
            <w:vAlign w:val="center"/>
          </w:tcPr>
          <w:p w14:paraId="0CC71A43" w14:textId="77777777" w:rsidR="00D20A88" w:rsidRPr="00764A4C" w:rsidRDefault="00D20A88" w:rsidP="004547E6">
            <w:pPr>
              <w:spacing w:before="60" w:after="60"/>
              <w:rPr>
                <w:rFonts w:cs="Arial"/>
                <w:sz w:val="18"/>
                <w:szCs w:val="18"/>
                <w:lang w:val="de-DE" w:eastAsia="fr-FR"/>
              </w:rPr>
            </w:pPr>
            <w:r w:rsidRPr="00764A4C">
              <w:rPr>
                <w:rFonts w:cs="Arial"/>
                <w:sz w:val="18"/>
                <w:szCs w:val="18"/>
                <w:lang w:val="de-DE" w:eastAsia="fr-FR"/>
              </w:rPr>
              <w:t xml:space="preserve">Öffnungsdruck </w:t>
            </w:r>
            <w:r w:rsidRPr="0021269D">
              <w:rPr>
                <w:rFonts w:cs="Arial"/>
                <w:sz w:val="18"/>
                <w:szCs w:val="18"/>
                <w:lang w:val="de-DE" w:eastAsia="fr-FR"/>
              </w:rPr>
              <w:t>Überdruck-/Hochgeschwindigkeitsventil</w:t>
            </w:r>
            <w:r w:rsidRPr="0021269D" w:rsidDel="0021269D">
              <w:rPr>
                <w:rFonts w:cs="Arial"/>
                <w:sz w:val="18"/>
                <w:szCs w:val="18"/>
                <w:lang w:val="de-DE" w:eastAsia="fr-FR"/>
              </w:rPr>
              <w:t xml:space="preserve"> </w:t>
            </w:r>
            <w:r w:rsidRPr="00764A4C">
              <w:rPr>
                <w:rFonts w:cs="Arial"/>
                <w:sz w:val="18"/>
                <w:szCs w:val="18"/>
                <w:lang w:val="de-DE" w:eastAsia="fr-FR"/>
              </w:rPr>
              <w:t xml:space="preserve">10 kPa; wenn Tankinnenüberdruck höher als 10 kPa, mit Berieselung (Berechnung des Dampfdrucks nach der Formel für </w:t>
            </w:r>
            <w:proofErr w:type="gramStart"/>
            <w:r w:rsidRPr="00764A4C">
              <w:rPr>
                <w:rFonts w:cs="Arial"/>
                <w:sz w:val="18"/>
                <w:szCs w:val="18"/>
                <w:lang w:val="de-DE" w:eastAsia="fr-FR"/>
              </w:rPr>
              <w:t>Spalte</w:t>
            </w:r>
            <w:r>
              <w:rPr>
                <w:rFonts w:cs="Arial"/>
                <w:sz w:val="18"/>
                <w:szCs w:val="18"/>
                <w:lang w:val="de-DE" w:eastAsia="fr-FR"/>
              </w:rPr>
              <w:t>(</w:t>
            </w:r>
            <w:proofErr w:type="gramEnd"/>
            <w:r w:rsidRPr="00764A4C">
              <w:rPr>
                <w:rFonts w:cs="Arial"/>
                <w:sz w:val="18"/>
                <w:szCs w:val="18"/>
                <w:lang w:val="de-DE" w:eastAsia="fr-FR"/>
              </w:rPr>
              <w:t>10</w:t>
            </w:r>
            <w:r>
              <w:rPr>
                <w:rFonts w:cs="Arial"/>
                <w:sz w:val="18"/>
                <w:szCs w:val="18"/>
                <w:lang w:val="de-DE" w:eastAsia="fr-FR"/>
              </w:rPr>
              <w:t>)</w:t>
            </w:r>
            <w:r w:rsidRPr="00764A4C">
              <w:rPr>
                <w:rFonts w:cs="Arial"/>
                <w:sz w:val="18"/>
                <w:szCs w:val="18"/>
                <w:lang w:val="de-DE" w:eastAsia="fr-FR"/>
              </w:rPr>
              <w:t>,</w:t>
            </w:r>
            <w:r w:rsidRPr="00764A4C">
              <w:rPr>
                <w:rFonts w:cs="Arial"/>
                <w:sz w:val="18"/>
                <w:szCs w:val="18"/>
                <w:lang w:val="de-DE" w:eastAsia="fr-FR"/>
              </w:rPr>
              <w:br/>
              <w:t xml:space="preserve">jedoch </w:t>
            </w:r>
            <w:proofErr w:type="spellStart"/>
            <w:r w:rsidRPr="00764A4C">
              <w:rPr>
                <w:rFonts w:cs="Arial"/>
                <w:sz w:val="18"/>
                <w:szCs w:val="18"/>
                <w:lang w:val="de-DE" w:eastAsia="fr-FR"/>
              </w:rPr>
              <w:t>v</w:t>
            </w:r>
            <w:r w:rsidRPr="00764A4C">
              <w:rPr>
                <w:rFonts w:cs="Arial"/>
                <w:sz w:val="18"/>
                <w:szCs w:val="18"/>
                <w:vertAlign w:val="subscript"/>
                <w:lang w:val="de-DE" w:eastAsia="fr-FR"/>
              </w:rPr>
              <w:t>a</w:t>
            </w:r>
            <w:proofErr w:type="spellEnd"/>
            <w:r w:rsidRPr="00764A4C">
              <w:rPr>
                <w:rFonts w:cs="Arial"/>
                <w:sz w:val="18"/>
                <w:szCs w:val="18"/>
                <w:lang w:val="de-DE" w:eastAsia="fr-FR"/>
              </w:rPr>
              <w:t xml:space="preserve"> = 0,03)</w:t>
            </w:r>
          </w:p>
        </w:tc>
        <w:tc>
          <w:tcPr>
            <w:tcW w:w="2425" w:type="dxa"/>
            <w:vAlign w:val="center"/>
          </w:tcPr>
          <w:p w14:paraId="4D473968" w14:textId="77777777" w:rsidR="00D20A88" w:rsidRPr="00764A4C" w:rsidRDefault="00D20A88" w:rsidP="004547E6">
            <w:pPr>
              <w:spacing w:before="60" w:after="60"/>
              <w:rPr>
                <w:rFonts w:cs="Arial"/>
                <w:sz w:val="18"/>
                <w:szCs w:val="18"/>
                <w:lang w:val="de-DE" w:eastAsia="fr-FR"/>
              </w:rPr>
            </w:pPr>
            <w:r w:rsidRPr="00764A4C">
              <w:rPr>
                <w:rFonts w:cs="Arial"/>
                <w:sz w:val="18"/>
                <w:szCs w:val="18"/>
                <w:lang w:val="de-DE" w:eastAsia="fr-FR"/>
              </w:rPr>
              <w:t xml:space="preserve">Mit Öffnungsdruck </w:t>
            </w:r>
            <w:r w:rsidRPr="0021269D">
              <w:rPr>
                <w:rFonts w:cs="Arial"/>
                <w:sz w:val="18"/>
                <w:szCs w:val="18"/>
                <w:lang w:val="de-DE" w:eastAsia="fr-FR"/>
              </w:rPr>
              <w:t>Überdruck-/Hochgeschwindigkeitsventil</w:t>
            </w:r>
            <w:r w:rsidRPr="0021269D" w:rsidDel="0021269D">
              <w:rPr>
                <w:rFonts w:cs="Arial"/>
                <w:sz w:val="18"/>
                <w:szCs w:val="18"/>
                <w:lang w:val="de-DE" w:eastAsia="fr-FR"/>
              </w:rPr>
              <w:t xml:space="preserve"> </w:t>
            </w:r>
            <w:r w:rsidRPr="00764A4C">
              <w:rPr>
                <w:rFonts w:cs="Arial"/>
                <w:sz w:val="18"/>
                <w:szCs w:val="18"/>
                <w:lang w:val="de-DE" w:eastAsia="fr-FR"/>
              </w:rPr>
              <w:t>10 kPa</w:t>
            </w:r>
            <w:r w:rsidR="00E30068">
              <w:rPr>
                <w:rFonts w:cs="Arial"/>
                <w:sz w:val="18"/>
                <w:szCs w:val="18"/>
                <w:lang w:val="de-DE" w:eastAsia="fr-FR"/>
              </w:rPr>
              <w:t xml:space="preserve"> (</w:t>
            </w:r>
            <w:r w:rsidR="00E30068" w:rsidRPr="00764A4C">
              <w:rPr>
                <w:rFonts w:cs="Arial"/>
                <w:sz w:val="18"/>
                <w:szCs w:val="18"/>
                <w:lang w:val="de-DE" w:eastAsia="fr-FR"/>
              </w:rPr>
              <w:t>mit Berieselung</w:t>
            </w:r>
            <w:r w:rsidR="00E30068" w:rsidRPr="00764A4C">
              <w:rPr>
                <w:rFonts w:cs="Arial"/>
                <w:sz w:val="18"/>
                <w:szCs w:val="18"/>
                <w:lang w:val="de-DE" w:eastAsia="fr-FR"/>
              </w:rPr>
              <w:br/>
              <w:t xml:space="preserve">(Ziffer 3 in Spalte </w:t>
            </w:r>
            <w:r w:rsidR="00E30068">
              <w:rPr>
                <w:rFonts w:cs="Arial"/>
                <w:sz w:val="18"/>
                <w:szCs w:val="18"/>
                <w:lang w:val="de-DE" w:eastAsia="fr-FR"/>
              </w:rPr>
              <w:t>(</w:t>
            </w:r>
            <w:r w:rsidR="00E30068" w:rsidRPr="00764A4C">
              <w:rPr>
                <w:rFonts w:cs="Arial"/>
                <w:sz w:val="18"/>
                <w:szCs w:val="18"/>
                <w:lang w:val="de-DE" w:eastAsia="fr-FR"/>
              </w:rPr>
              <w:t>9</w:t>
            </w:r>
            <w:r w:rsidR="00E30068">
              <w:rPr>
                <w:rFonts w:cs="Arial"/>
                <w:sz w:val="18"/>
                <w:szCs w:val="18"/>
                <w:lang w:val="de-DE" w:eastAsia="fr-FR"/>
              </w:rPr>
              <w:t>)</w:t>
            </w:r>
            <w:r w:rsidR="00E30068" w:rsidRPr="00764A4C">
              <w:rPr>
                <w:rFonts w:cs="Arial"/>
                <w:sz w:val="18"/>
                <w:szCs w:val="18"/>
                <w:lang w:val="de-DE" w:eastAsia="fr-FR"/>
              </w:rPr>
              <w:t>)</w:t>
            </w:r>
            <w:r w:rsidR="00E30068">
              <w:rPr>
                <w:rFonts w:cs="Arial"/>
                <w:sz w:val="18"/>
                <w:szCs w:val="18"/>
                <w:lang w:val="de-DE" w:eastAsia="fr-FR"/>
              </w:rPr>
              <w:t>)</w:t>
            </w:r>
          </w:p>
        </w:tc>
      </w:tr>
    </w:tbl>
    <w:p w14:paraId="762A56F9" w14:textId="77777777" w:rsidR="00FE3B3E" w:rsidRDefault="00FE3B3E" w:rsidP="00FA5034">
      <w:pPr>
        <w:jc w:val="both"/>
        <w:rPr>
          <w:rFonts w:cs="Arial"/>
          <w:sz w:val="18"/>
          <w:szCs w:val="18"/>
          <w:lang w:val="de-DE" w:eastAsia="fr-FR"/>
        </w:rPr>
      </w:pPr>
    </w:p>
    <w:p w14:paraId="51578CA3" w14:textId="77777777" w:rsidR="0000657B" w:rsidRDefault="0000657B" w:rsidP="00FA5034">
      <w:pPr>
        <w:spacing w:after="0"/>
        <w:jc w:val="both"/>
        <w:rPr>
          <w:rFonts w:cs="Arial"/>
          <w:sz w:val="18"/>
          <w:szCs w:val="18"/>
          <w:lang w:val="de-DE" w:eastAsia="fr-FR"/>
        </w:rPr>
      </w:pPr>
      <w:r>
        <w:rPr>
          <w:rFonts w:cs="Arial"/>
          <w:sz w:val="18"/>
          <w:szCs w:val="18"/>
          <w:lang w:val="de-DE" w:eastAsia="fr-FR"/>
        </w:rPr>
        <w:br w:type="page"/>
      </w:r>
    </w:p>
    <w:p w14:paraId="26BB1E8F" w14:textId="77777777" w:rsidR="0000657B" w:rsidRPr="00155839" w:rsidRDefault="0000657B" w:rsidP="00FA5034">
      <w:pPr>
        <w:spacing w:after="0"/>
        <w:ind w:right="567"/>
        <w:jc w:val="both"/>
        <w:rPr>
          <w:bCs/>
          <w:sz w:val="20"/>
          <w:lang w:val="de-DE"/>
        </w:rPr>
      </w:pPr>
      <w:r w:rsidRPr="00155839">
        <w:rPr>
          <w:bCs/>
          <w:sz w:val="20"/>
          <w:lang w:val="de-DE"/>
        </w:rPr>
        <w:lastRenderedPageBreak/>
        <w:t>4</w:t>
      </w:r>
      <w:r w:rsidR="0079303F" w:rsidRPr="00155839">
        <w:rPr>
          <w:bCs/>
          <w:sz w:val="20"/>
          <w:lang w:val="de-DE"/>
        </w:rPr>
        <w:t>2</w:t>
      </w:r>
      <w:r w:rsidRPr="00155839">
        <w:rPr>
          <w:bCs/>
          <w:sz w:val="20"/>
          <w:lang w:val="de-DE"/>
        </w:rPr>
        <w:t>.</w:t>
      </w:r>
      <w:r w:rsidRPr="00155839">
        <w:rPr>
          <w:bCs/>
          <w:sz w:val="20"/>
          <w:lang w:val="de-DE"/>
        </w:rPr>
        <w:tab/>
        <w:t>Schema C ändern, sodass es wie folgt lautet:</w:t>
      </w:r>
    </w:p>
    <w:p w14:paraId="73902984" w14:textId="77777777" w:rsidR="0000657B" w:rsidRPr="00155839" w:rsidRDefault="0000657B" w:rsidP="00FA5034">
      <w:pPr>
        <w:spacing w:after="0"/>
        <w:ind w:right="567"/>
        <w:jc w:val="both"/>
        <w:rPr>
          <w:bCs/>
          <w:sz w:val="20"/>
          <w:lang w:val="de-DE"/>
        </w:rPr>
      </w:pPr>
    </w:p>
    <w:p w14:paraId="7C95976C" w14:textId="77777777" w:rsidR="00FE3B3E" w:rsidRPr="00E62169" w:rsidRDefault="0000657B" w:rsidP="00FA5034">
      <w:pPr>
        <w:tabs>
          <w:tab w:val="center" w:pos="4536"/>
        </w:tabs>
        <w:spacing w:after="0"/>
        <w:jc w:val="both"/>
        <w:rPr>
          <w:rFonts w:cs="Arial"/>
          <w:b/>
          <w:szCs w:val="24"/>
          <w:lang w:val="de-DE" w:eastAsia="fr-FR"/>
        </w:rPr>
      </w:pPr>
      <w:r w:rsidRPr="00E62169">
        <w:rPr>
          <w:rFonts w:cs="Arial"/>
          <w:b/>
          <w:szCs w:val="24"/>
          <w:lang w:val="de-DE" w:eastAsia="fr-FR"/>
        </w:rPr>
        <w:t>„</w:t>
      </w:r>
      <w:r w:rsidR="00FE3B3E" w:rsidRPr="00E62169">
        <w:rPr>
          <w:rFonts w:cs="Arial"/>
          <w:b/>
          <w:szCs w:val="24"/>
          <w:lang w:val="de-DE" w:eastAsia="fr-FR"/>
        </w:rPr>
        <w:t>Schema C: Kriterien für die Ladetankausrüstung von N-Schiffen mit offenen Ladetanks</w:t>
      </w:r>
    </w:p>
    <w:p w14:paraId="11DF0EC9" w14:textId="77777777" w:rsidR="0000657B" w:rsidRPr="00155839" w:rsidRDefault="0000657B" w:rsidP="00FA5034">
      <w:pPr>
        <w:tabs>
          <w:tab w:val="center" w:pos="4536"/>
        </w:tabs>
        <w:spacing w:after="0"/>
        <w:jc w:val="both"/>
        <w:rPr>
          <w:rFonts w:cs="Arial"/>
          <w:b/>
          <w:sz w:val="20"/>
          <w:lang w:val="de-DE" w:eastAsia="fr-FR"/>
        </w:rPr>
      </w:pPr>
    </w:p>
    <w:p w14:paraId="3546F4EF" w14:textId="77777777" w:rsidR="0000657B" w:rsidRPr="00155839" w:rsidRDefault="0000657B" w:rsidP="00FA5034">
      <w:pPr>
        <w:tabs>
          <w:tab w:val="left" w:pos="0"/>
        </w:tabs>
        <w:spacing w:after="40"/>
        <w:jc w:val="both"/>
        <w:rPr>
          <w:rFonts w:cs="Arial"/>
          <w:sz w:val="20"/>
          <w:lang w:val="de-DE" w:eastAsia="de-DE"/>
        </w:rPr>
      </w:pPr>
      <w:r w:rsidRPr="00155839">
        <w:rPr>
          <w:rFonts w:cs="Arial"/>
          <w:sz w:val="20"/>
          <w:lang w:val="de-DE" w:eastAsia="de-DE"/>
        </w:rPr>
        <w:t>Feststellen</w:t>
      </w:r>
      <w:r w:rsidR="00791FFD" w:rsidRPr="00155839">
        <w:rPr>
          <w:rFonts w:cs="Arial"/>
          <w:sz w:val="20"/>
          <w:lang w:val="de-DE" w:eastAsia="de-DE"/>
        </w:rPr>
        <w:t>,</w:t>
      </w:r>
      <w:r w:rsidRPr="00155839">
        <w:rPr>
          <w:rFonts w:cs="Arial"/>
          <w:sz w:val="20"/>
          <w:lang w:val="de-DE" w:eastAsia="de-DE"/>
        </w:rPr>
        <w:t xml:space="preserve"> welche Stoffeigenschaften aus den ersten drei Spalten relevant sind. In der relevanten Spalte die anwendbare Zeile auswählen. In dieser Zeile sind dann in der vierten Spalte die sich ergebenden </w:t>
      </w:r>
      <w:r w:rsidR="00791FFD" w:rsidRPr="00155839">
        <w:rPr>
          <w:rFonts w:cs="Arial"/>
          <w:sz w:val="20"/>
          <w:lang w:val="de-DE" w:eastAsia="de-DE"/>
        </w:rPr>
        <w:t>Anforderungen</w:t>
      </w:r>
      <w:r w:rsidRPr="00155839">
        <w:rPr>
          <w:rFonts w:cs="Arial"/>
          <w:sz w:val="20"/>
          <w:lang w:val="de-DE" w:eastAsia="de-DE"/>
        </w:rPr>
        <w:t xml:space="preserve"> für die Ladetankausrüstung in N-Schiffen mit offenen Ladetanks dargestellt.</w:t>
      </w:r>
    </w:p>
    <w:p w14:paraId="7E2F4C56" w14:textId="77777777" w:rsidR="0000657B" w:rsidRPr="00764A4C" w:rsidRDefault="0000657B" w:rsidP="00FA5034">
      <w:pPr>
        <w:tabs>
          <w:tab w:val="center" w:pos="4536"/>
        </w:tabs>
        <w:spacing w:after="0"/>
        <w:jc w:val="both"/>
        <w:rPr>
          <w:rFonts w:cs="Arial"/>
          <w:b/>
          <w:sz w:val="18"/>
          <w:szCs w:val="18"/>
          <w:lang w:val="de-DE" w:eastAsia="fr-FR"/>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835"/>
        <w:gridCol w:w="2551"/>
        <w:gridCol w:w="2551"/>
      </w:tblGrid>
      <w:tr w:rsidR="0000657B" w:rsidRPr="00764A4C" w14:paraId="2A71BE95" w14:textId="77777777" w:rsidTr="00E17482">
        <w:trPr>
          <w:cantSplit/>
          <w:jc w:val="center"/>
        </w:trPr>
        <w:tc>
          <w:tcPr>
            <w:tcW w:w="8221" w:type="dxa"/>
            <w:gridSpan w:val="3"/>
            <w:vAlign w:val="center"/>
          </w:tcPr>
          <w:p w14:paraId="77908570" w14:textId="77777777" w:rsidR="0000657B" w:rsidRPr="00764A4C" w:rsidRDefault="0000657B" w:rsidP="00FA5034">
            <w:pPr>
              <w:spacing w:before="60" w:after="60"/>
              <w:jc w:val="both"/>
              <w:rPr>
                <w:rFonts w:cs="Arial"/>
                <w:sz w:val="18"/>
                <w:szCs w:val="18"/>
                <w:lang w:val="de-DE" w:eastAsia="fr-FR"/>
              </w:rPr>
            </w:pPr>
            <w:r>
              <w:rPr>
                <w:rFonts w:cs="Arial"/>
                <w:sz w:val="18"/>
                <w:szCs w:val="18"/>
                <w:lang w:val="de-DE" w:eastAsia="de-DE"/>
              </w:rPr>
              <w:t>Stoffeigenschaften</w:t>
            </w:r>
          </w:p>
        </w:tc>
        <w:tc>
          <w:tcPr>
            <w:tcW w:w="2551" w:type="dxa"/>
            <w:tcBorders>
              <w:bottom w:val="single" w:sz="4" w:space="0" w:color="auto"/>
            </w:tcBorders>
          </w:tcPr>
          <w:p w14:paraId="7E5BFFD0" w14:textId="77777777" w:rsidR="0000657B" w:rsidRPr="00BE0EA1" w:rsidRDefault="0000657B" w:rsidP="00FA5034">
            <w:pPr>
              <w:spacing w:before="60" w:after="60"/>
              <w:jc w:val="both"/>
              <w:rPr>
                <w:rFonts w:cs="Arial"/>
                <w:sz w:val="18"/>
                <w:szCs w:val="18"/>
                <w:lang w:val="de-DE" w:eastAsia="fr-FR"/>
              </w:rPr>
            </w:pPr>
            <w:r>
              <w:rPr>
                <w:rFonts w:cs="Arial"/>
                <w:sz w:val="18"/>
                <w:szCs w:val="18"/>
                <w:lang w:val="de-DE" w:eastAsia="de-DE"/>
              </w:rPr>
              <w:t>sich ergebenden Anforderungen</w:t>
            </w:r>
          </w:p>
        </w:tc>
      </w:tr>
      <w:tr w:rsidR="0000657B" w:rsidRPr="00764A4C" w14:paraId="7A20B408" w14:textId="77777777" w:rsidTr="0000657B">
        <w:trPr>
          <w:cantSplit/>
          <w:jc w:val="center"/>
        </w:trPr>
        <w:tc>
          <w:tcPr>
            <w:tcW w:w="2835" w:type="dxa"/>
            <w:vAlign w:val="center"/>
          </w:tcPr>
          <w:p w14:paraId="68A922E2" w14:textId="77777777" w:rsidR="0000657B" w:rsidRPr="00764A4C" w:rsidRDefault="0000657B" w:rsidP="00745202">
            <w:pPr>
              <w:spacing w:before="60" w:after="60"/>
              <w:rPr>
                <w:rFonts w:cs="Arial"/>
                <w:sz w:val="18"/>
                <w:szCs w:val="18"/>
                <w:lang w:val="de-DE" w:eastAsia="fr-FR"/>
              </w:rPr>
            </w:pPr>
            <w:r w:rsidRPr="00764A4C">
              <w:rPr>
                <w:rFonts w:cs="Arial"/>
                <w:sz w:val="18"/>
                <w:szCs w:val="18"/>
                <w:lang w:val="de-DE" w:eastAsia="fr-FR"/>
              </w:rPr>
              <w:t>Klassen 3 und 9</w:t>
            </w:r>
          </w:p>
        </w:tc>
        <w:tc>
          <w:tcPr>
            <w:tcW w:w="2835" w:type="dxa"/>
            <w:vAlign w:val="center"/>
          </w:tcPr>
          <w:p w14:paraId="3BAC2041" w14:textId="77777777" w:rsidR="0000657B" w:rsidRPr="00764A4C" w:rsidRDefault="0000657B" w:rsidP="00745202">
            <w:pPr>
              <w:spacing w:before="60" w:after="60"/>
              <w:rPr>
                <w:rFonts w:cs="Arial"/>
                <w:sz w:val="18"/>
                <w:szCs w:val="18"/>
                <w:lang w:val="de-DE" w:eastAsia="fr-FR"/>
              </w:rPr>
            </w:pPr>
            <w:r w:rsidRPr="00764A4C">
              <w:rPr>
                <w:rFonts w:cs="Arial"/>
                <w:sz w:val="18"/>
                <w:szCs w:val="18"/>
                <w:lang w:val="de-DE" w:eastAsia="fr-FR"/>
              </w:rPr>
              <w:t>Entzündbare Stoffe</w:t>
            </w:r>
          </w:p>
        </w:tc>
        <w:tc>
          <w:tcPr>
            <w:tcW w:w="2551" w:type="dxa"/>
            <w:tcBorders>
              <w:bottom w:val="single" w:sz="4" w:space="0" w:color="auto"/>
            </w:tcBorders>
            <w:vAlign w:val="center"/>
          </w:tcPr>
          <w:p w14:paraId="555E2385" w14:textId="77777777" w:rsidR="0000657B" w:rsidRPr="00764A4C" w:rsidRDefault="0000657B" w:rsidP="00745202">
            <w:pPr>
              <w:spacing w:before="60" w:after="60"/>
              <w:rPr>
                <w:rFonts w:cs="Arial"/>
                <w:sz w:val="18"/>
                <w:szCs w:val="18"/>
                <w:lang w:val="de-DE" w:eastAsia="fr-FR"/>
              </w:rPr>
            </w:pPr>
            <w:r w:rsidRPr="00764A4C">
              <w:rPr>
                <w:rFonts w:cs="Arial"/>
                <w:sz w:val="18"/>
                <w:szCs w:val="18"/>
                <w:lang w:val="de-DE" w:eastAsia="fr-FR"/>
              </w:rPr>
              <w:t>Ätzende Stoffe</w:t>
            </w:r>
          </w:p>
        </w:tc>
        <w:tc>
          <w:tcPr>
            <w:tcW w:w="2551" w:type="dxa"/>
            <w:tcBorders>
              <w:bottom w:val="single" w:sz="4" w:space="0" w:color="auto"/>
            </w:tcBorders>
          </w:tcPr>
          <w:p w14:paraId="17859137" w14:textId="77777777" w:rsidR="0000657B" w:rsidRPr="00BE0EA1" w:rsidRDefault="0000657B" w:rsidP="00745202">
            <w:pPr>
              <w:spacing w:before="60" w:after="60"/>
              <w:rPr>
                <w:rFonts w:cs="Arial"/>
                <w:sz w:val="18"/>
                <w:szCs w:val="18"/>
                <w:lang w:val="de-DE" w:eastAsia="fr-FR"/>
              </w:rPr>
            </w:pPr>
            <w:r w:rsidRPr="00BE0EA1">
              <w:rPr>
                <w:rFonts w:cs="Arial"/>
                <w:sz w:val="18"/>
                <w:szCs w:val="18"/>
                <w:lang w:val="de-DE" w:eastAsia="fr-FR"/>
              </w:rPr>
              <w:t>Ladetankausrüstung</w:t>
            </w:r>
          </w:p>
        </w:tc>
      </w:tr>
      <w:tr w:rsidR="0000657B" w:rsidRPr="00764A4C" w14:paraId="441678C8" w14:textId="77777777" w:rsidTr="0000657B">
        <w:trPr>
          <w:jc w:val="center"/>
        </w:trPr>
        <w:tc>
          <w:tcPr>
            <w:tcW w:w="2835" w:type="dxa"/>
            <w:vAlign w:val="center"/>
          </w:tcPr>
          <w:p w14:paraId="53A79AEE" w14:textId="77777777" w:rsidR="0000657B" w:rsidRPr="00764A4C" w:rsidRDefault="0000657B" w:rsidP="00745202">
            <w:pPr>
              <w:spacing w:before="60" w:after="60"/>
              <w:rPr>
                <w:rFonts w:cs="Arial"/>
                <w:sz w:val="18"/>
                <w:szCs w:val="18"/>
                <w:lang w:val="de-DE" w:eastAsia="fr-FR"/>
              </w:rPr>
            </w:pPr>
            <w:r w:rsidRPr="00764A4C">
              <w:rPr>
                <w:rFonts w:cs="Arial"/>
                <w:color w:val="000000"/>
                <w:sz w:val="18"/>
                <w:szCs w:val="18"/>
                <w:lang w:val="de-DE" w:eastAsia="fr-FR"/>
              </w:rPr>
              <w:t xml:space="preserve">23 °C </w:t>
            </w:r>
            <w:r w:rsidRPr="00764A4C">
              <w:rPr>
                <w:rFonts w:cs="Arial"/>
                <w:color w:val="000000"/>
                <w:sz w:val="18"/>
                <w:szCs w:val="18"/>
                <w:lang w:val="de-DE" w:eastAsia="fr-FR"/>
              </w:rPr>
              <w:sym w:font="Symbol" w:char="F0A3"/>
            </w:r>
            <w:r w:rsidRPr="00764A4C">
              <w:rPr>
                <w:rFonts w:cs="Arial"/>
                <w:color w:val="000000"/>
                <w:sz w:val="18"/>
                <w:szCs w:val="18"/>
                <w:lang w:val="de-DE" w:eastAsia="fr-FR"/>
              </w:rPr>
              <w:t xml:space="preserve"> </w:t>
            </w:r>
            <w:r w:rsidRPr="00764A4C">
              <w:rPr>
                <w:rFonts w:cs="Arial"/>
                <w:sz w:val="18"/>
                <w:szCs w:val="18"/>
                <w:lang w:val="de-DE" w:eastAsia="fr-FR"/>
              </w:rPr>
              <w:t xml:space="preserve">Flammpunkt </w:t>
            </w:r>
            <w:r w:rsidRPr="00764A4C">
              <w:rPr>
                <w:rFonts w:cs="Arial"/>
                <w:color w:val="000000"/>
                <w:sz w:val="18"/>
                <w:szCs w:val="18"/>
                <w:lang w:val="de-DE" w:eastAsia="fr-FR"/>
              </w:rPr>
              <w:sym w:font="Symbol" w:char="F0A3"/>
            </w:r>
            <w:r w:rsidRPr="00764A4C">
              <w:rPr>
                <w:rFonts w:cs="Arial"/>
                <w:sz w:val="18"/>
                <w:szCs w:val="18"/>
                <w:lang w:val="de-DE" w:eastAsia="fr-FR"/>
              </w:rPr>
              <w:t xml:space="preserve"> 60 °C</w:t>
            </w:r>
          </w:p>
        </w:tc>
        <w:tc>
          <w:tcPr>
            <w:tcW w:w="2835" w:type="dxa"/>
            <w:vAlign w:val="center"/>
          </w:tcPr>
          <w:p w14:paraId="5FEF7865" w14:textId="77777777" w:rsidR="0000657B" w:rsidRPr="00764A4C" w:rsidRDefault="0000657B" w:rsidP="00745202">
            <w:pPr>
              <w:spacing w:before="60" w:after="60"/>
              <w:rPr>
                <w:rFonts w:cs="Arial"/>
                <w:sz w:val="18"/>
                <w:szCs w:val="18"/>
                <w:lang w:val="de-DE" w:eastAsia="fr-FR"/>
              </w:rPr>
            </w:pPr>
            <w:r w:rsidRPr="00764A4C">
              <w:rPr>
                <w:rFonts w:cs="Arial"/>
                <w:sz w:val="18"/>
                <w:szCs w:val="18"/>
                <w:lang w:val="de-DE" w:eastAsia="fr-FR"/>
              </w:rPr>
              <w:t>Flammpunkt &gt; 6</w:t>
            </w:r>
            <w:r w:rsidRPr="00764A4C">
              <w:rPr>
                <w:rFonts w:cs="Arial"/>
                <w:color w:val="000000"/>
                <w:sz w:val="18"/>
                <w:szCs w:val="18"/>
                <w:lang w:val="de-DE" w:eastAsia="fr-FR"/>
              </w:rPr>
              <w:t>0</w:t>
            </w:r>
            <w:r w:rsidRPr="00764A4C">
              <w:rPr>
                <w:rFonts w:cs="Arial"/>
                <w:sz w:val="18"/>
                <w:szCs w:val="18"/>
                <w:lang w:val="de-DE" w:eastAsia="fr-FR"/>
              </w:rPr>
              <w:t xml:space="preserve"> °C, </w:t>
            </w:r>
            <w:r w:rsidRPr="00764A4C">
              <w:rPr>
                <w:rFonts w:cs="Arial"/>
                <w:color w:val="000000"/>
                <w:sz w:val="18"/>
                <w:szCs w:val="18"/>
                <w:lang w:val="de-DE" w:eastAsia="fr-FR"/>
              </w:rPr>
              <w:t xml:space="preserve">erwärmt auf </w:t>
            </w:r>
            <w:r w:rsidRPr="00764A4C">
              <w:rPr>
                <w:rFonts w:cs="Arial"/>
                <w:color w:val="000000"/>
                <w:sz w:val="18"/>
                <w:szCs w:val="18"/>
                <w:lang w:val="de-DE" w:eastAsia="fr-FR"/>
              </w:rPr>
              <w:sym w:font="Symbol" w:char="F0A3"/>
            </w:r>
            <w:r w:rsidRPr="00764A4C">
              <w:rPr>
                <w:rFonts w:cs="Arial"/>
                <w:color w:val="000000"/>
                <w:sz w:val="18"/>
                <w:szCs w:val="18"/>
                <w:lang w:val="de-DE" w:eastAsia="fr-FR"/>
              </w:rPr>
              <w:t xml:space="preserve"> 15 K unter Flammpunkt</w:t>
            </w:r>
            <w:r w:rsidRPr="00764A4C">
              <w:rPr>
                <w:rFonts w:cs="Arial"/>
                <w:color w:val="000000"/>
                <w:sz w:val="18"/>
                <w:szCs w:val="18"/>
                <w:lang w:val="de-DE" w:eastAsia="fr-FR"/>
              </w:rPr>
              <w:br/>
              <w:t>oder</w:t>
            </w:r>
            <w:r w:rsidRPr="00764A4C">
              <w:rPr>
                <w:rFonts w:cs="Arial"/>
                <w:color w:val="000000"/>
                <w:sz w:val="18"/>
                <w:szCs w:val="18"/>
                <w:lang w:val="de-DE" w:eastAsia="fr-FR"/>
              </w:rPr>
              <w:br/>
              <w:t xml:space="preserve">Flammpunkt </w:t>
            </w:r>
            <w:r w:rsidRPr="00764A4C">
              <w:rPr>
                <w:rFonts w:cs="Arial"/>
                <w:sz w:val="18"/>
                <w:szCs w:val="18"/>
                <w:lang w:val="de-DE" w:eastAsia="fr-FR"/>
              </w:rPr>
              <w:t>&gt; 6</w:t>
            </w:r>
            <w:r w:rsidRPr="00764A4C">
              <w:rPr>
                <w:rFonts w:cs="Arial"/>
                <w:color w:val="000000"/>
                <w:sz w:val="18"/>
                <w:szCs w:val="18"/>
                <w:lang w:val="de-DE" w:eastAsia="fr-FR"/>
              </w:rPr>
              <w:t>0</w:t>
            </w:r>
            <w:r w:rsidRPr="00764A4C">
              <w:rPr>
                <w:rFonts w:cs="Arial"/>
                <w:sz w:val="18"/>
                <w:szCs w:val="18"/>
                <w:lang w:val="de-DE" w:eastAsia="fr-FR"/>
              </w:rPr>
              <w:t xml:space="preserve"> °C, </w:t>
            </w:r>
            <w:r w:rsidRPr="00764A4C">
              <w:rPr>
                <w:rFonts w:cs="Arial"/>
                <w:color w:val="000000"/>
                <w:sz w:val="18"/>
                <w:szCs w:val="18"/>
                <w:lang w:val="de-DE" w:eastAsia="fr-FR"/>
              </w:rPr>
              <w:t>erwärmt bei oder über seinem Flammpunkt</w:t>
            </w:r>
          </w:p>
        </w:tc>
        <w:tc>
          <w:tcPr>
            <w:tcW w:w="2551" w:type="dxa"/>
            <w:tcBorders>
              <w:bottom w:val="single" w:sz="4" w:space="0" w:color="auto"/>
            </w:tcBorders>
            <w:vAlign w:val="center"/>
          </w:tcPr>
          <w:p w14:paraId="00EAB607" w14:textId="77777777" w:rsidR="0000657B" w:rsidRPr="00764A4C" w:rsidRDefault="0000657B" w:rsidP="00745202">
            <w:pPr>
              <w:spacing w:before="60" w:after="60"/>
              <w:rPr>
                <w:rFonts w:cs="Arial"/>
                <w:sz w:val="18"/>
                <w:szCs w:val="18"/>
                <w:lang w:val="de-DE" w:eastAsia="fr-FR"/>
              </w:rPr>
            </w:pPr>
            <w:r w:rsidRPr="00764A4C">
              <w:rPr>
                <w:rFonts w:cs="Arial"/>
                <w:sz w:val="18"/>
                <w:szCs w:val="18"/>
                <w:lang w:val="de-DE" w:eastAsia="fr-FR"/>
              </w:rPr>
              <w:t xml:space="preserve">Entzündbar </w:t>
            </w:r>
            <w:r w:rsidRPr="00764A4C">
              <w:rPr>
                <w:rFonts w:cs="Arial"/>
                <w:color w:val="000000"/>
                <w:sz w:val="18"/>
                <w:szCs w:val="18"/>
                <w:lang w:val="de-DE" w:eastAsia="fr-FR"/>
              </w:rPr>
              <w:t>oder</w:t>
            </w:r>
            <w:r>
              <w:rPr>
                <w:rFonts w:cs="Arial"/>
                <w:color w:val="000000"/>
                <w:sz w:val="18"/>
                <w:szCs w:val="18"/>
                <w:lang w:val="de-DE" w:eastAsia="fr-FR"/>
              </w:rPr>
              <w:br/>
            </w:r>
            <w:r w:rsidRPr="00764A4C">
              <w:rPr>
                <w:rFonts w:cs="Arial"/>
                <w:color w:val="000000"/>
                <w:sz w:val="18"/>
                <w:szCs w:val="18"/>
                <w:lang w:val="de-DE" w:eastAsia="fr-FR"/>
              </w:rPr>
              <w:t>sauer, beheizt transportiert</w:t>
            </w:r>
          </w:p>
        </w:tc>
        <w:tc>
          <w:tcPr>
            <w:tcW w:w="2551" w:type="dxa"/>
            <w:tcBorders>
              <w:bottom w:val="single" w:sz="4" w:space="0" w:color="auto"/>
            </w:tcBorders>
            <w:vAlign w:val="center"/>
          </w:tcPr>
          <w:p w14:paraId="4755DD45" w14:textId="77777777" w:rsidR="0000657B" w:rsidRPr="00764A4C" w:rsidRDefault="0000657B" w:rsidP="00745202">
            <w:pPr>
              <w:spacing w:before="60" w:after="60"/>
              <w:rPr>
                <w:rFonts w:cs="Arial"/>
                <w:sz w:val="18"/>
                <w:szCs w:val="18"/>
                <w:lang w:val="de-DE" w:eastAsia="fr-FR"/>
              </w:rPr>
            </w:pPr>
            <w:r w:rsidRPr="00764A4C">
              <w:rPr>
                <w:rFonts w:cs="Arial"/>
                <w:sz w:val="18"/>
                <w:szCs w:val="18"/>
                <w:lang w:val="de-DE" w:eastAsia="fr-FR"/>
              </w:rPr>
              <w:t>Mit Flammendurchschlagsicherung</w:t>
            </w:r>
          </w:p>
        </w:tc>
      </w:tr>
      <w:tr w:rsidR="0000657B" w:rsidRPr="00764A4C" w14:paraId="6389BC63" w14:textId="77777777" w:rsidTr="0000657B">
        <w:trPr>
          <w:jc w:val="center"/>
        </w:trPr>
        <w:tc>
          <w:tcPr>
            <w:tcW w:w="2835" w:type="dxa"/>
          </w:tcPr>
          <w:p w14:paraId="2D24785C" w14:textId="77777777" w:rsidR="0000657B" w:rsidRPr="00764A4C" w:rsidRDefault="0000657B" w:rsidP="00745202">
            <w:pPr>
              <w:spacing w:before="60" w:after="60"/>
              <w:rPr>
                <w:rFonts w:cs="Arial"/>
                <w:sz w:val="18"/>
                <w:szCs w:val="18"/>
                <w:lang w:val="de-DE" w:eastAsia="fr-FR"/>
              </w:rPr>
            </w:pPr>
            <w:r w:rsidRPr="00764A4C">
              <w:rPr>
                <w:rFonts w:cs="Arial"/>
                <w:color w:val="000000"/>
                <w:sz w:val="18"/>
                <w:szCs w:val="18"/>
                <w:lang w:val="de-DE" w:eastAsia="fr-FR"/>
              </w:rPr>
              <w:t xml:space="preserve">60 °C </w:t>
            </w:r>
            <w:r w:rsidRPr="00764A4C">
              <w:rPr>
                <w:rFonts w:cs="Arial"/>
                <w:sz w:val="18"/>
                <w:szCs w:val="18"/>
                <w:lang w:val="de-DE" w:eastAsia="fr-FR"/>
              </w:rPr>
              <w:t>&lt;</w:t>
            </w:r>
            <w:r w:rsidRPr="00764A4C">
              <w:rPr>
                <w:rFonts w:cs="Arial"/>
                <w:color w:val="000000"/>
                <w:sz w:val="18"/>
                <w:szCs w:val="18"/>
                <w:lang w:val="de-DE" w:eastAsia="fr-FR"/>
              </w:rPr>
              <w:t xml:space="preserve"> </w:t>
            </w:r>
            <w:r w:rsidRPr="00764A4C">
              <w:rPr>
                <w:rFonts w:cs="Arial"/>
                <w:sz w:val="18"/>
                <w:szCs w:val="18"/>
                <w:lang w:val="de-DE" w:eastAsia="fr-FR"/>
              </w:rPr>
              <w:t xml:space="preserve">Flammpunkt </w:t>
            </w:r>
            <w:r w:rsidRPr="00764A4C">
              <w:rPr>
                <w:rFonts w:cs="Arial"/>
                <w:color w:val="000000"/>
                <w:sz w:val="18"/>
                <w:szCs w:val="18"/>
                <w:lang w:val="de-DE" w:eastAsia="fr-FR"/>
              </w:rPr>
              <w:sym w:font="Symbol" w:char="F0A3"/>
            </w:r>
            <w:r w:rsidRPr="00764A4C">
              <w:rPr>
                <w:rFonts w:cs="Arial"/>
                <w:sz w:val="18"/>
                <w:szCs w:val="18"/>
                <w:lang w:val="de-DE" w:eastAsia="fr-FR"/>
              </w:rPr>
              <w:t xml:space="preserve"> 100 °C</w:t>
            </w:r>
            <w:r w:rsidRPr="00764A4C">
              <w:rPr>
                <w:rFonts w:cs="Arial"/>
                <w:sz w:val="18"/>
                <w:szCs w:val="18"/>
                <w:lang w:val="de-DE" w:eastAsia="fr-FR"/>
              </w:rPr>
              <w:br/>
            </w:r>
            <w:r>
              <w:rPr>
                <w:rFonts w:cs="Arial"/>
                <w:sz w:val="18"/>
                <w:szCs w:val="18"/>
                <w:lang w:val="de-DE" w:eastAsia="fr-FR"/>
              </w:rPr>
              <w:t xml:space="preserve">oder erwärmter Stoff der </w:t>
            </w:r>
            <w:r>
              <w:rPr>
                <w:rFonts w:cs="Arial"/>
                <w:sz w:val="18"/>
                <w:szCs w:val="18"/>
                <w:lang w:val="de-DE" w:eastAsia="fr-FR"/>
              </w:rPr>
              <w:br/>
              <w:t>Klasse </w:t>
            </w:r>
            <w:r w:rsidRPr="00764A4C">
              <w:rPr>
                <w:rFonts w:cs="Arial"/>
                <w:sz w:val="18"/>
                <w:szCs w:val="18"/>
                <w:lang w:val="de-DE" w:eastAsia="fr-FR"/>
              </w:rPr>
              <w:t>9</w:t>
            </w:r>
          </w:p>
        </w:tc>
        <w:tc>
          <w:tcPr>
            <w:tcW w:w="2835" w:type="dxa"/>
          </w:tcPr>
          <w:p w14:paraId="6B2A23E2" w14:textId="77777777" w:rsidR="0000657B" w:rsidRPr="00764A4C" w:rsidRDefault="0000657B" w:rsidP="00745202">
            <w:pPr>
              <w:spacing w:before="60" w:after="60"/>
              <w:rPr>
                <w:rFonts w:cs="Arial"/>
                <w:sz w:val="18"/>
                <w:szCs w:val="18"/>
                <w:lang w:val="de-DE" w:eastAsia="fr-FR"/>
              </w:rPr>
            </w:pPr>
          </w:p>
        </w:tc>
        <w:tc>
          <w:tcPr>
            <w:tcW w:w="2551" w:type="dxa"/>
            <w:vAlign w:val="center"/>
          </w:tcPr>
          <w:p w14:paraId="4AAF735C" w14:textId="77777777" w:rsidR="0000657B" w:rsidRPr="00764A4C" w:rsidRDefault="0000657B" w:rsidP="00745202">
            <w:pPr>
              <w:spacing w:before="60" w:after="60"/>
              <w:rPr>
                <w:rFonts w:cs="Arial"/>
                <w:sz w:val="18"/>
                <w:szCs w:val="18"/>
                <w:lang w:val="de-DE" w:eastAsia="fr-FR"/>
              </w:rPr>
            </w:pPr>
            <w:r w:rsidRPr="00764A4C">
              <w:rPr>
                <w:rFonts w:cs="Arial"/>
                <w:sz w:val="18"/>
                <w:szCs w:val="18"/>
                <w:lang w:val="de-DE" w:eastAsia="fr-FR"/>
              </w:rPr>
              <w:t>Nicht entzündbar</w:t>
            </w:r>
          </w:p>
        </w:tc>
        <w:tc>
          <w:tcPr>
            <w:tcW w:w="2551" w:type="dxa"/>
            <w:vAlign w:val="center"/>
          </w:tcPr>
          <w:p w14:paraId="47E97DBE" w14:textId="77777777" w:rsidR="0000657B" w:rsidRPr="00764A4C" w:rsidRDefault="0000657B" w:rsidP="00745202">
            <w:pPr>
              <w:spacing w:before="60" w:after="60"/>
              <w:rPr>
                <w:rFonts w:cs="Arial"/>
                <w:sz w:val="18"/>
                <w:szCs w:val="18"/>
                <w:lang w:val="de-DE" w:eastAsia="fr-FR"/>
              </w:rPr>
            </w:pPr>
            <w:r w:rsidRPr="00764A4C">
              <w:rPr>
                <w:rFonts w:cs="Arial"/>
                <w:sz w:val="18"/>
                <w:szCs w:val="18"/>
                <w:lang w:val="de-DE" w:eastAsia="fr-FR"/>
              </w:rPr>
              <w:t>Ohne Flammendurchschlagsicherung</w:t>
            </w:r>
          </w:p>
        </w:tc>
      </w:tr>
    </w:tbl>
    <w:p w14:paraId="360CFE0D" w14:textId="77777777" w:rsidR="00FE3B3E" w:rsidRDefault="00FE3B3E" w:rsidP="00FA5034">
      <w:pPr>
        <w:tabs>
          <w:tab w:val="center" w:pos="4536"/>
        </w:tabs>
        <w:jc w:val="both"/>
        <w:rPr>
          <w:lang w:val="de-DE" w:eastAsia="fr-FR"/>
        </w:rPr>
      </w:pPr>
    </w:p>
    <w:p w14:paraId="2B7B1BA1" w14:textId="77777777" w:rsidR="00FE3B3E" w:rsidRPr="00C71333" w:rsidRDefault="00FE3B3E" w:rsidP="00FA5034">
      <w:pPr>
        <w:tabs>
          <w:tab w:val="center" w:pos="4536"/>
        </w:tabs>
        <w:jc w:val="both"/>
        <w:rPr>
          <w:lang w:val="de-DE" w:eastAsia="fr-FR"/>
        </w:rPr>
        <w:sectPr w:rsidR="00FE3B3E" w:rsidRPr="00C71333" w:rsidSect="00C06C13">
          <w:headerReference w:type="default" r:id="rId21"/>
          <w:footerReference w:type="default" r:id="rId22"/>
          <w:footnotePr>
            <w:numFmt w:val="chicago"/>
            <w:numRestart w:val="eachPage"/>
          </w:footnotePr>
          <w:pgSz w:w="16838" w:h="11906" w:orient="landscape" w:code="9"/>
          <w:pgMar w:top="1418" w:right="1418" w:bottom="1418" w:left="1418" w:header="680" w:footer="680" w:gutter="0"/>
          <w:cols w:space="708"/>
        </w:sectPr>
      </w:pPr>
    </w:p>
    <w:p w14:paraId="2CDFC056" w14:textId="77777777" w:rsidR="00E65269" w:rsidRPr="00E62169" w:rsidRDefault="00E65269" w:rsidP="00FA5034">
      <w:pPr>
        <w:spacing w:after="0"/>
        <w:ind w:right="566"/>
        <w:jc w:val="both"/>
        <w:rPr>
          <w:szCs w:val="24"/>
          <w:lang w:val="de-DE"/>
        </w:rPr>
      </w:pPr>
      <w:r w:rsidRPr="00E62169">
        <w:rPr>
          <w:b/>
          <w:szCs w:val="24"/>
          <w:lang w:val="de-DE"/>
        </w:rPr>
        <w:lastRenderedPageBreak/>
        <w:t>J.</w:t>
      </w:r>
      <w:r w:rsidRPr="00E62169">
        <w:rPr>
          <w:b/>
          <w:szCs w:val="24"/>
          <w:lang w:val="de-DE"/>
        </w:rPr>
        <w:tab/>
        <w:t>Für die Beförderung in Membrantanks zugelassene Stoffe und Kriterien</w:t>
      </w:r>
    </w:p>
    <w:p w14:paraId="1EE27CB5" w14:textId="77777777" w:rsidR="001B6241" w:rsidRDefault="001B6241" w:rsidP="00FA5034">
      <w:pPr>
        <w:spacing w:after="0"/>
        <w:ind w:right="567"/>
        <w:jc w:val="both"/>
        <w:rPr>
          <w:bCs/>
          <w:sz w:val="20"/>
          <w:lang w:val="de-DE"/>
        </w:rPr>
      </w:pPr>
    </w:p>
    <w:p w14:paraId="71D700F2" w14:textId="77777777" w:rsidR="001B6241" w:rsidRDefault="00963BAE" w:rsidP="00FA5034">
      <w:pPr>
        <w:spacing w:after="0"/>
        <w:ind w:right="567"/>
        <w:jc w:val="both"/>
        <w:rPr>
          <w:bCs/>
          <w:sz w:val="20"/>
          <w:lang w:val="de-DE"/>
        </w:rPr>
      </w:pPr>
      <w:r>
        <w:rPr>
          <w:bCs/>
          <w:sz w:val="20"/>
          <w:lang w:val="de-DE"/>
        </w:rPr>
        <w:t>4</w:t>
      </w:r>
      <w:r w:rsidR="0079303F">
        <w:rPr>
          <w:bCs/>
          <w:sz w:val="20"/>
          <w:lang w:val="de-DE"/>
        </w:rPr>
        <w:t>3</w:t>
      </w:r>
      <w:r>
        <w:rPr>
          <w:bCs/>
          <w:sz w:val="20"/>
          <w:lang w:val="de-DE"/>
        </w:rPr>
        <w:t>.</w:t>
      </w:r>
      <w:r>
        <w:rPr>
          <w:bCs/>
          <w:sz w:val="20"/>
          <w:lang w:val="de-DE"/>
        </w:rPr>
        <w:tab/>
        <w:t>Die informelle Arbeitsgruppe „Stoffe“ nahm zunächst einen mündlichen Bericht von der letzten Sitzung der informellen Arbeitsgruppe „Membrantanks“ zur Kenntnis.</w:t>
      </w:r>
    </w:p>
    <w:p w14:paraId="604C31E8" w14:textId="77777777" w:rsidR="001B6241" w:rsidRDefault="001B6241" w:rsidP="00FA5034">
      <w:pPr>
        <w:spacing w:after="0"/>
        <w:ind w:right="567"/>
        <w:jc w:val="both"/>
        <w:rPr>
          <w:bCs/>
          <w:sz w:val="20"/>
          <w:lang w:val="de-DE"/>
        </w:rPr>
      </w:pPr>
    </w:p>
    <w:p w14:paraId="662383FF" w14:textId="77777777" w:rsidR="00E65269" w:rsidRDefault="00963BAE" w:rsidP="00FA5034">
      <w:pPr>
        <w:spacing w:after="0"/>
        <w:ind w:right="567"/>
        <w:jc w:val="both"/>
        <w:rPr>
          <w:bCs/>
          <w:sz w:val="20"/>
          <w:lang w:val="de-DE"/>
        </w:rPr>
      </w:pPr>
      <w:r>
        <w:rPr>
          <w:bCs/>
          <w:sz w:val="20"/>
          <w:lang w:val="de-DE"/>
        </w:rPr>
        <w:t>4</w:t>
      </w:r>
      <w:r w:rsidR="0079303F">
        <w:rPr>
          <w:bCs/>
          <w:sz w:val="20"/>
          <w:lang w:val="de-DE"/>
        </w:rPr>
        <w:t>4</w:t>
      </w:r>
      <w:r>
        <w:rPr>
          <w:bCs/>
          <w:sz w:val="20"/>
          <w:lang w:val="de-DE"/>
        </w:rPr>
        <w:t>.</w:t>
      </w:r>
      <w:r>
        <w:rPr>
          <w:bCs/>
          <w:sz w:val="20"/>
          <w:lang w:val="de-DE"/>
        </w:rPr>
        <w:tab/>
      </w:r>
      <w:r w:rsidR="0023500A">
        <w:rPr>
          <w:bCs/>
          <w:sz w:val="20"/>
          <w:lang w:val="de-DE"/>
        </w:rPr>
        <w:t>Im Weiteren beschäftigte sich die Gruppe mit den 16 UN-Nummern</w:t>
      </w:r>
      <w:r w:rsidR="005E77A9">
        <w:rPr>
          <w:bCs/>
          <w:sz w:val="20"/>
          <w:lang w:val="de-DE"/>
        </w:rPr>
        <w:t xml:space="preserve"> (1005, 1010, 1011, 1012, 1020, 1030, 1033, 1038, 1055, 1063, 1077, 1086, 1965, 1972, 1978 und 2187)</w:t>
      </w:r>
      <w:r w:rsidR="0023500A">
        <w:rPr>
          <w:bCs/>
          <w:sz w:val="20"/>
          <w:lang w:val="de-DE"/>
        </w:rPr>
        <w:t>, die von der informellen Arbeitsgruppe „Membrantanks“ als für die Beförderung in Membrantanks geeignete Stoffe in einem ersten Schritt ausgewählt worden sind. Dabei wurde insbesondere geprüft, ob sich aus den speziellen Vorschriften des IGC Codes im Vergleich zum ADN widersprüchliche oder zusätzliche Anforderungen für die Beförderung mit Binnentank</w:t>
      </w:r>
      <w:r w:rsidR="005E77A9">
        <w:rPr>
          <w:bCs/>
          <w:sz w:val="20"/>
          <w:lang w:val="de-DE"/>
        </w:rPr>
        <w:t xml:space="preserve">schiffen </w:t>
      </w:r>
      <w:r w:rsidR="0023500A">
        <w:rPr>
          <w:bCs/>
          <w:sz w:val="20"/>
          <w:lang w:val="de-DE"/>
        </w:rPr>
        <w:t>ergeben.</w:t>
      </w:r>
    </w:p>
    <w:p w14:paraId="7B8BAAFE" w14:textId="77777777" w:rsidR="00963BAE" w:rsidRDefault="00963BAE" w:rsidP="00FA5034">
      <w:pPr>
        <w:spacing w:after="0"/>
        <w:ind w:right="567"/>
        <w:jc w:val="both"/>
        <w:rPr>
          <w:bCs/>
          <w:sz w:val="20"/>
          <w:lang w:val="de-DE"/>
        </w:rPr>
      </w:pPr>
    </w:p>
    <w:p w14:paraId="382BDEEA" w14:textId="77777777" w:rsidR="00963BAE" w:rsidRDefault="005E77A9" w:rsidP="00FA5034">
      <w:pPr>
        <w:spacing w:after="0"/>
        <w:ind w:right="567"/>
        <w:jc w:val="both"/>
        <w:rPr>
          <w:bCs/>
          <w:sz w:val="20"/>
          <w:lang w:val="de-DE"/>
        </w:rPr>
      </w:pPr>
      <w:r>
        <w:rPr>
          <w:bCs/>
          <w:sz w:val="20"/>
          <w:lang w:val="de-DE"/>
        </w:rPr>
        <w:t>4</w:t>
      </w:r>
      <w:r w:rsidR="0079303F">
        <w:rPr>
          <w:bCs/>
          <w:sz w:val="20"/>
          <w:lang w:val="de-DE"/>
        </w:rPr>
        <w:t>5</w:t>
      </w:r>
      <w:r>
        <w:rPr>
          <w:bCs/>
          <w:sz w:val="20"/>
          <w:lang w:val="de-DE"/>
        </w:rPr>
        <w:t>.</w:t>
      </w:r>
      <w:r>
        <w:rPr>
          <w:bCs/>
          <w:sz w:val="20"/>
          <w:lang w:val="de-DE"/>
        </w:rPr>
        <w:tab/>
        <w:t>Im Zuge dieser Prüfungen kam die informelle Arbeitsgruppe zu folgenden Ergebnissen:</w:t>
      </w:r>
    </w:p>
    <w:p w14:paraId="06138E9A" w14:textId="77777777" w:rsidR="005E77A9" w:rsidRDefault="005E77A9" w:rsidP="00FA5034">
      <w:pPr>
        <w:spacing w:after="0"/>
        <w:ind w:right="567"/>
        <w:jc w:val="both"/>
        <w:rPr>
          <w:bCs/>
          <w:sz w:val="20"/>
          <w:lang w:val="de-DE"/>
        </w:rPr>
      </w:pPr>
    </w:p>
    <w:p w14:paraId="37526A62" w14:textId="77777777" w:rsidR="005E77A9" w:rsidRDefault="005E77A9" w:rsidP="00FA5034">
      <w:pPr>
        <w:pStyle w:val="ListParagraph"/>
        <w:numPr>
          <w:ilvl w:val="0"/>
          <w:numId w:val="29"/>
        </w:numPr>
        <w:ind w:left="1134" w:right="567" w:hanging="567"/>
        <w:jc w:val="both"/>
        <w:rPr>
          <w:bCs/>
          <w:sz w:val="20"/>
          <w:lang w:val="de-DE"/>
        </w:rPr>
      </w:pPr>
      <w:r>
        <w:rPr>
          <w:bCs/>
          <w:sz w:val="20"/>
          <w:lang w:val="de-DE"/>
        </w:rPr>
        <w:t xml:space="preserve">Da für alle in Rede stehenden Stoffe im ADN die Beförderung in G-Schiffen, zum Teil auch gekühlt, bereits geregelt ist, ergeben sich nach Auffassung der </w:t>
      </w:r>
      <w:r w:rsidR="009A42C3">
        <w:rPr>
          <w:bCs/>
          <w:sz w:val="20"/>
          <w:lang w:val="de-DE"/>
        </w:rPr>
        <w:t xml:space="preserve">informellen Arbeitsgruppe „Stoffe“ </w:t>
      </w:r>
      <w:r>
        <w:rPr>
          <w:bCs/>
          <w:sz w:val="20"/>
          <w:lang w:val="de-DE"/>
        </w:rPr>
        <w:t>keine neuen oder veränderten Anforderungen in Bezug auf die persönliche Schutzausrüstung.</w:t>
      </w:r>
    </w:p>
    <w:p w14:paraId="6FC81388" w14:textId="77777777" w:rsidR="005E77A9" w:rsidRDefault="00830F53" w:rsidP="00FA5034">
      <w:pPr>
        <w:pStyle w:val="ListParagraph"/>
        <w:numPr>
          <w:ilvl w:val="0"/>
          <w:numId w:val="29"/>
        </w:numPr>
        <w:ind w:left="1134" w:right="567" w:hanging="567"/>
        <w:jc w:val="both"/>
        <w:rPr>
          <w:bCs/>
          <w:sz w:val="20"/>
          <w:lang w:val="de-DE"/>
        </w:rPr>
      </w:pPr>
      <w:r>
        <w:rPr>
          <w:bCs/>
          <w:sz w:val="20"/>
          <w:lang w:val="de-DE"/>
        </w:rPr>
        <w:t>Die für UN 2187 K</w:t>
      </w:r>
      <w:r w:rsidR="00DD3D52">
        <w:rPr>
          <w:bCs/>
          <w:sz w:val="20"/>
          <w:lang w:val="de-DE"/>
        </w:rPr>
        <w:t>ohlendioxid</w:t>
      </w:r>
      <w:r>
        <w:rPr>
          <w:bCs/>
          <w:sz w:val="20"/>
          <w:lang w:val="de-DE"/>
        </w:rPr>
        <w:t xml:space="preserve">, </w:t>
      </w:r>
      <w:r w:rsidR="00DD3D52">
        <w:rPr>
          <w:bCs/>
          <w:sz w:val="20"/>
          <w:lang w:val="de-DE"/>
        </w:rPr>
        <w:t>tiefgekühlt, flüssig</w:t>
      </w:r>
      <w:r>
        <w:rPr>
          <w:bCs/>
          <w:sz w:val="20"/>
          <w:lang w:val="de-DE"/>
        </w:rPr>
        <w:t xml:space="preserve"> </w:t>
      </w:r>
      <w:r w:rsidR="009A42C3">
        <w:rPr>
          <w:bCs/>
          <w:sz w:val="20"/>
          <w:lang w:val="de-DE"/>
        </w:rPr>
        <w:t xml:space="preserve">(beide Einträge) </w:t>
      </w:r>
      <w:r>
        <w:rPr>
          <w:bCs/>
          <w:sz w:val="20"/>
          <w:lang w:val="de-DE"/>
        </w:rPr>
        <w:t>im IGC Code enthaltenen speziellen Anforderungen deuten nach Meinung der informellen Arbeitsgruppe „Stoffe“ auf eine Beförderung i</w:t>
      </w:r>
      <w:r w:rsidR="00091974">
        <w:rPr>
          <w:bCs/>
          <w:sz w:val="20"/>
          <w:lang w:val="de-DE"/>
        </w:rPr>
        <w:t>n einem</w:t>
      </w:r>
      <w:r>
        <w:rPr>
          <w:bCs/>
          <w:sz w:val="20"/>
          <w:lang w:val="de-DE"/>
        </w:rPr>
        <w:t xml:space="preserve"> Drucktank hin. Es wird empfohlen, nochmals durch die informelle Arbeitsgruppe „Membrantanks“ prüfen zu lassen, ob </w:t>
      </w:r>
      <w:r w:rsidR="000F4F0E">
        <w:rPr>
          <w:bCs/>
          <w:sz w:val="20"/>
          <w:lang w:val="de-DE"/>
        </w:rPr>
        <w:t xml:space="preserve">unter diesen Voraussetzungen </w:t>
      </w:r>
      <w:r>
        <w:rPr>
          <w:bCs/>
          <w:sz w:val="20"/>
          <w:lang w:val="de-DE"/>
        </w:rPr>
        <w:t>eine Beförderung im Membrantank vorgesehen werden soll.</w:t>
      </w:r>
    </w:p>
    <w:p w14:paraId="69A231C1" w14:textId="77777777" w:rsidR="00830F53" w:rsidRDefault="009A42C3" w:rsidP="00FA5034">
      <w:pPr>
        <w:pStyle w:val="ListParagraph"/>
        <w:numPr>
          <w:ilvl w:val="0"/>
          <w:numId w:val="29"/>
        </w:numPr>
        <w:ind w:left="1134" w:right="567" w:hanging="567"/>
        <w:jc w:val="both"/>
        <w:rPr>
          <w:bCs/>
          <w:sz w:val="20"/>
          <w:lang w:val="de-DE"/>
        </w:rPr>
      </w:pPr>
      <w:r>
        <w:rPr>
          <w:bCs/>
          <w:sz w:val="20"/>
          <w:lang w:val="de-DE"/>
        </w:rPr>
        <w:t>In der Diskussion in der informellen Arbeitsgruppe „Stoffe“ konnte keine abschließende Klarheit darüber erzielt werden, ob die Membrantanks in allen Fällen in vollem U</w:t>
      </w:r>
      <w:r w:rsidR="00091974">
        <w:rPr>
          <w:bCs/>
          <w:sz w:val="20"/>
          <w:lang w:val="de-DE"/>
        </w:rPr>
        <w:t>m</w:t>
      </w:r>
      <w:r>
        <w:rPr>
          <w:bCs/>
          <w:sz w:val="20"/>
          <w:lang w:val="de-DE"/>
        </w:rPr>
        <w:t>fang der Definition eines unabhängigen Ladetanks, wie er teilweise im IGC Code gefordert wird, entsprechen. Die informelle Arbeitsgruppe „Stoffe“ empfiehlt, auch diesen Sachverhalt nochmals durch die informelle Arbeitsgruppe „Membrantanks“ prüfen zu lassen.</w:t>
      </w:r>
      <w:r w:rsidR="00091974">
        <w:rPr>
          <w:bCs/>
          <w:sz w:val="20"/>
          <w:lang w:val="de-DE"/>
        </w:rPr>
        <w:t xml:space="preserve"> Die Ergebnisse sollten im ADN bei der Definition des neuen Tanktyps für die Membrantanks berücksichtigt werden.</w:t>
      </w:r>
    </w:p>
    <w:p w14:paraId="0E5BA1F1" w14:textId="77777777" w:rsidR="002F7ACA" w:rsidRPr="005E77A9" w:rsidRDefault="000F4F0E" w:rsidP="00FA5034">
      <w:pPr>
        <w:pStyle w:val="ListParagraph"/>
        <w:numPr>
          <w:ilvl w:val="0"/>
          <w:numId w:val="29"/>
        </w:numPr>
        <w:ind w:left="1134" w:right="567" w:hanging="567"/>
        <w:jc w:val="both"/>
        <w:rPr>
          <w:bCs/>
          <w:sz w:val="20"/>
          <w:lang w:val="de-DE"/>
        </w:rPr>
      </w:pPr>
      <w:r>
        <w:rPr>
          <w:bCs/>
          <w:sz w:val="20"/>
          <w:lang w:val="de-DE"/>
        </w:rPr>
        <w:t xml:space="preserve">Vorsorglich möchte die informelle Arbeitsgruppe „Stoffe“ auch darauf hinweisen, dass bei der Vorschriftenentwicklung für die Beförderung in Membrantanks die Kompatibilität und Konformität mit </w:t>
      </w:r>
      <w:r w:rsidR="00C32B69">
        <w:rPr>
          <w:bCs/>
          <w:sz w:val="20"/>
          <w:lang w:val="de-DE"/>
        </w:rPr>
        <w:t xml:space="preserve">den Anforderungen aus </w:t>
      </w:r>
      <w:r>
        <w:rPr>
          <w:bCs/>
          <w:sz w:val="20"/>
          <w:lang w:val="de-DE"/>
        </w:rPr>
        <w:t xml:space="preserve">dem neuen Explosionsschutzkonzept </w:t>
      </w:r>
      <w:r w:rsidR="004F08D0">
        <w:rPr>
          <w:bCs/>
          <w:sz w:val="20"/>
          <w:lang w:val="de-DE"/>
        </w:rPr>
        <w:t xml:space="preserve">insbesondere in Bezug auf die autonomen Schutzsysteme </w:t>
      </w:r>
      <w:r w:rsidR="00C32B69">
        <w:rPr>
          <w:bCs/>
          <w:sz w:val="20"/>
          <w:lang w:val="de-DE"/>
        </w:rPr>
        <w:t>gegeben sein müssen.</w:t>
      </w:r>
    </w:p>
    <w:p w14:paraId="6C605272" w14:textId="77777777" w:rsidR="00963BAE" w:rsidRDefault="002F7ACA" w:rsidP="00FA5034">
      <w:pPr>
        <w:spacing w:after="0"/>
        <w:ind w:right="567"/>
        <w:jc w:val="both"/>
        <w:rPr>
          <w:bCs/>
          <w:sz w:val="20"/>
          <w:lang w:val="de-DE"/>
        </w:rPr>
      </w:pPr>
      <w:r>
        <w:rPr>
          <w:bCs/>
          <w:sz w:val="20"/>
          <w:lang w:val="de-DE"/>
        </w:rPr>
        <w:t>4</w:t>
      </w:r>
      <w:r w:rsidR="0079303F">
        <w:rPr>
          <w:bCs/>
          <w:sz w:val="20"/>
          <w:lang w:val="de-DE"/>
        </w:rPr>
        <w:t>6</w:t>
      </w:r>
      <w:r>
        <w:rPr>
          <w:bCs/>
          <w:sz w:val="20"/>
          <w:lang w:val="de-DE"/>
        </w:rPr>
        <w:t>.</w:t>
      </w:r>
      <w:r>
        <w:rPr>
          <w:bCs/>
          <w:sz w:val="20"/>
          <w:lang w:val="de-DE"/>
        </w:rPr>
        <w:tab/>
      </w:r>
      <w:r w:rsidR="00091974">
        <w:rPr>
          <w:bCs/>
          <w:sz w:val="20"/>
          <w:lang w:val="de-DE"/>
        </w:rPr>
        <w:t>Ausgehend von der Tatsache, dass zunächst ausschließlich Gase für die Beförderung in Membrantanks vorgesehen sind</w:t>
      </w:r>
      <w:r w:rsidR="00791FFD">
        <w:rPr>
          <w:bCs/>
          <w:sz w:val="20"/>
          <w:lang w:val="de-DE"/>
        </w:rPr>
        <w:t>,</w:t>
      </w:r>
      <w:r w:rsidR="00091974">
        <w:rPr>
          <w:bCs/>
          <w:sz w:val="20"/>
          <w:lang w:val="de-DE"/>
        </w:rPr>
        <w:t xml:space="preserve"> empfiehlt die informelle Arbeitsgruppe „Stoffe“ für die </w:t>
      </w:r>
      <w:r w:rsidR="000F4F0E">
        <w:rPr>
          <w:bCs/>
          <w:sz w:val="20"/>
          <w:lang w:val="de-DE"/>
        </w:rPr>
        <w:t>Einbind</w:t>
      </w:r>
      <w:r w:rsidR="00091974">
        <w:rPr>
          <w:bCs/>
          <w:sz w:val="20"/>
          <w:lang w:val="de-DE"/>
        </w:rPr>
        <w:t>ung in die Systematik des ADN folgende Vorgehensweise:</w:t>
      </w:r>
    </w:p>
    <w:p w14:paraId="4647CC96" w14:textId="77777777" w:rsidR="00091974" w:rsidRDefault="00091974" w:rsidP="00FA5034">
      <w:pPr>
        <w:spacing w:after="0"/>
        <w:ind w:right="567"/>
        <w:jc w:val="both"/>
        <w:rPr>
          <w:bCs/>
          <w:sz w:val="20"/>
          <w:lang w:val="de-DE"/>
        </w:rPr>
      </w:pPr>
    </w:p>
    <w:p w14:paraId="4B8062FE" w14:textId="77777777" w:rsidR="00091974" w:rsidRDefault="00C32B69" w:rsidP="00FA5034">
      <w:pPr>
        <w:pStyle w:val="ListParagraph"/>
        <w:numPr>
          <w:ilvl w:val="0"/>
          <w:numId w:val="30"/>
        </w:numPr>
        <w:ind w:left="1140" w:right="567" w:hanging="567"/>
        <w:jc w:val="both"/>
        <w:rPr>
          <w:bCs/>
          <w:sz w:val="20"/>
          <w:lang w:val="de-DE"/>
        </w:rPr>
      </w:pPr>
      <w:r>
        <w:rPr>
          <w:bCs/>
          <w:sz w:val="20"/>
          <w:lang w:val="de-DE"/>
        </w:rPr>
        <w:t>In Zusammenhang mit dem Entscheidungsdiagramm und den Zuordnungskriterien für die Stoffe</w:t>
      </w:r>
      <w:r w:rsidR="00B227FA">
        <w:rPr>
          <w:bCs/>
          <w:sz w:val="20"/>
          <w:lang w:val="de-DE"/>
        </w:rPr>
        <w:t>,</w:t>
      </w:r>
      <w:r w:rsidR="004F08D0">
        <w:rPr>
          <w:bCs/>
          <w:sz w:val="20"/>
          <w:lang w:val="de-DE"/>
        </w:rPr>
        <w:t xml:space="preserve"> sollten die Stoffe, für die eine Beförderung in Membrantanks vorgesehen werden soll, zunächst in Form einer separaten Auf</w:t>
      </w:r>
      <w:r w:rsidR="00764BA8">
        <w:rPr>
          <w:bCs/>
          <w:sz w:val="20"/>
          <w:lang w:val="de-DE"/>
        </w:rPr>
        <w:t>zähl</w:t>
      </w:r>
      <w:r w:rsidR="004F08D0">
        <w:rPr>
          <w:bCs/>
          <w:sz w:val="20"/>
          <w:lang w:val="de-DE"/>
        </w:rPr>
        <w:t>ung eingefügt werden.</w:t>
      </w:r>
    </w:p>
    <w:p w14:paraId="17629593" w14:textId="77777777" w:rsidR="004F08D0" w:rsidRDefault="004F08D0" w:rsidP="00FA5034">
      <w:pPr>
        <w:pStyle w:val="ListParagraph"/>
        <w:numPr>
          <w:ilvl w:val="0"/>
          <w:numId w:val="30"/>
        </w:numPr>
        <w:ind w:left="1140" w:right="567" w:hanging="567"/>
        <w:jc w:val="both"/>
        <w:rPr>
          <w:bCs/>
          <w:sz w:val="20"/>
          <w:lang w:val="de-DE"/>
        </w:rPr>
      </w:pPr>
      <w:r>
        <w:rPr>
          <w:bCs/>
          <w:sz w:val="20"/>
          <w:lang w:val="de-DE"/>
        </w:rPr>
        <w:t>Entsprechend der vorgenannten Aufzählung sollten dann neue zusätzliche Zeilen in die Tabelle C eingefügt werden.</w:t>
      </w:r>
    </w:p>
    <w:p w14:paraId="3C10E013" w14:textId="77777777" w:rsidR="004F08D0" w:rsidRPr="004F08D0" w:rsidRDefault="0079303F" w:rsidP="007110E7">
      <w:pPr>
        <w:spacing w:after="0"/>
        <w:ind w:right="566"/>
        <w:jc w:val="both"/>
        <w:rPr>
          <w:bCs/>
          <w:sz w:val="20"/>
          <w:lang w:val="de-DE"/>
        </w:rPr>
      </w:pPr>
      <w:r>
        <w:rPr>
          <w:bCs/>
          <w:sz w:val="20"/>
          <w:lang w:val="de-DE"/>
        </w:rPr>
        <w:t>47</w:t>
      </w:r>
      <w:r w:rsidR="004F08D0">
        <w:rPr>
          <w:bCs/>
          <w:sz w:val="20"/>
          <w:lang w:val="de-DE"/>
        </w:rPr>
        <w:t>.</w:t>
      </w:r>
      <w:r w:rsidR="004F08D0">
        <w:rPr>
          <w:bCs/>
          <w:sz w:val="20"/>
          <w:lang w:val="de-DE"/>
        </w:rPr>
        <w:tab/>
        <w:t xml:space="preserve">Dieses Vorgehen ist nach Meinung der informellen Arbeitsgruppe </w:t>
      </w:r>
      <w:r w:rsidR="00764BA8">
        <w:rPr>
          <w:bCs/>
          <w:sz w:val="20"/>
          <w:lang w:val="de-DE"/>
        </w:rPr>
        <w:t xml:space="preserve">zum gegenwärtigen Zeitpunkt </w:t>
      </w:r>
      <w:r w:rsidR="004F08D0">
        <w:rPr>
          <w:bCs/>
          <w:sz w:val="20"/>
          <w:lang w:val="de-DE"/>
        </w:rPr>
        <w:t xml:space="preserve">mit dem geringsten Aufwand für Implementierung und Pflege der neuen Vorschriften für die Beförderung in Membrantanks verbunden. </w:t>
      </w:r>
      <w:r w:rsidR="00764BA8">
        <w:rPr>
          <w:bCs/>
          <w:sz w:val="20"/>
          <w:lang w:val="de-DE"/>
        </w:rPr>
        <w:t>A</w:t>
      </w:r>
      <w:r w:rsidR="004F08D0">
        <w:rPr>
          <w:bCs/>
          <w:sz w:val="20"/>
          <w:lang w:val="de-DE"/>
        </w:rPr>
        <w:t xml:space="preserve">uf diese Art und Weise </w:t>
      </w:r>
      <w:r w:rsidR="00764BA8">
        <w:rPr>
          <w:bCs/>
          <w:sz w:val="20"/>
          <w:lang w:val="de-DE"/>
        </w:rPr>
        <w:t xml:space="preserve">können </w:t>
      </w:r>
      <w:r w:rsidR="004F08D0">
        <w:rPr>
          <w:bCs/>
          <w:sz w:val="20"/>
          <w:lang w:val="de-DE"/>
        </w:rPr>
        <w:t xml:space="preserve">zunächst Erfahrungen gesammelt werden und die Möglichkeiten für weitere </w:t>
      </w:r>
      <w:r w:rsidR="00764BA8">
        <w:rPr>
          <w:bCs/>
          <w:sz w:val="20"/>
          <w:lang w:val="de-DE"/>
        </w:rPr>
        <w:t>Vorschriftene</w:t>
      </w:r>
      <w:r w:rsidR="004F08D0">
        <w:rPr>
          <w:bCs/>
          <w:sz w:val="20"/>
          <w:lang w:val="de-DE"/>
        </w:rPr>
        <w:t>ntwicklungen werden nicht eingeschränkt.</w:t>
      </w:r>
    </w:p>
    <w:p w14:paraId="6E71112A" w14:textId="77777777" w:rsidR="00091974" w:rsidRDefault="00091974" w:rsidP="007110E7">
      <w:pPr>
        <w:spacing w:after="0"/>
        <w:ind w:right="566"/>
        <w:jc w:val="both"/>
        <w:rPr>
          <w:bCs/>
          <w:sz w:val="20"/>
          <w:lang w:val="de-DE"/>
        </w:rPr>
      </w:pPr>
    </w:p>
    <w:p w14:paraId="02AC776A" w14:textId="77777777" w:rsidR="00C74650" w:rsidRDefault="00C74650" w:rsidP="00FA5034">
      <w:pPr>
        <w:spacing w:after="0"/>
        <w:jc w:val="both"/>
        <w:rPr>
          <w:bCs/>
          <w:sz w:val="20"/>
          <w:lang w:val="de-DE"/>
        </w:rPr>
      </w:pPr>
      <w:r>
        <w:rPr>
          <w:bCs/>
          <w:sz w:val="20"/>
          <w:lang w:val="de-DE"/>
        </w:rPr>
        <w:br w:type="page"/>
      </w:r>
    </w:p>
    <w:p w14:paraId="2D6DDA6D" w14:textId="77777777" w:rsidR="00963BAE" w:rsidRDefault="00963BAE" w:rsidP="00FA5034">
      <w:pPr>
        <w:spacing w:after="0"/>
        <w:ind w:right="567"/>
        <w:jc w:val="both"/>
        <w:rPr>
          <w:bCs/>
          <w:sz w:val="20"/>
          <w:lang w:val="de-DE"/>
        </w:rPr>
      </w:pPr>
    </w:p>
    <w:p w14:paraId="6A6154EC" w14:textId="77777777" w:rsidR="00E65269" w:rsidRPr="00E62169" w:rsidRDefault="00E65269" w:rsidP="00FA5034">
      <w:pPr>
        <w:spacing w:after="0"/>
        <w:ind w:right="566"/>
        <w:jc w:val="both"/>
        <w:rPr>
          <w:b/>
          <w:szCs w:val="24"/>
          <w:lang w:val="de-DE"/>
        </w:rPr>
      </w:pPr>
      <w:r w:rsidRPr="00E62169">
        <w:rPr>
          <w:b/>
          <w:szCs w:val="24"/>
          <w:lang w:val="de-DE"/>
        </w:rPr>
        <w:t>K.</w:t>
      </w:r>
      <w:r w:rsidRPr="00E62169">
        <w:rPr>
          <w:b/>
          <w:szCs w:val="24"/>
          <w:lang w:val="de-DE"/>
        </w:rPr>
        <w:tab/>
        <w:t>Al</w:t>
      </w:r>
      <w:r w:rsidR="00F42F12" w:rsidRPr="00E62169">
        <w:rPr>
          <w:b/>
          <w:szCs w:val="24"/>
          <w:lang w:val="de-DE"/>
        </w:rPr>
        <w:t>l</w:t>
      </w:r>
      <w:r w:rsidRPr="00E62169">
        <w:rPr>
          <w:b/>
          <w:szCs w:val="24"/>
          <w:lang w:val="de-DE"/>
        </w:rPr>
        <w:t>fälliges</w:t>
      </w:r>
    </w:p>
    <w:p w14:paraId="3303E3F6" w14:textId="77777777" w:rsidR="001B6241" w:rsidRDefault="001B6241" w:rsidP="00FA5034">
      <w:pPr>
        <w:spacing w:after="0"/>
        <w:ind w:right="567"/>
        <w:jc w:val="both"/>
        <w:rPr>
          <w:bCs/>
          <w:sz w:val="20"/>
          <w:lang w:val="de-DE"/>
        </w:rPr>
      </w:pPr>
    </w:p>
    <w:p w14:paraId="374D225E" w14:textId="77777777" w:rsidR="001B6241" w:rsidRDefault="00DD3D52" w:rsidP="00FA5034">
      <w:pPr>
        <w:spacing w:after="0"/>
        <w:ind w:right="567"/>
        <w:jc w:val="both"/>
        <w:rPr>
          <w:bCs/>
          <w:sz w:val="20"/>
          <w:lang w:val="de-DE"/>
        </w:rPr>
      </w:pPr>
      <w:r>
        <w:rPr>
          <w:bCs/>
          <w:sz w:val="20"/>
          <w:lang w:val="de-DE"/>
        </w:rPr>
        <w:t>4</w:t>
      </w:r>
      <w:r w:rsidR="0079303F">
        <w:rPr>
          <w:bCs/>
          <w:sz w:val="20"/>
          <w:lang w:val="de-DE"/>
        </w:rPr>
        <w:t>8</w:t>
      </w:r>
      <w:r>
        <w:rPr>
          <w:bCs/>
          <w:sz w:val="20"/>
          <w:lang w:val="de-DE"/>
        </w:rPr>
        <w:t>.</w:t>
      </w:r>
      <w:r>
        <w:rPr>
          <w:bCs/>
          <w:sz w:val="20"/>
          <w:lang w:val="de-DE"/>
        </w:rPr>
        <w:tab/>
        <w:t xml:space="preserve">Im Rahmen ihrer Tätigkeit hat die informelle Arbeitsgruppe „Stoffe“ festgestellt, dass in der Tabelle C in der Zeile für den Eintrag UN 2924 Entzündbarer flüssiger Stoff, ätzend, </w:t>
      </w:r>
      <w:proofErr w:type="spellStart"/>
      <w:r>
        <w:rPr>
          <w:bCs/>
          <w:sz w:val="20"/>
          <w:lang w:val="de-DE"/>
        </w:rPr>
        <w:t>n.a.g</w:t>
      </w:r>
      <w:proofErr w:type="spellEnd"/>
      <w:r>
        <w:rPr>
          <w:bCs/>
          <w:sz w:val="20"/>
          <w:lang w:val="de-DE"/>
        </w:rPr>
        <w:t>., Verpackungsgruppe III, mit Angabe der Explosionsschutz-Untergruppe II B3 in Spalte (16), in der Spalte (20) die Angabe für die Bemerkung 44 fehlt.</w:t>
      </w:r>
    </w:p>
    <w:p w14:paraId="252C4D5C" w14:textId="77777777" w:rsidR="00DD3D52" w:rsidRDefault="00DD3D52" w:rsidP="00FA5034">
      <w:pPr>
        <w:spacing w:after="0"/>
        <w:ind w:right="567"/>
        <w:jc w:val="both"/>
        <w:rPr>
          <w:bCs/>
          <w:sz w:val="20"/>
          <w:lang w:val="de-DE"/>
        </w:rPr>
      </w:pPr>
    </w:p>
    <w:p w14:paraId="2FA09AC3" w14:textId="77777777" w:rsidR="00DD3D52" w:rsidRDefault="00DD3D52" w:rsidP="00FA5034">
      <w:pPr>
        <w:spacing w:after="0"/>
        <w:ind w:right="567"/>
        <w:jc w:val="both"/>
        <w:rPr>
          <w:bCs/>
          <w:sz w:val="20"/>
          <w:lang w:val="de-DE"/>
        </w:rPr>
      </w:pPr>
      <w:r>
        <w:rPr>
          <w:bCs/>
          <w:sz w:val="20"/>
          <w:lang w:val="de-DE"/>
        </w:rPr>
        <w:t>4</w:t>
      </w:r>
      <w:r w:rsidR="0079303F">
        <w:rPr>
          <w:bCs/>
          <w:sz w:val="20"/>
          <w:lang w:val="de-DE"/>
        </w:rPr>
        <w:t>9</w:t>
      </w:r>
      <w:r>
        <w:rPr>
          <w:bCs/>
          <w:sz w:val="20"/>
          <w:lang w:val="de-DE"/>
        </w:rPr>
        <w:t>.</w:t>
      </w:r>
      <w:r>
        <w:rPr>
          <w:bCs/>
          <w:sz w:val="20"/>
          <w:lang w:val="de-DE"/>
        </w:rPr>
        <w:tab/>
      </w:r>
      <w:r w:rsidR="00FA1C99">
        <w:rPr>
          <w:bCs/>
          <w:sz w:val="20"/>
          <w:lang w:val="de-DE"/>
        </w:rPr>
        <w:t xml:space="preserve">Außerdem wurde der Hinweis gegeben, dass die Bemerkung 37 </w:t>
      </w:r>
      <w:r w:rsidR="00C74650">
        <w:rPr>
          <w:bCs/>
          <w:sz w:val="20"/>
          <w:lang w:val="de-DE"/>
        </w:rPr>
        <w:t>(„</w:t>
      </w:r>
      <w:r w:rsidR="00C74650" w:rsidRPr="00C74650">
        <w:rPr>
          <w:bCs/>
          <w:sz w:val="20"/>
          <w:lang w:val="de-DE"/>
        </w:rPr>
        <w:t>Für diesen Stoff muss das Ladungsbehältersystem dem vollen Dampfdruck der Ladung bei den oberen Umgebungstemperaturen standhalten können, unabhängig vom gewählten System für die Behandlung von verdampfenden Gasen.</w:t>
      </w:r>
      <w:r w:rsidR="00C74650">
        <w:rPr>
          <w:bCs/>
          <w:sz w:val="20"/>
          <w:lang w:val="de-DE"/>
        </w:rPr>
        <w:t xml:space="preserve">“) </w:t>
      </w:r>
      <w:r w:rsidR="00FA1C99">
        <w:rPr>
          <w:bCs/>
          <w:sz w:val="20"/>
          <w:lang w:val="de-DE"/>
        </w:rPr>
        <w:t>in der aktuellen Tabelle C nicht verwendet wird.</w:t>
      </w:r>
    </w:p>
    <w:p w14:paraId="3F5E0A99" w14:textId="77777777" w:rsidR="001B6241" w:rsidRDefault="001B6241" w:rsidP="00FA5034">
      <w:pPr>
        <w:spacing w:after="0"/>
        <w:ind w:right="567"/>
        <w:jc w:val="both"/>
        <w:rPr>
          <w:bCs/>
          <w:sz w:val="20"/>
          <w:lang w:val="de-DE"/>
        </w:rPr>
      </w:pPr>
    </w:p>
    <w:p w14:paraId="785A98FA" w14:textId="77777777" w:rsidR="001B6241" w:rsidRPr="00B928D3" w:rsidRDefault="001B6241" w:rsidP="00FA5034">
      <w:pPr>
        <w:spacing w:after="0"/>
        <w:ind w:right="567"/>
        <w:jc w:val="both"/>
        <w:rPr>
          <w:bCs/>
          <w:sz w:val="20"/>
          <w:lang w:val="de-DE"/>
        </w:rPr>
      </w:pPr>
    </w:p>
    <w:p w14:paraId="46AB9792" w14:textId="77777777" w:rsidR="00D81755" w:rsidRPr="000B697D" w:rsidRDefault="0071130B" w:rsidP="004547E6">
      <w:pPr>
        <w:spacing w:after="0"/>
        <w:ind w:left="567" w:right="566" w:hanging="567"/>
        <w:jc w:val="center"/>
        <w:rPr>
          <w:sz w:val="20"/>
          <w:lang w:val="de-DE"/>
        </w:rPr>
      </w:pPr>
      <w:r>
        <w:rPr>
          <w:sz w:val="20"/>
          <w:lang w:val="de-DE"/>
        </w:rPr>
        <w:t>***</w:t>
      </w:r>
    </w:p>
    <w:sectPr w:rsidR="00D81755" w:rsidRPr="000B697D" w:rsidSect="003F343E">
      <w:headerReference w:type="first" r:id="rId23"/>
      <w:endnotePr>
        <w:numFmt w:val="decimal"/>
      </w:endnotePr>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DC2FA" w14:textId="77777777" w:rsidR="005156D2" w:rsidRDefault="005156D2">
      <w:pPr>
        <w:pStyle w:val="Footer"/>
      </w:pPr>
    </w:p>
  </w:endnote>
  <w:endnote w:type="continuationSeparator" w:id="0">
    <w:p w14:paraId="7911F3CF" w14:textId="77777777" w:rsidR="005156D2" w:rsidRDefault="005156D2">
      <w:pPr>
        <w:spacing w:after="0"/>
      </w:pPr>
    </w:p>
  </w:endnote>
  <w:endnote w:type="continuationNotice" w:id="1">
    <w:p w14:paraId="203CD2D2" w14:textId="77777777" w:rsidR="005156D2" w:rsidRDefault="005156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6112" w14:textId="054A118C" w:rsidR="00155839" w:rsidRDefault="00155839" w:rsidP="00155839">
    <w:pPr>
      <w:suppressAutoHyphens/>
      <w:spacing w:after="0" w:line="240" w:lineRule="atLeast"/>
      <w:jc w:val="right"/>
    </w:pPr>
    <w:r w:rsidRPr="00EA2AB2">
      <w:rPr>
        <w:rFonts w:ascii="Arial" w:hAnsi="Arial"/>
        <w:noProof/>
        <w:snapToGrid w:val="0"/>
        <w:sz w:val="12"/>
        <w:szCs w:val="24"/>
        <w:lang w:eastAsia="fr-FR"/>
      </w:rPr>
      <w:t>mm/adn_wp15_ac2_35_inf</w:t>
    </w:r>
    <w:r w:rsidR="007110E7">
      <w:rPr>
        <w:rFonts w:ascii="Arial" w:hAnsi="Arial"/>
        <w:noProof/>
        <w:snapToGrid w:val="0"/>
        <w:sz w:val="12"/>
        <w:szCs w:val="24"/>
        <w:lang w:eastAsia="fr-FR"/>
      </w:rPr>
      <w:t>7</w:t>
    </w:r>
    <w:r w:rsidRPr="00EA2AB2">
      <w:rPr>
        <w:rFonts w:ascii="Arial" w:hAnsi="Arial"/>
        <w:noProof/>
        <w:snapToGrid w:val="0"/>
        <w:sz w:val="12"/>
        <w:szCs w:val="24"/>
        <w:lang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3782" w14:textId="5AE04833" w:rsidR="00155839" w:rsidRDefault="00155839" w:rsidP="00155839">
    <w:pPr>
      <w:suppressAutoHyphens/>
      <w:spacing w:after="0" w:line="240" w:lineRule="atLeast"/>
      <w:jc w:val="right"/>
    </w:pPr>
    <w:r w:rsidRPr="00EA2AB2">
      <w:rPr>
        <w:rFonts w:ascii="Arial" w:hAnsi="Arial"/>
        <w:noProof/>
        <w:snapToGrid w:val="0"/>
        <w:sz w:val="12"/>
        <w:szCs w:val="24"/>
        <w:lang w:eastAsia="fr-FR"/>
      </w:rPr>
      <w:t>mm/adn_wp15_ac2_35_inf</w:t>
    </w:r>
    <w:r w:rsidR="007110E7">
      <w:rPr>
        <w:rFonts w:ascii="Arial" w:hAnsi="Arial"/>
        <w:noProof/>
        <w:snapToGrid w:val="0"/>
        <w:sz w:val="12"/>
        <w:szCs w:val="24"/>
        <w:lang w:eastAsia="fr-FR"/>
      </w:rPr>
      <w:t>7</w:t>
    </w:r>
    <w:r w:rsidRPr="00EA2AB2">
      <w:rPr>
        <w:rFonts w:ascii="Arial" w:hAnsi="Arial"/>
        <w:noProof/>
        <w:snapToGrid w:val="0"/>
        <w:sz w:val="12"/>
        <w:szCs w:val="24"/>
        <w:lang w:eastAsia="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77F1" w14:textId="26CA9BB0" w:rsidR="008827F5" w:rsidRPr="00AE626B" w:rsidRDefault="00155839" w:rsidP="00155839">
    <w:pPr>
      <w:suppressAutoHyphens/>
      <w:spacing w:after="0" w:line="240" w:lineRule="atLeast"/>
      <w:jc w:val="right"/>
    </w:pPr>
    <w:r w:rsidRPr="00EA2AB2">
      <w:rPr>
        <w:rFonts w:ascii="Arial" w:hAnsi="Arial"/>
        <w:noProof/>
        <w:snapToGrid w:val="0"/>
        <w:sz w:val="12"/>
        <w:szCs w:val="24"/>
        <w:lang w:eastAsia="fr-FR"/>
      </w:rPr>
      <w:t>mm/adn_wp15_ac2_35_inf</w:t>
    </w:r>
    <w:r w:rsidR="007110E7">
      <w:rPr>
        <w:rFonts w:ascii="Arial" w:hAnsi="Arial"/>
        <w:noProof/>
        <w:snapToGrid w:val="0"/>
        <w:sz w:val="12"/>
        <w:szCs w:val="24"/>
        <w:lang w:eastAsia="fr-FR"/>
      </w:rPr>
      <w:t>7</w:t>
    </w:r>
    <w:r w:rsidRPr="00EA2AB2">
      <w:rPr>
        <w:rFonts w:ascii="Arial" w:hAnsi="Arial"/>
        <w:noProof/>
        <w:snapToGrid w:val="0"/>
        <w:sz w:val="12"/>
        <w:szCs w:val="24"/>
        <w:lang w:eastAsia="fr-FR"/>
      </w:rPr>
      <w:t>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0008" w14:textId="525B5729" w:rsidR="00FE3B3E" w:rsidRPr="00261997" w:rsidRDefault="00EA2AB2" w:rsidP="00EA2AB2">
    <w:pPr>
      <w:suppressAutoHyphens/>
      <w:spacing w:after="0" w:line="240" w:lineRule="atLeast"/>
      <w:jc w:val="right"/>
    </w:pPr>
    <w:bookmarkStart w:id="2" w:name="_Hlk12885335"/>
    <w:bookmarkStart w:id="3" w:name="_Hlk12885336"/>
    <w:bookmarkStart w:id="4" w:name="_Hlk12885352"/>
    <w:bookmarkStart w:id="5" w:name="_Hlk12885353"/>
    <w:r w:rsidRPr="00EA2AB2">
      <w:rPr>
        <w:rFonts w:ascii="Arial" w:hAnsi="Arial"/>
        <w:noProof/>
        <w:snapToGrid w:val="0"/>
        <w:sz w:val="12"/>
        <w:szCs w:val="24"/>
        <w:lang w:eastAsia="fr-FR"/>
      </w:rPr>
      <w:t>mm/adn_wp15_ac2_35_inf</w:t>
    </w:r>
    <w:r w:rsidR="007110E7">
      <w:rPr>
        <w:rFonts w:ascii="Arial" w:hAnsi="Arial"/>
        <w:noProof/>
        <w:snapToGrid w:val="0"/>
        <w:sz w:val="12"/>
        <w:szCs w:val="24"/>
        <w:lang w:eastAsia="fr-FR"/>
      </w:rPr>
      <w:t>7</w:t>
    </w:r>
    <w:r w:rsidRPr="00EA2AB2">
      <w:rPr>
        <w:rFonts w:ascii="Arial" w:hAnsi="Arial"/>
        <w:noProof/>
        <w:snapToGrid w:val="0"/>
        <w:sz w:val="12"/>
        <w:szCs w:val="24"/>
        <w:lang w:eastAsia="fr-FR"/>
      </w:rPr>
      <w:t>de</w:t>
    </w:r>
    <w:bookmarkEnd w:id="2"/>
    <w:bookmarkEnd w:id="3"/>
    <w:bookmarkEnd w:id="4"/>
    <w:bookmarkEnd w:id="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E1CF" w14:textId="5A513024" w:rsidR="00FE3B3E" w:rsidRPr="00AA7B60" w:rsidRDefault="00155839" w:rsidP="00155839">
    <w:pPr>
      <w:suppressAutoHyphens/>
      <w:spacing w:after="0" w:line="240" w:lineRule="atLeast"/>
      <w:jc w:val="right"/>
    </w:pPr>
    <w:r w:rsidRPr="00EA2AB2">
      <w:rPr>
        <w:rFonts w:ascii="Arial" w:hAnsi="Arial"/>
        <w:noProof/>
        <w:snapToGrid w:val="0"/>
        <w:sz w:val="12"/>
        <w:szCs w:val="24"/>
        <w:lang w:eastAsia="fr-FR"/>
      </w:rPr>
      <w:t>mm/adn_wp15_ac2_35_inf</w:t>
    </w:r>
    <w:r w:rsidR="007110E7">
      <w:rPr>
        <w:rFonts w:ascii="Arial" w:hAnsi="Arial"/>
        <w:noProof/>
        <w:snapToGrid w:val="0"/>
        <w:sz w:val="12"/>
        <w:szCs w:val="24"/>
        <w:lang w:eastAsia="fr-FR"/>
      </w:rPr>
      <w:t>7</w:t>
    </w:r>
    <w:r w:rsidRPr="00EA2AB2">
      <w:rPr>
        <w:rFonts w:ascii="Arial" w:hAnsi="Arial"/>
        <w:noProof/>
        <w:snapToGrid w:val="0"/>
        <w:sz w:val="12"/>
        <w:szCs w:val="24"/>
        <w:lang w:eastAsia="fr-FR"/>
      </w:rPr>
      <w:t>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C2B0" w14:textId="597F0581" w:rsidR="00FE3B3E" w:rsidRPr="00155839" w:rsidRDefault="00155839" w:rsidP="00155839">
    <w:pPr>
      <w:suppressAutoHyphens/>
      <w:spacing w:after="0" w:line="240" w:lineRule="atLeast"/>
      <w:jc w:val="right"/>
    </w:pPr>
    <w:r w:rsidRPr="00EA2AB2">
      <w:rPr>
        <w:rFonts w:ascii="Arial" w:hAnsi="Arial"/>
        <w:noProof/>
        <w:snapToGrid w:val="0"/>
        <w:sz w:val="12"/>
        <w:szCs w:val="24"/>
        <w:lang w:eastAsia="fr-FR"/>
      </w:rPr>
      <w:t>mm/adn_wp15_ac2_35_inf</w:t>
    </w:r>
    <w:r w:rsidR="007110E7">
      <w:rPr>
        <w:rFonts w:ascii="Arial" w:hAnsi="Arial"/>
        <w:noProof/>
        <w:snapToGrid w:val="0"/>
        <w:sz w:val="12"/>
        <w:szCs w:val="24"/>
        <w:lang w:eastAsia="fr-FR"/>
      </w:rPr>
      <w:t>7</w:t>
    </w:r>
    <w:r w:rsidRPr="00EA2AB2">
      <w:rPr>
        <w:rFonts w:ascii="Arial" w:hAnsi="Arial"/>
        <w:noProof/>
        <w:snapToGrid w:val="0"/>
        <w:sz w:val="12"/>
        <w:szCs w:val="24"/>
        <w:lang w:eastAsia="fr-FR"/>
      </w:rPr>
      <w:t>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8734D" w14:textId="50555033" w:rsidR="00FE3B3E" w:rsidRPr="00155839" w:rsidRDefault="00155839" w:rsidP="00155839">
    <w:pPr>
      <w:suppressAutoHyphens/>
      <w:spacing w:after="0" w:line="240" w:lineRule="atLeast"/>
      <w:jc w:val="right"/>
    </w:pPr>
    <w:r w:rsidRPr="00EA2AB2">
      <w:rPr>
        <w:rFonts w:ascii="Arial" w:hAnsi="Arial"/>
        <w:noProof/>
        <w:snapToGrid w:val="0"/>
        <w:sz w:val="12"/>
        <w:szCs w:val="24"/>
        <w:lang w:eastAsia="fr-FR"/>
      </w:rPr>
      <w:t>mm/adn_wp15_ac2_35_inf</w:t>
    </w:r>
    <w:r w:rsidR="007110E7">
      <w:rPr>
        <w:rFonts w:ascii="Arial" w:hAnsi="Arial"/>
        <w:noProof/>
        <w:snapToGrid w:val="0"/>
        <w:sz w:val="12"/>
        <w:szCs w:val="24"/>
        <w:lang w:eastAsia="fr-FR"/>
      </w:rPr>
      <w:t>7</w:t>
    </w:r>
    <w:r w:rsidRPr="00EA2AB2">
      <w:rPr>
        <w:rFonts w:ascii="Arial" w:hAnsi="Arial"/>
        <w:noProof/>
        <w:snapToGrid w:val="0"/>
        <w:sz w:val="12"/>
        <w:szCs w:val="24"/>
        <w:lang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9B69F" w14:textId="77777777" w:rsidR="005156D2" w:rsidRDefault="005156D2">
      <w:pPr>
        <w:spacing w:after="0"/>
      </w:pPr>
      <w:r>
        <w:separator/>
      </w:r>
    </w:p>
  </w:footnote>
  <w:footnote w:type="continuationSeparator" w:id="0">
    <w:p w14:paraId="7D18CA07" w14:textId="77777777" w:rsidR="005156D2" w:rsidRDefault="005156D2">
      <w:pPr>
        <w:spacing w:after="0"/>
        <w:rPr>
          <w:u w:val="single"/>
        </w:rPr>
      </w:pPr>
      <w:r>
        <w:rPr>
          <w:u w:val="single"/>
        </w:rPr>
        <w:tab/>
      </w:r>
      <w:r>
        <w:rPr>
          <w:u w:val="single"/>
        </w:rPr>
        <w:tab/>
      </w:r>
      <w:r>
        <w:rPr>
          <w:u w:val="single"/>
        </w:rPr>
        <w:tab/>
      </w:r>
      <w:r>
        <w:rPr>
          <w:u w:val="single"/>
        </w:rPr>
        <w:tab/>
      </w:r>
    </w:p>
  </w:footnote>
  <w:footnote w:type="continuationNotice" w:id="1">
    <w:p w14:paraId="4284719C" w14:textId="77777777" w:rsidR="005156D2" w:rsidRDefault="005156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85E4" w14:textId="42641B70" w:rsidR="00EA2AB2" w:rsidRPr="00EA2AB2" w:rsidRDefault="00EA2AB2" w:rsidP="00EA2AB2">
    <w:pPr>
      <w:suppressAutoHyphens/>
      <w:spacing w:after="0"/>
      <w:rPr>
        <w:rFonts w:ascii="Arial" w:hAnsi="Arial"/>
        <w:sz w:val="16"/>
        <w:szCs w:val="16"/>
        <w:lang w:eastAsia="fr-FR"/>
      </w:rPr>
    </w:pPr>
    <w:r w:rsidRPr="00EA2AB2">
      <w:rPr>
        <w:rFonts w:ascii="Arial" w:hAnsi="Arial"/>
        <w:sz w:val="16"/>
        <w:szCs w:val="16"/>
        <w:lang w:eastAsia="fr-FR"/>
      </w:rPr>
      <w:t>CCNR-ZKR/ADN/WP.15/AC.2/35/INF.</w:t>
    </w:r>
    <w:r w:rsidR="007110E7">
      <w:rPr>
        <w:rFonts w:ascii="Arial" w:hAnsi="Arial"/>
        <w:sz w:val="16"/>
        <w:szCs w:val="16"/>
        <w:lang w:eastAsia="fr-FR"/>
      </w:rPr>
      <w:t>7</w:t>
    </w:r>
  </w:p>
  <w:p w14:paraId="054CACB5" w14:textId="0DCD9FEA" w:rsidR="00EA2AB2" w:rsidRPr="00EA2AB2" w:rsidRDefault="00EA2AB2" w:rsidP="00EA2AB2">
    <w:pPr>
      <w:suppressAutoHyphens/>
      <w:spacing w:after="0"/>
    </w:pPr>
    <w:r w:rsidRPr="00EA2AB2">
      <w:rPr>
        <w:rFonts w:ascii="Arial" w:hAnsi="Arial"/>
        <w:sz w:val="16"/>
        <w:szCs w:val="16"/>
        <w:lang w:val="fr-CH" w:eastAsia="fr-FR"/>
      </w:rPr>
      <w:t xml:space="preserve">Seite </w:t>
    </w:r>
    <w:r w:rsidRPr="00EA2AB2">
      <w:rPr>
        <w:rFonts w:ascii="Arial" w:hAnsi="Arial"/>
        <w:sz w:val="16"/>
        <w:szCs w:val="16"/>
        <w:lang w:val="fr-CH" w:eastAsia="fr-FR"/>
      </w:rPr>
      <w:fldChar w:fldCharType="begin"/>
    </w:r>
    <w:r w:rsidRPr="00EA2AB2">
      <w:rPr>
        <w:rFonts w:ascii="Arial" w:hAnsi="Arial"/>
        <w:sz w:val="16"/>
        <w:szCs w:val="16"/>
        <w:lang w:val="fr-CH" w:eastAsia="fr-FR"/>
      </w:rPr>
      <w:instrText xml:space="preserve"> PAGE  \* MERGEFORMAT </w:instrText>
    </w:r>
    <w:r w:rsidRPr="00EA2AB2">
      <w:rPr>
        <w:rFonts w:ascii="Arial" w:hAnsi="Arial"/>
        <w:sz w:val="16"/>
        <w:szCs w:val="16"/>
        <w:lang w:val="fr-CH" w:eastAsia="fr-FR"/>
      </w:rPr>
      <w:fldChar w:fldCharType="separate"/>
    </w:r>
    <w:r w:rsidRPr="00EA2AB2">
      <w:rPr>
        <w:rFonts w:ascii="Arial" w:hAnsi="Arial"/>
        <w:sz w:val="16"/>
        <w:szCs w:val="16"/>
        <w:lang w:val="fr-CH" w:eastAsia="fr-FR"/>
      </w:rPr>
      <w:t>2</w:t>
    </w:r>
    <w:r w:rsidRPr="00EA2AB2">
      <w:rPr>
        <w:rFonts w:ascii="Arial" w:hAnsi="Arial"/>
        <w:sz w:val="16"/>
        <w:szCs w:val="16"/>
        <w:lang w:val="fr-CH"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0C52" w14:textId="7CE3ACA2" w:rsidR="00EA2AB2" w:rsidRPr="00EA2AB2" w:rsidRDefault="00EA2AB2" w:rsidP="00EA2AB2">
    <w:pPr>
      <w:suppressAutoHyphens/>
      <w:spacing w:after="0"/>
      <w:jc w:val="right"/>
      <w:rPr>
        <w:rFonts w:ascii="Arial" w:hAnsi="Arial"/>
        <w:sz w:val="16"/>
        <w:szCs w:val="16"/>
        <w:lang w:eastAsia="fr-FR"/>
      </w:rPr>
    </w:pPr>
    <w:r w:rsidRPr="00EA2AB2">
      <w:rPr>
        <w:rFonts w:ascii="Arial" w:hAnsi="Arial"/>
        <w:sz w:val="16"/>
        <w:szCs w:val="16"/>
        <w:lang w:eastAsia="fr-FR"/>
      </w:rPr>
      <w:t>CCNR-ZKR/ADN/WP.15/AC.2/35/INF.</w:t>
    </w:r>
    <w:r w:rsidR="007110E7">
      <w:rPr>
        <w:rFonts w:ascii="Arial" w:hAnsi="Arial"/>
        <w:sz w:val="16"/>
        <w:szCs w:val="16"/>
        <w:lang w:eastAsia="fr-FR"/>
      </w:rPr>
      <w:t>7</w:t>
    </w:r>
  </w:p>
  <w:p w14:paraId="77F1F46A" w14:textId="059FECF0" w:rsidR="00EA2AB2" w:rsidRDefault="00EA2AB2" w:rsidP="00EA2AB2">
    <w:pPr>
      <w:suppressAutoHyphens/>
      <w:spacing w:after="0"/>
      <w:jc w:val="right"/>
    </w:pPr>
    <w:r w:rsidRPr="00EA2AB2">
      <w:rPr>
        <w:rFonts w:ascii="Arial" w:hAnsi="Arial"/>
        <w:sz w:val="16"/>
        <w:szCs w:val="16"/>
        <w:lang w:val="fr-CH" w:eastAsia="fr-FR"/>
      </w:rPr>
      <w:t xml:space="preserve">Seite </w:t>
    </w:r>
    <w:r w:rsidRPr="00EA2AB2">
      <w:rPr>
        <w:rFonts w:ascii="Arial" w:hAnsi="Arial"/>
        <w:sz w:val="16"/>
        <w:szCs w:val="16"/>
        <w:lang w:val="fr-CH" w:eastAsia="fr-FR"/>
      </w:rPr>
      <w:fldChar w:fldCharType="begin"/>
    </w:r>
    <w:r w:rsidRPr="00EA2AB2">
      <w:rPr>
        <w:rFonts w:ascii="Arial" w:hAnsi="Arial"/>
        <w:sz w:val="16"/>
        <w:szCs w:val="16"/>
        <w:lang w:val="fr-CH" w:eastAsia="fr-FR"/>
      </w:rPr>
      <w:instrText xml:space="preserve"> PAGE  \* MERGEFORMAT </w:instrText>
    </w:r>
    <w:r w:rsidRPr="00EA2AB2">
      <w:rPr>
        <w:rFonts w:ascii="Arial" w:hAnsi="Arial"/>
        <w:sz w:val="16"/>
        <w:szCs w:val="16"/>
        <w:lang w:val="fr-CH" w:eastAsia="fr-FR"/>
      </w:rPr>
      <w:fldChar w:fldCharType="separate"/>
    </w:r>
    <w:r w:rsidRPr="00EA2AB2">
      <w:rPr>
        <w:rFonts w:ascii="Arial" w:hAnsi="Arial"/>
        <w:sz w:val="16"/>
        <w:szCs w:val="16"/>
        <w:lang w:val="fr-CH" w:eastAsia="fr-FR"/>
      </w:rPr>
      <w:t>2</w:t>
    </w:r>
    <w:r w:rsidRPr="00EA2AB2">
      <w:rPr>
        <w:rFonts w:ascii="Arial" w:hAnsi="Arial"/>
        <w:sz w:val="16"/>
        <w:szCs w:val="16"/>
        <w:lang w:val="fr-CH"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C511" w14:textId="22A6BFA7" w:rsidR="00EA2AB2" w:rsidRPr="00EA2AB2" w:rsidRDefault="00EA2AB2" w:rsidP="00EA2AB2">
    <w:pPr>
      <w:suppressAutoHyphens/>
      <w:spacing w:after="0"/>
      <w:rPr>
        <w:rFonts w:ascii="Arial" w:hAnsi="Arial"/>
        <w:sz w:val="16"/>
        <w:szCs w:val="16"/>
        <w:lang w:eastAsia="fr-FR"/>
      </w:rPr>
    </w:pPr>
    <w:r w:rsidRPr="00EA2AB2">
      <w:rPr>
        <w:rFonts w:ascii="Arial" w:hAnsi="Arial"/>
        <w:sz w:val="16"/>
        <w:szCs w:val="16"/>
        <w:lang w:eastAsia="fr-FR"/>
      </w:rPr>
      <w:t>CCNR-ZKR/ADN/WP.15/AC.2/35/INF.</w:t>
    </w:r>
    <w:r w:rsidR="007110E7">
      <w:rPr>
        <w:rFonts w:ascii="Arial" w:hAnsi="Arial"/>
        <w:sz w:val="16"/>
        <w:szCs w:val="16"/>
        <w:lang w:eastAsia="fr-FR"/>
      </w:rPr>
      <w:t>7</w:t>
    </w:r>
  </w:p>
  <w:p w14:paraId="179C37C7" w14:textId="1A8186F3" w:rsidR="008827F5" w:rsidRPr="00AE626B" w:rsidRDefault="00EA2AB2" w:rsidP="00EA2AB2">
    <w:pPr>
      <w:suppressAutoHyphens/>
      <w:spacing w:after="0"/>
    </w:pPr>
    <w:r w:rsidRPr="00EA2AB2">
      <w:rPr>
        <w:rFonts w:ascii="Arial" w:hAnsi="Arial"/>
        <w:sz w:val="16"/>
        <w:szCs w:val="16"/>
        <w:lang w:val="fr-CH" w:eastAsia="fr-FR"/>
      </w:rPr>
      <w:t xml:space="preserve">Seite </w:t>
    </w:r>
    <w:r w:rsidRPr="00EA2AB2">
      <w:rPr>
        <w:rFonts w:ascii="Arial" w:hAnsi="Arial"/>
        <w:sz w:val="16"/>
        <w:szCs w:val="16"/>
        <w:lang w:val="fr-CH" w:eastAsia="fr-FR"/>
      </w:rPr>
      <w:fldChar w:fldCharType="begin"/>
    </w:r>
    <w:r w:rsidRPr="00EA2AB2">
      <w:rPr>
        <w:rFonts w:ascii="Arial" w:hAnsi="Arial"/>
        <w:sz w:val="16"/>
        <w:szCs w:val="16"/>
        <w:lang w:val="fr-CH" w:eastAsia="fr-FR"/>
      </w:rPr>
      <w:instrText xml:space="preserve"> PAGE  \* MERGEFORMAT </w:instrText>
    </w:r>
    <w:r w:rsidRPr="00EA2AB2">
      <w:rPr>
        <w:rFonts w:ascii="Arial" w:hAnsi="Arial"/>
        <w:sz w:val="16"/>
        <w:szCs w:val="16"/>
        <w:lang w:val="fr-CH" w:eastAsia="fr-FR"/>
      </w:rPr>
      <w:fldChar w:fldCharType="separate"/>
    </w:r>
    <w:r w:rsidRPr="00EA2AB2">
      <w:rPr>
        <w:rFonts w:ascii="Arial" w:hAnsi="Arial"/>
        <w:sz w:val="16"/>
        <w:szCs w:val="16"/>
        <w:lang w:val="fr-CH" w:eastAsia="fr-FR"/>
      </w:rPr>
      <w:t>2</w:t>
    </w:r>
    <w:r w:rsidRPr="00EA2AB2">
      <w:rPr>
        <w:rFonts w:ascii="Arial" w:hAnsi="Arial"/>
        <w:sz w:val="16"/>
        <w:szCs w:val="16"/>
        <w:lang w:val="fr-CH" w:eastAsia="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F801" w14:textId="79C6AC71" w:rsidR="00EA2AB2" w:rsidRPr="00EA2AB2" w:rsidRDefault="00EA2AB2" w:rsidP="00EA2AB2">
    <w:pPr>
      <w:suppressAutoHyphens/>
      <w:spacing w:after="0"/>
      <w:rPr>
        <w:rFonts w:ascii="Arial" w:hAnsi="Arial"/>
        <w:sz w:val="16"/>
        <w:szCs w:val="16"/>
        <w:lang w:eastAsia="fr-FR"/>
      </w:rPr>
    </w:pPr>
    <w:r w:rsidRPr="00EA2AB2">
      <w:rPr>
        <w:rFonts w:ascii="Arial" w:hAnsi="Arial"/>
        <w:sz w:val="16"/>
        <w:szCs w:val="16"/>
        <w:lang w:eastAsia="fr-FR"/>
      </w:rPr>
      <w:t>CCNR-ZKR/ADN/WP.15/AC.2/35/INF.</w:t>
    </w:r>
    <w:r w:rsidR="007110E7">
      <w:rPr>
        <w:rFonts w:ascii="Arial" w:hAnsi="Arial"/>
        <w:sz w:val="16"/>
        <w:szCs w:val="16"/>
        <w:lang w:eastAsia="fr-FR"/>
      </w:rPr>
      <w:t>7</w:t>
    </w:r>
  </w:p>
  <w:p w14:paraId="32B07885" w14:textId="29B5CDE7" w:rsidR="00FE3B3E" w:rsidRDefault="00EA2AB2" w:rsidP="00EA2AB2">
    <w:pPr>
      <w:suppressAutoHyphens/>
      <w:spacing w:after="0"/>
    </w:pPr>
    <w:r w:rsidRPr="00EA2AB2">
      <w:rPr>
        <w:rFonts w:ascii="Arial" w:hAnsi="Arial"/>
        <w:sz w:val="16"/>
        <w:szCs w:val="16"/>
        <w:lang w:val="fr-CH" w:eastAsia="fr-FR"/>
      </w:rPr>
      <w:t xml:space="preserve">Seite </w:t>
    </w:r>
    <w:r w:rsidRPr="00EA2AB2">
      <w:rPr>
        <w:rFonts w:ascii="Arial" w:hAnsi="Arial"/>
        <w:sz w:val="16"/>
        <w:szCs w:val="16"/>
        <w:lang w:val="fr-CH" w:eastAsia="fr-FR"/>
      </w:rPr>
      <w:fldChar w:fldCharType="begin"/>
    </w:r>
    <w:r w:rsidRPr="00EA2AB2">
      <w:rPr>
        <w:rFonts w:ascii="Arial" w:hAnsi="Arial"/>
        <w:sz w:val="16"/>
        <w:szCs w:val="16"/>
        <w:lang w:val="fr-CH" w:eastAsia="fr-FR"/>
      </w:rPr>
      <w:instrText xml:space="preserve"> PAGE  \* MERGEFORMAT </w:instrText>
    </w:r>
    <w:r w:rsidRPr="00EA2AB2">
      <w:rPr>
        <w:rFonts w:ascii="Arial" w:hAnsi="Arial"/>
        <w:sz w:val="16"/>
        <w:szCs w:val="16"/>
        <w:lang w:val="fr-CH" w:eastAsia="fr-FR"/>
      </w:rPr>
      <w:fldChar w:fldCharType="separate"/>
    </w:r>
    <w:r w:rsidRPr="00EA2AB2">
      <w:rPr>
        <w:rFonts w:ascii="Arial" w:hAnsi="Arial"/>
        <w:sz w:val="16"/>
        <w:szCs w:val="16"/>
        <w:lang w:val="fr-CH" w:eastAsia="fr-FR"/>
      </w:rPr>
      <w:t>2</w:t>
    </w:r>
    <w:r w:rsidRPr="00EA2AB2">
      <w:rPr>
        <w:rFonts w:ascii="Arial" w:hAnsi="Arial"/>
        <w:sz w:val="16"/>
        <w:szCs w:val="16"/>
        <w:lang w:val="fr-CH" w:eastAsia="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5018" w14:textId="63321C06" w:rsidR="00EA2AB2" w:rsidRPr="00EA2AB2" w:rsidRDefault="00EA2AB2" w:rsidP="00EA2AB2">
    <w:pPr>
      <w:suppressAutoHyphens/>
      <w:spacing w:after="0"/>
      <w:rPr>
        <w:rFonts w:ascii="Arial" w:hAnsi="Arial"/>
        <w:sz w:val="16"/>
        <w:szCs w:val="16"/>
        <w:lang w:eastAsia="fr-FR"/>
      </w:rPr>
    </w:pPr>
    <w:r w:rsidRPr="00EA2AB2">
      <w:rPr>
        <w:rFonts w:ascii="Arial" w:hAnsi="Arial"/>
        <w:sz w:val="16"/>
        <w:szCs w:val="16"/>
        <w:lang w:eastAsia="fr-FR"/>
      </w:rPr>
      <w:t>CCNR-ZKR/ADN/WP.15/AC.2/35/INF.</w:t>
    </w:r>
    <w:r w:rsidR="007110E7">
      <w:rPr>
        <w:rFonts w:ascii="Arial" w:hAnsi="Arial"/>
        <w:sz w:val="16"/>
        <w:szCs w:val="16"/>
        <w:lang w:eastAsia="fr-FR"/>
      </w:rPr>
      <w:t>7</w:t>
    </w:r>
  </w:p>
  <w:p w14:paraId="6D7916BD" w14:textId="45C37EF6" w:rsidR="00FE3B3E" w:rsidRPr="00AA7B60" w:rsidRDefault="00EA2AB2" w:rsidP="007110E7">
    <w:pPr>
      <w:suppressAutoHyphens/>
      <w:spacing w:after="0"/>
    </w:pPr>
    <w:r w:rsidRPr="00EA2AB2">
      <w:rPr>
        <w:rFonts w:ascii="Arial" w:hAnsi="Arial"/>
        <w:sz w:val="16"/>
        <w:szCs w:val="16"/>
        <w:lang w:val="fr-CH" w:eastAsia="fr-FR"/>
      </w:rPr>
      <w:t xml:space="preserve">Seite </w:t>
    </w:r>
    <w:r w:rsidRPr="00EA2AB2">
      <w:rPr>
        <w:rFonts w:ascii="Arial" w:hAnsi="Arial"/>
        <w:sz w:val="16"/>
        <w:szCs w:val="16"/>
        <w:lang w:val="fr-CH" w:eastAsia="fr-FR"/>
      </w:rPr>
      <w:fldChar w:fldCharType="begin"/>
    </w:r>
    <w:r w:rsidRPr="00EA2AB2">
      <w:rPr>
        <w:rFonts w:ascii="Arial" w:hAnsi="Arial"/>
        <w:sz w:val="16"/>
        <w:szCs w:val="16"/>
        <w:lang w:val="fr-CH" w:eastAsia="fr-FR"/>
      </w:rPr>
      <w:instrText xml:space="preserve"> PAGE  \* MERGEFORMAT </w:instrText>
    </w:r>
    <w:r w:rsidRPr="00EA2AB2">
      <w:rPr>
        <w:rFonts w:ascii="Arial" w:hAnsi="Arial"/>
        <w:sz w:val="16"/>
        <w:szCs w:val="16"/>
        <w:lang w:val="fr-CH" w:eastAsia="fr-FR"/>
      </w:rPr>
      <w:fldChar w:fldCharType="separate"/>
    </w:r>
    <w:r w:rsidRPr="00EA2AB2">
      <w:rPr>
        <w:rFonts w:ascii="Arial" w:hAnsi="Arial"/>
        <w:sz w:val="16"/>
        <w:szCs w:val="16"/>
        <w:lang w:val="fr-CH" w:eastAsia="fr-FR"/>
      </w:rPr>
      <w:t>2</w:t>
    </w:r>
    <w:r w:rsidRPr="00EA2AB2">
      <w:rPr>
        <w:rFonts w:ascii="Arial" w:hAnsi="Arial"/>
        <w:sz w:val="16"/>
        <w:szCs w:val="16"/>
        <w:lang w:val="fr-CH" w:eastAsia="fr-F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1F4F8" w14:textId="77777777" w:rsidR="00FE3B3E" w:rsidRDefault="00FE3B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EB3E" w14:textId="58306686" w:rsidR="00EA2AB2" w:rsidRPr="00EA2AB2" w:rsidRDefault="00EA2AB2" w:rsidP="00EA2AB2">
    <w:pPr>
      <w:suppressAutoHyphens/>
      <w:spacing w:after="0"/>
      <w:jc w:val="right"/>
      <w:rPr>
        <w:rFonts w:ascii="Arial" w:hAnsi="Arial"/>
        <w:sz w:val="16"/>
        <w:szCs w:val="16"/>
        <w:lang w:eastAsia="fr-FR"/>
      </w:rPr>
    </w:pPr>
    <w:r w:rsidRPr="00EA2AB2">
      <w:rPr>
        <w:rFonts w:ascii="Arial" w:hAnsi="Arial"/>
        <w:sz w:val="16"/>
        <w:szCs w:val="16"/>
        <w:lang w:eastAsia="fr-FR"/>
      </w:rPr>
      <w:t>CCNR-ZKR/ADN/WP.15/AC.2/35/INF.</w:t>
    </w:r>
    <w:r w:rsidR="007110E7">
      <w:rPr>
        <w:rFonts w:ascii="Arial" w:hAnsi="Arial"/>
        <w:sz w:val="16"/>
        <w:szCs w:val="16"/>
        <w:lang w:eastAsia="fr-FR"/>
      </w:rPr>
      <w:t>7</w:t>
    </w:r>
  </w:p>
  <w:p w14:paraId="63A6EE62" w14:textId="637131DF" w:rsidR="00FE3B3E" w:rsidRPr="00AA7B60" w:rsidRDefault="00EA2AB2" w:rsidP="00EA2AB2">
    <w:pPr>
      <w:suppressAutoHyphens/>
      <w:spacing w:after="0"/>
      <w:jc w:val="right"/>
    </w:pPr>
    <w:r w:rsidRPr="00EA2AB2">
      <w:rPr>
        <w:rFonts w:ascii="Arial" w:hAnsi="Arial"/>
        <w:sz w:val="16"/>
        <w:szCs w:val="16"/>
        <w:lang w:val="fr-CH" w:eastAsia="fr-FR"/>
      </w:rPr>
      <w:t xml:space="preserve">Seite </w:t>
    </w:r>
    <w:r w:rsidRPr="00EA2AB2">
      <w:rPr>
        <w:rFonts w:ascii="Arial" w:hAnsi="Arial"/>
        <w:sz w:val="16"/>
        <w:szCs w:val="16"/>
        <w:lang w:val="fr-CH" w:eastAsia="fr-FR"/>
      </w:rPr>
      <w:fldChar w:fldCharType="begin"/>
    </w:r>
    <w:r w:rsidRPr="00EA2AB2">
      <w:rPr>
        <w:rFonts w:ascii="Arial" w:hAnsi="Arial"/>
        <w:sz w:val="16"/>
        <w:szCs w:val="16"/>
        <w:lang w:val="fr-CH" w:eastAsia="fr-FR"/>
      </w:rPr>
      <w:instrText xml:space="preserve"> PAGE  \* MERGEFORMAT </w:instrText>
    </w:r>
    <w:r w:rsidRPr="00EA2AB2">
      <w:rPr>
        <w:rFonts w:ascii="Arial" w:hAnsi="Arial"/>
        <w:sz w:val="16"/>
        <w:szCs w:val="16"/>
        <w:lang w:val="fr-CH" w:eastAsia="fr-FR"/>
      </w:rPr>
      <w:fldChar w:fldCharType="separate"/>
    </w:r>
    <w:r w:rsidRPr="00EA2AB2">
      <w:rPr>
        <w:rFonts w:ascii="Arial" w:hAnsi="Arial"/>
        <w:sz w:val="16"/>
        <w:szCs w:val="16"/>
        <w:lang w:val="fr-CH" w:eastAsia="fr-FR"/>
      </w:rPr>
      <w:t>2</w:t>
    </w:r>
    <w:r w:rsidRPr="00EA2AB2">
      <w:rPr>
        <w:rFonts w:ascii="Arial" w:hAnsi="Arial"/>
        <w:sz w:val="16"/>
        <w:szCs w:val="16"/>
        <w:lang w:val="fr-CH" w:eastAsia="fr-F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9B9C" w14:textId="06386706" w:rsidR="00EA2AB2" w:rsidRPr="00EA2AB2" w:rsidRDefault="00EA2AB2" w:rsidP="00EA2AB2">
    <w:pPr>
      <w:suppressAutoHyphens/>
      <w:spacing w:after="0"/>
      <w:jc w:val="right"/>
      <w:rPr>
        <w:rFonts w:ascii="Arial" w:hAnsi="Arial"/>
        <w:sz w:val="16"/>
        <w:szCs w:val="16"/>
        <w:lang w:eastAsia="fr-FR"/>
      </w:rPr>
    </w:pPr>
    <w:r w:rsidRPr="00EA2AB2">
      <w:rPr>
        <w:rFonts w:ascii="Arial" w:hAnsi="Arial"/>
        <w:sz w:val="16"/>
        <w:szCs w:val="16"/>
        <w:lang w:eastAsia="fr-FR"/>
      </w:rPr>
      <w:t>CCNR-ZKR/ADN/WP.15/AC.2/35/INF.</w:t>
    </w:r>
    <w:r w:rsidR="007110E7">
      <w:rPr>
        <w:rFonts w:ascii="Arial" w:hAnsi="Arial"/>
        <w:sz w:val="16"/>
        <w:szCs w:val="16"/>
        <w:lang w:eastAsia="fr-FR"/>
      </w:rPr>
      <w:t>7</w:t>
    </w:r>
  </w:p>
  <w:p w14:paraId="5D204A8F" w14:textId="1576DAA8" w:rsidR="008827F5" w:rsidRPr="00AE626B" w:rsidRDefault="00EA2AB2" w:rsidP="00EA2AB2">
    <w:pPr>
      <w:suppressAutoHyphens/>
      <w:spacing w:after="0"/>
      <w:jc w:val="right"/>
    </w:pPr>
    <w:r w:rsidRPr="00EA2AB2">
      <w:rPr>
        <w:rFonts w:ascii="Arial" w:hAnsi="Arial"/>
        <w:sz w:val="16"/>
        <w:szCs w:val="16"/>
        <w:lang w:val="fr-CH" w:eastAsia="fr-FR"/>
      </w:rPr>
      <w:t xml:space="preserve">Seite </w:t>
    </w:r>
    <w:r w:rsidRPr="00EA2AB2">
      <w:rPr>
        <w:rFonts w:ascii="Arial" w:hAnsi="Arial"/>
        <w:sz w:val="16"/>
        <w:szCs w:val="16"/>
        <w:lang w:val="fr-CH" w:eastAsia="fr-FR"/>
      </w:rPr>
      <w:fldChar w:fldCharType="begin"/>
    </w:r>
    <w:r w:rsidRPr="00EA2AB2">
      <w:rPr>
        <w:rFonts w:ascii="Arial" w:hAnsi="Arial"/>
        <w:sz w:val="16"/>
        <w:szCs w:val="16"/>
        <w:lang w:val="fr-CH" w:eastAsia="fr-FR"/>
      </w:rPr>
      <w:instrText xml:space="preserve"> PAGE  \* MERGEFORMAT </w:instrText>
    </w:r>
    <w:r w:rsidRPr="00EA2AB2">
      <w:rPr>
        <w:rFonts w:ascii="Arial" w:hAnsi="Arial"/>
        <w:sz w:val="16"/>
        <w:szCs w:val="16"/>
        <w:lang w:val="fr-CH" w:eastAsia="fr-FR"/>
      </w:rPr>
      <w:fldChar w:fldCharType="separate"/>
    </w:r>
    <w:r w:rsidRPr="00EA2AB2">
      <w:rPr>
        <w:rFonts w:ascii="Arial" w:hAnsi="Arial"/>
        <w:sz w:val="16"/>
        <w:szCs w:val="16"/>
        <w:lang w:val="fr-CH" w:eastAsia="fr-FR"/>
      </w:rPr>
      <w:t>2</w:t>
    </w:r>
    <w:r w:rsidRPr="00EA2AB2">
      <w:rPr>
        <w:rFonts w:ascii="Arial" w:hAnsi="Arial"/>
        <w:sz w:val="16"/>
        <w:szCs w:val="16"/>
        <w:lang w:val="fr-CH"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497937"/>
    <w:multiLevelType w:val="hybridMultilevel"/>
    <w:tmpl w:val="49943A3E"/>
    <w:lvl w:ilvl="0" w:tplc="E71C9CE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5"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7"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58349B0"/>
    <w:multiLevelType w:val="hybridMultilevel"/>
    <w:tmpl w:val="1B9A58F2"/>
    <w:lvl w:ilvl="0" w:tplc="4732D8A0">
      <w:start w:val="7"/>
      <w:numFmt w:val="bullet"/>
      <w:lvlText w:val="-"/>
      <w:lvlJc w:val="left"/>
      <w:pPr>
        <w:ind w:left="1500" w:hanging="360"/>
      </w:pPr>
      <w:rPr>
        <w:rFonts w:ascii="Times New Roman" w:eastAsia="Times New Roman" w:hAnsi="Times New Roman" w:cs="Times New Roman"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9"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2"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3DA05C10"/>
    <w:multiLevelType w:val="hybridMultilevel"/>
    <w:tmpl w:val="3294DA88"/>
    <w:lvl w:ilvl="0" w:tplc="8B5A83FE">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7"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8"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9"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2D33938"/>
    <w:multiLevelType w:val="hybridMultilevel"/>
    <w:tmpl w:val="1A1C0014"/>
    <w:lvl w:ilvl="0" w:tplc="8FEAACA8">
      <w:start w:val="6"/>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2" w15:restartNumberingAfterBreak="0">
    <w:nsid w:val="5A966F05"/>
    <w:multiLevelType w:val="hybridMultilevel"/>
    <w:tmpl w:val="7BDE888E"/>
    <w:lvl w:ilvl="0" w:tplc="1B0059C0">
      <w:start w:val="1"/>
      <w:numFmt w:val="decimal"/>
      <w:lvlText w:val="%1."/>
      <w:lvlJc w:val="left"/>
      <w:pPr>
        <w:ind w:left="6107" w:hanging="360"/>
      </w:pPr>
      <w:rPr>
        <w:rFonts w:hint="default"/>
      </w:rPr>
    </w:lvl>
    <w:lvl w:ilvl="1" w:tplc="040C0019" w:tentative="1">
      <w:start w:val="1"/>
      <w:numFmt w:val="lowerLetter"/>
      <w:lvlText w:val="%2."/>
      <w:lvlJc w:val="left"/>
      <w:pPr>
        <w:ind w:left="6827" w:hanging="360"/>
      </w:pPr>
    </w:lvl>
    <w:lvl w:ilvl="2" w:tplc="040C001B" w:tentative="1">
      <w:start w:val="1"/>
      <w:numFmt w:val="lowerRoman"/>
      <w:lvlText w:val="%3."/>
      <w:lvlJc w:val="right"/>
      <w:pPr>
        <w:ind w:left="7547" w:hanging="180"/>
      </w:pPr>
    </w:lvl>
    <w:lvl w:ilvl="3" w:tplc="040C000F" w:tentative="1">
      <w:start w:val="1"/>
      <w:numFmt w:val="decimal"/>
      <w:lvlText w:val="%4."/>
      <w:lvlJc w:val="left"/>
      <w:pPr>
        <w:ind w:left="8267" w:hanging="360"/>
      </w:pPr>
    </w:lvl>
    <w:lvl w:ilvl="4" w:tplc="040C0019" w:tentative="1">
      <w:start w:val="1"/>
      <w:numFmt w:val="lowerLetter"/>
      <w:lvlText w:val="%5."/>
      <w:lvlJc w:val="left"/>
      <w:pPr>
        <w:ind w:left="8987" w:hanging="360"/>
      </w:pPr>
    </w:lvl>
    <w:lvl w:ilvl="5" w:tplc="040C001B" w:tentative="1">
      <w:start w:val="1"/>
      <w:numFmt w:val="lowerRoman"/>
      <w:lvlText w:val="%6."/>
      <w:lvlJc w:val="right"/>
      <w:pPr>
        <w:ind w:left="9707" w:hanging="180"/>
      </w:pPr>
    </w:lvl>
    <w:lvl w:ilvl="6" w:tplc="040C000F" w:tentative="1">
      <w:start w:val="1"/>
      <w:numFmt w:val="decimal"/>
      <w:lvlText w:val="%7."/>
      <w:lvlJc w:val="left"/>
      <w:pPr>
        <w:ind w:left="10427" w:hanging="360"/>
      </w:pPr>
    </w:lvl>
    <w:lvl w:ilvl="7" w:tplc="040C0019" w:tentative="1">
      <w:start w:val="1"/>
      <w:numFmt w:val="lowerLetter"/>
      <w:lvlText w:val="%8."/>
      <w:lvlJc w:val="left"/>
      <w:pPr>
        <w:ind w:left="11147" w:hanging="360"/>
      </w:pPr>
    </w:lvl>
    <w:lvl w:ilvl="8" w:tplc="040C001B" w:tentative="1">
      <w:start w:val="1"/>
      <w:numFmt w:val="lowerRoman"/>
      <w:lvlText w:val="%9."/>
      <w:lvlJc w:val="right"/>
      <w:pPr>
        <w:ind w:left="11867" w:hanging="180"/>
      </w:pPr>
    </w:lvl>
  </w:abstractNum>
  <w:abstractNum w:abstractNumId="23" w15:restartNumberingAfterBreak="0">
    <w:nsid w:val="5BEE07CF"/>
    <w:multiLevelType w:val="hybridMultilevel"/>
    <w:tmpl w:val="321A7C72"/>
    <w:lvl w:ilvl="0" w:tplc="FF2494AA">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5"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6" w15:restartNumberingAfterBreak="0">
    <w:nsid w:val="688F150D"/>
    <w:multiLevelType w:val="hybridMultilevel"/>
    <w:tmpl w:val="1A2EAD10"/>
    <w:lvl w:ilvl="0" w:tplc="A6F0F99A">
      <w:start w:val="1"/>
      <w:numFmt w:val="decimal"/>
      <w:lvlText w:val="%1."/>
      <w:lvlJc w:val="left"/>
      <w:pPr>
        <w:ind w:left="5747" w:hanging="360"/>
      </w:pPr>
      <w:rPr>
        <w:rFonts w:hint="default"/>
      </w:rPr>
    </w:lvl>
    <w:lvl w:ilvl="1" w:tplc="040C0019" w:tentative="1">
      <w:start w:val="1"/>
      <w:numFmt w:val="lowerLetter"/>
      <w:lvlText w:val="%2."/>
      <w:lvlJc w:val="left"/>
      <w:pPr>
        <w:ind w:left="6467" w:hanging="360"/>
      </w:pPr>
    </w:lvl>
    <w:lvl w:ilvl="2" w:tplc="040C001B" w:tentative="1">
      <w:start w:val="1"/>
      <w:numFmt w:val="lowerRoman"/>
      <w:lvlText w:val="%3."/>
      <w:lvlJc w:val="right"/>
      <w:pPr>
        <w:ind w:left="7187" w:hanging="180"/>
      </w:pPr>
    </w:lvl>
    <w:lvl w:ilvl="3" w:tplc="040C000F" w:tentative="1">
      <w:start w:val="1"/>
      <w:numFmt w:val="decimal"/>
      <w:lvlText w:val="%4."/>
      <w:lvlJc w:val="left"/>
      <w:pPr>
        <w:ind w:left="7907" w:hanging="360"/>
      </w:pPr>
    </w:lvl>
    <w:lvl w:ilvl="4" w:tplc="040C0019" w:tentative="1">
      <w:start w:val="1"/>
      <w:numFmt w:val="lowerLetter"/>
      <w:lvlText w:val="%5."/>
      <w:lvlJc w:val="left"/>
      <w:pPr>
        <w:ind w:left="8627" w:hanging="360"/>
      </w:pPr>
    </w:lvl>
    <w:lvl w:ilvl="5" w:tplc="040C001B" w:tentative="1">
      <w:start w:val="1"/>
      <w:numFmt w:val="lowerRoman"/>
      <w:lvlText w:val="%6."/>
      <w:lvlJc w:val="right"/>
      <w:pPr>
        <w:ind w:left="9347" w:hanging="180"/>
      </w:pPr>
    </w:lvl>
    <w:lvl w:ilvl="6" w:tplc="040C000F" w:tentative="1">
      <w:start w:val="1"/>
      <w:numFmt w:val="decimal"/>
      <w:lvlText w:val="%7."/>
      <w:lvlJc w:val="left"/>
      <w:pPr>
        <w:ind w:left="10067" w:hanging="360"/>
      </w:pPr>
    </w:lvl>
    <w:lvl w:ilvl="7" w:tplc="040C0019" w:tentative="1">
      <w:start w:val="1"/>
      <w:numFmt w:val="lowerLetter"/>
      <w:lvlText w:val="%8."/>
      <w:lvlJc w:val="left"/>
      <w:pPr>
        <w:ind w:left="10787" w:hanging="360"/>
      </w:pPr>
    </w:lvl>
    <w:lvl w:ilvl="8" w:tplc="040C001B" w:tentative="1">
      <w:start w:val="1"/>
      <w:numFmt w:val="lowerRoman"/>
      <w:lvlText w:val="%9."/>
      <w:lvlJc w:val="right"/>
      <w:pPr>
        <w:ind w:left="11507" w:hanging="180"/>
      </w:pPr>
    </w:lvl>
  </w:abstractNum>
  <w:abstractNum w:abstractNumId="27"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1632308"/>
    <w:multiLevelType w:val="hybridMultilevel"/>
    <w:tmpl w:val="818443E6"/>
    <w:lvl w:ilvl="0" w:tplc="9730B656">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9"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BDF68FD"/>
    <w:multiLevelType w:val="singleLevel"/>
    <w:tmpl w:val="E4121F8E"/>
    <w:lvl w:ilvl="0">
      <w:start w:val="1"/>
      <w:numFmt w:val="decimal"/>
      <w:lvlText w:val="%1. "/>
      <w:legacy w:legacy="1" w:legacySpace="0" w:legacyIndent="283"/>
      <w:lvlJc w:val="left"/>
      <w:pPr>
        <w:ind w:left="2835" w:hanging="283"/>
      </w:pPr>
      <w:rPr>
        <w:sz w:val="20"/>
      </w:rPr>
    </w:lvl>
  </w:abstractNum>
  <w:num w:numId="1">
    <w:abstractNumId w:val="15"/>
  </w:num>
  <w:num w:numId="2">
    <w:abstractNumId w:val="11"/>
  </w:num>
  <w:num w:numId="3">
    <w:abstractNumId w:val="5"/>
  </w:num>
  <w:num w:numId="4">
    <w:abstractNumId w:val="13"/>
  </w:num>
  <w:num w:numId="5">
    <w:abstractNumId w:val="0"/>
  </w:num>
  <w:num w:numId="6">
    <w:abstractNumId w:val="30"/>
  </w:num>
  <w:num w:numId="7">
    <w:abstractNumId w:val="19"/>
  </w:num>
  <w:num w:numId="8">
    <w:abstractNumId w:val="6"/>
  </w:num>
  <w:num w:numId="9">
    <w:abstractNumId w:val="7"/>
  </w:num>
  <w:num w:numId="10">
    <w:abstractNumId w:val="10"/>
  </w:num>
  <w:num w:numId="11">
    <w:abstractNumId w:val="14"/>
  </w:num>
  <w:num w:numId="12">
    <w:abstractNumId w:val="27"/>
  </w:num>
  <w:num w:numId="13">
    <w:abstractNumId w:val="1"/>
  </w:num>
  <w:num w:numId="14">
    <w:abstractNumId w:val="9"/>
  </w:num>
  <w:num w:numId="15">
    <w:abstractNumId w:val="18"/>
  </w:num>
  <w:num w:numId="16">
    <w:abstractNumId w:val="17"/>
  </w:num>
  <w:num w:numId="17">
    <w:abstractNumId w:val="2"/>
  </w:num>
  <w:num w:numId="18">
    <w:abstractNumId w:val="29"/>
  </w:num>
  <w:num w:numId="19">
    <w:abstractNumId w:val="20"/>
  </w:num>
  <w:num w:numId="20">
    <w:abstractNumId w:val="12"/>
  </w:num>
  <w:num w:numId="21">
    <w:abstractNumId w:val="25"/>
  </w:num>
  <w:num w:numId="22">
    <w:abstractNumId w:val="24"/>
  </w:num>
  <w:num w:numId="23">
    <w:abstractNumId w:val="4"/>
  </w:num>
  <w:num w:numId="24">
    <w:abstractNumId w:val="21"/>
  </w:num>
  <w:num w:numId="25">
    <w:abstractNumId w:val="23"/>
  </w:num>
  <w:num w:numId="26">
    <w:abstractNumId w:val="3"/>
  </w:num>
  <w:num w:numId="27">
    <w:abstractNumId w:val="8"/>
  </w:num>
  <w:num w:numId="28">
    <w:abstractNumId w:val="31"/>
    <w:lvlOverride w:ilvl="0">
      <w:lvl w:ilvl="0">
        <w:start w:val="3"/>
        <w:numFmt w:val="decimal"/>
        <w:lvlText w:val="%1. "/>
        <w:legacy w:legacy="1" w:legacySpace="0" w:legacyIndent="283"/>
        <w:lvlJc w:val="left"/>
        <w:pPr>
          <w:ind w:left="2835" w:hanging="283"/>
        </w:pPr>
        <w:rPr>
          <w:sz w:val="20"/>
        </w:rPr>
      </w:lvl>
    </w:lvlOverride>
  </w:num>
  <w:num w:numId="29">
    <w:abstractNumId w:val="28"/>
  </w:num>
  <w:num w:numId="30">
    <w:abstractNumId w:val="16"/>
  </w:num>
  <w:num w:numId="31">
    <w:abstractNumId w:val="26"/>
  </w:num>
  <w:num w:numId="3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22"/>
    <w:rsid w:val="00001E90"/>
    <w:rsid w:val="00002146"/>
    <w:rsid w:val="0000299C"/>
    <w:rsid w:val="000038C0"/>
    <w:rsid w:val="0000657B"/>
    <w:rsid w:val="00007F6A"/>
    <w:rsid w:val="000151E1"/>
    <w:rsid w:val="000217BA"/>
    <w:rsid w:val="0002640B"/>
    <w:rsid w:val="0002700B"/>
    <w:rsid w:val="0002723B"/>
    <w:rsid w:val="000332B3"/>
    <w:rsid w:val="00034366"/>
    <w:rsid w:val="000366B7"/>
    <w:rsid w:val="00037033"/>
    <w:rsid w:val="000400C4"/>
    <w:rsid w:val="00041312"/>
    <w:rsid w:val="0004300F"/>
    <w:rsid w:val="00044BFC"/>
    <w:rsid w:val="000500BF"/>
    <w:rsid w:val="00050114"/>
    <w:rsid w:val="000516AA"/>
    <w:rsid w:val="0005197F"/>
    <w:rsid w:val="00054A90"/>
    <w:rsid w:val="000558EB"/>
    <w:rsid w:val="0005758B"/>
    <w:rsid w:val="00057A93"/>
    <w:rsid w:val="00060CCD"/>
    <w:rsid w:val="000610FB"/>
    <w:rsid w:val="00061329"/>
    <w:rsid w:val="00061AD3"/>
    <w:rsid w:val="00064AC7"/>
    <w:rsid w:val="000667CE"/>
    <w:rsid w:val="00067498"/>
    <w:rsid w:val="00067BD0"/>
    <w:rsid w:val="00070E56"/>
    <w:rsid w:val="00071B40"/>
    <w:rsid w:val="00072140"/>
    <w:rsid w:val="00073EA8"/>
    <w:rsid w:val="00073FB6"/>
    <w:rsid w:val="0007426C"/>
    <w:rsid w:val="00077405"/>
    <w:rsid w:val="0008020B"/>
    <w:rsid w:val="00082E74"/>
    <w:rsid w:val="000905F9"/>
    <w:rsid w:val="00091974"/>
    <w:rsid w:val="00093086"/>
    <w:rsid w:val="00095DAD"/>
    <w:rsid w:val="00096154"/>
    <w:rsid w:val="00096A67"/>
    <w:rsid w:val="000A3277"/>
    <w:rsid w:val="000A4413"/>
    <w:rsid w:val="000A6F97"/>
    <w:rsid w:val="000B1DCB"/>
    <w:rsid w:val="000B25D0"/>
    <w:rsid w:val="000B294F"/>
    <w:rsid w:val="000B2FCE"/>
    <w:rsid w:val="000B360C"/>
    <w:rsid w:val="000B3F5E"/>
    <w:rsid w:val="000B697D"/>
    <w:rsid w:val="000C0E49"/>
    <w:rsid w:val="000C100E"/>
    <w:rsid w:val="000C120B"/>
    <w:rsid w:val="000C3D08"/>
    <w:rsid w:val="000C618B"/>
    <w:rsid w:val="000D3032"/>
    <w:rsid w:val="000D4774"/>
    <w:rsid w:val="000D561F"/>
    <w:rsid w:val="000E06E4"/>
    <w:rsid w:val="000E5406"/>
    <w:rsid w:val="000E71CC"/>
    <w:rsid w:val="000F3523"/>
    <w:rsid w:val="000F3B3B"/>
    <w:rsid w:val="000F4F0E"/>
    <w:rsid w:val="000F574C"/>
    <w:rsid w:val="001045F3"/>
    <w:rsid w:val="00106C1B"/>
    <w:rsid w:val="00107DFC"/>
    <w:rsid w:val="00111B8A"/>
    <w:rsid w:val="00114C05"/>
    <w:rsid w:val="00115689"/>
    <w:rsid w:val="001162B6"/>
    <w:rsid w:val="001168E3"/>
    <w:rsid w:val="0012049D"/>
    <w:rsid w:val="00122163"/>
    <w:rsid w:val="0012596F"/>
    <w:rsid w:val="001309F5"/>
    <w:rsid w:val="00131898"/>
    <w:rsid w:val="00131BD6"/>
    <w:rsid w:val="001321C7"/>
    <w:rsid w:val="0013308C"/>
    <w:rsid w:val="0013415E"/>
    <w:rsid w:val="001366D6"/>
    <w:rsid w:val="00137616"/>
    <w:rsid w:val="00137758"/>
    <w:rsid w:val="00141BE2"/>
    <w:rsid w:val="00143FA2"/>
    <w:rsid w:val="0014423E"/>
    <w:rsid w:val="00144311"/>
    <w:rsid w:val="00147198"/>
    <w:rsid w:val="00152AD7"/>
    <w:rsid w:val="00152E73"/>
    <w:rsid w:val="0015395A"/>
    <w:rsid w:val="00154902"/>
    <w:rsid w:val="0015581D"/>
    <w:rsid w:val="00155839"/>
    <w:rsid w:val="00160FD5"/>
    <w:rsid w:val="0016201E"/>
    <w:rsid w:val="00163706"/>
    <w:rsid w:val="00164C45"/>
    <w:rsid w:val="001665F2"/>
    <w:rsid w:val="001675D0"/>
    <w:rsid w:val="00171BE7"/>
    <w:rsid w:val="00171E75"/>
    <w:rsid w:val="00172BDF"/>
    <w:rsid w:val="00174FF1"/>
    <w:rsid w:val="001770A9"/>
    <w:rsid w:val="001811D0"/>
    <w:rsid w:val="001817AF"/>
    <w:rsid w:val="00181E0A"/>
    <w:rsid w:val="00181ECA"/>
    <w:rsid w:val="001824E1"/>
    <w:rsid w:val="001828CA"/>
    <w:rsid w:val="001853A3"/>
    <w:rsid w:val="00186BF8"/>
    <w:rsid w:val="00186CCD"/>
    <w:rsid w:val="00187038"/>
    <w:rsid w:val="001902EF"/>
    <w:rsid w:val="001919B1"/>
    <w:rsid w:val="00192025"/>
    <w:rsid w:val="00192271"/>
    <w:rsid w:val="00192DC1"/>
    <w:rsid w:val="001A04FA"/>
    <w:rsid w:val="001A1361"/>
    <w:rsid w:val="001A5388"/>
    <w:rsid w:val="001A6F70"/>
    <w:rsid w:val="001A705C"/>
    <w:rsid w:val="001A727C"/>
    <w:rsid w:val="001B2A5F"/>
    <w:rsid w:val="001B3EE7"/>
    <w:rsid w:val="001B478E"/>
    <w:rsid w:val="001B5295"/>
    <w:rsid w:val="001B57CF"/>
    <w:rsid w:val="001B6241"/>
    <w:rsid w:val="001B731A"/>
    <w:rsid w:val="001C024F"/>
    <w:rsid w:val="001C43FA"/>
    <w:rsid w:val="001C6029"/>
    <w:rsid w:val="001D22CC"/>
    <w:rsid w:val="001D4FA8"/>
    <w:rsid w:val="001E3F60"/>
    <w:rsid w:val="001E55C3"/>
    <w:rsid w:val="001F09CC"/>
    <w:rsid w:val="001F1079"/>
    <w:rsid w:val="001F1F05"/>
    <w:rsid w:val="001F209B"/>
    <w:rsid w:val="001F42B0"/>
    <w:rsid w:val="001F4AD7"/>
    <w:rsid w:val="001F4F8A"/>
    <w:rsid w:val="001F52BC"/>
    <w:rsid w:val="001F7B38"/>
    <w:rsid w:val="00201C24"/>
    <w:rsid w:val="00206D90"/>
    <w:rsid w:val="00207C16"/>
    <w:rsid w:val="00211B4E"/>
    <w:rsid w:val="00211CEC"/>
    <w:rsid w:val="002169C7"/>
    <w:rsid w:val="00216D73"/>
    <w:rsid w:val="00217CBA"/>
    <w:rsid w:val="00222E79"/>
    <w:rsid w:val="00226EA3"/>
    <w:rsid w:val="00230519"/>
    <w:rsid w:val="00230BAD"/>
    <w:rsid w:val="00232F8C"/>
    <w:rsid w:val="0023500A"/>
    <w:rsid w:val="0023654A"/>
    <w:rsid w:val="00240A17"/>
    <w:rsid w:val="00241778"/>
    <w:rsid w:val="0024315A"/>
    <w:rsid w:val="00243860"/>
    <w:rsid w:val="002451CF"/>
    <w:rsid w:val="00245760"/>
    <w:rsid w:val="00245CD7"/>
    <w:rsid w:val="002471F5"/>
    <w:rsid w:val="00252C35"/>
    <w:rsid w:val="00256038"/>
    <w:rsid w:val="00256BE9"/>
    <w:rsid w:val="00257278"/>
    <w:rsid w:val="002613AC"/>
    <w:rsid w:val="00261997"/>
    <w:rsid w:val="00262A49"/>
    <w:rsid w:val="0026369B"/>
    <w:rsid w:val="0026533C"/>
    <w:rsid w:val="002725E1"/>
    <w:rsid w:val="00273048"/>
    <w:rsid w:val="00273ECF"/>
    <w:rsid w:val="0028124B"/>
    <w:rsid w:val="002850A9"/>
    <w:rsid w:val="002852DB"/>
    <w:rsid w:val="002925CC"/>
    <w:rsid w:val="00292B45"/>
    <w:rsid w:val="00293062"/>
    <w:rsid w:val="00293A26"/>
    <w:rsid w:val="0029465E"/>
    <w:rsid w:val="00294E58"/>
    <w:rsid w:val="002953F1"/>
    <w:rsid w:val="002959A3"/>
    <w:rsid w:val="00297B40"/>
    <w:rsid w:val="00297C02"/>
    <w:rsid w:val="002A00FC"/>
    <w:rsid w:val="002A26E5"/>
    <w:rsid w:val="002A5AC5"/>
    <w:rsid w:val="002B1104"/>
    <w:rsid w:val="002B335D"/>
    <w:rsid w:val="002B5575"/>
    <w:rsid w:val="002B75F4"/>
    <w:rsid w:val="002B7B77"/>
    <w:rsid w:val="002C34CD"/>
    <w:rsid w:val="002C5D21"/>
    <w:rsid w:val="002C6003"/>
    <w:rsid w:val="002C63BE"/>
    <w:rsid w:val="002C7555"/>
    <w:rsid w:val="002C758C"/>
    <w:rsid w:val="002D134D"/>
    <w:rsid w:val="002D13CC"/>
    <w:rsid w:val="002D4BDB"/>
    <w:rsid w:val="002D533B"/>
    <w:rsid w:val="002E12C4"/>
    <w:rsid w:val="002E1922"/>
    <w:rsid w:val="002E1B9C"/>
    <w:rsid w:val="002E26AB"/>
    <w:rsid w:val="002E274C"/>
    <w:rsid w:val="002E3B97"/>
    <w:rsid w:val="002E4C45"/>
    <w:rsid w:val="002E4E6B"/>
    <w:rsid w:val="002E5219"/>
    <w:rsid w:val="002E5FDC"/>
    <w:rsid w:val="002E62E4"/>
    <w:rsid w:val="002F0DAB"/>
    <w:rsid w:val="002F1015"/>
    <w:rsid w:val="002F2DBA"/>
    <w:rsid w:val="002F4582"/>
    <w:rsid w:val="002F46DA"/>
    <w:rsid w:val="002F5330"/>
    <w:rsid w:val="002F7ACA"/>
    <w:rsid w:val="00300DC1"/>
    <w:rsid w:val="00301CFC"/>
    <w:rsid w:val="00301EB1"/>
    <w:rsid w:val="00302FCA"/>
    <w:rsid w:val="00303F98"/>
    <w:rsid w:val="00306640"/>
    <w:rsid w:val="00311520"/>
    <w:rsid w:val="003119F2"/>
    <w:rsid w:val="00311C72"/>
    <w:rsid w:val="0031257D"/>
    <w:rsid w:val="0031273A"/>
    <w:rsid w:val="003146BA"/>
    <w:rsid w:val="003148C5"/>
    <w:rsid w:val="00315C33"/>
    <w:rsid w:val="0031672F"/>
    <w:rsid w:val="0031701F"/>
    <w:rsid w:val="00321463"/>
    <w:rsid w:val="00321655"/>
    <w:rsid w:val="003240A1"/>
    <w:rsid w:val="003241E3"/>
    <w:rsid w:val="00325611"/>
    <w:rsid w:val="0033076D"/>
    <w:rsid w:val="00333327"/>
    <w:rsid w:val="0033405A"/>
    <w:rsid w:val="003371B3"/>
    <w:rsid w:val="003378C4"/>
    <w:rsid w:val="0034431A"/>
    <w:rsid w:val="0035078B"/>
    <w:rsid w:val="00350951"/>
    <w:rsid w:val="00352C95"/>
    <w:rsid w:val="00352F30"/>
    <w:rsid w:val="0035388D"/>
    <w:rsid w:val="00354FB0"/>
    <w:rsid w:val="00356BA4"/>
    <w:rsid w:val="00357395"/>
    <w:rsid w:val="00357533"/>
    <w:rsid w:val="00357FB2"/>
    <w:rsid w:val="00360661"/>
    <w:rsid w:val="00360945"/>
    <w:rsid w:val="00360A29"/>
    <w:rsid w:val="00361D58"/>
    <w:rsid w:val="00363A91"/>
    <w:rsid w:val="0037285C"/>
    <w:rsid w:val="00372C33"/>
    <w:rsid w:val="00375625"/>
    <w:rsid w:val="00375E4E"/>
    <w:rsid w:val="00376F44"/>
    <w:rsid w:val="003775F5"/>
    <w:rsid w:val="00377B53"/>
    <w:rsid w:val="00380FFA"/>
    <w:rsid w:val="00381341"/>
    <w:rsid w:val="00381EBE"/>
    <w:rsid w:val="00385969"/>
    <w:rsid w:val="00385C45"/>
    <w:rsid w:val="00385FB2"/>
    <w:rsid w:val="00387BB6"/>
    <w:rsid w:val="00387E5C"/>
    <w:rsid w:val="00390BB7"/>
    <w:rsid w:val="003913D5"/>
    <w:rsid w:val="003913F8"/>
    <w:rsid w:val="003927D1"/>
    <w:rsid w:val="00392D80"/>
    <w:rsid w:val="0039615E"/>
    <w:rsid w:val="00396747"/>
    <w:rsid w:val="00396812"/>
    <w:rsid w:val="003968A0"/>
    <w:rsid w:val="00396BD5"/>
    <w:rsid w:val="00396E3E"/>
    <w:rsid w:val="003A103A"/>
    <w:rsid w:val="003A142E"/>
    <w:rsid w:val="003A2C42"/>
    <w:rsid w:val="003A410E"/>
    <w:rsid w:val="003A4137"/>
    <w:rsid w:val="003A5CB0"/>
    <w:rsid w:val="003A6B3B"/>
    <w:rsid w:val="003B2AD6"/>
    <w:rsid w:val="003B51D5"/>
    <w:rsid w:val="003B565E"/>
    <w:rsid w:val="003B5C47"/>
    <w:rsid w:val="003C1B4B"/>
    <w:rsid w:val="003C242B"/>
    <w:rsid w:val="003C2B9A"/>
    <w:rsid w:val="003C43AC"/>
    <w:rsid w:val="003D07DF"/>
    <w:rsid w:val="003D0C6D"/>
    <w:rsid w:val="003D1551"/>
    <w:rsid w:val="003D1A3C"/>
    <w:rsid w:val="003D2C72"/>
    <w:rsid w:val="003D3C1B"/>
    <w:rsid w:val="003D3D3B"/>
    <w:rsid w:val="003D55E0"/>
    <w:rsid w:val="003D605F"/>
    <w:rsid w:val="003D6093"/>
    <w:rsid w:val="003D6959"/>
    <w:rsid w:val="003E200E"/>
    <w:rsid w:val="003E2A6D"/>
    <w:rsid w:val="003E3EF1"/>
    <w:rsid w:val="003E4185"/>
    <w:rsid w:val="003E45A3"/>
    <w:rsid w:val="003E47C8"/>
    <w:rsid w:val="003E4BEE"/>
    <w:rsid w:val="003E4D2B"/>
    <w:rsid w:val="003E5C85"/>
    <w:rsid w:val="003F1078"/>
    <w:rsid w:val="003F343E"/>
    <w:rsid w:val="003F42D3"/>
    <w:rsid w:val="003F50EF"/>
    <w:rsid w:val="00400C64"/>
    <w:rsid w:val="00401556"/>
    <w:rsid w:val="004017B5"/>
    <w:rsid w:val="00403245"/>
    <w:rsid w:val="004047B2"/>
    <w:rsid w:val="00405582"/>
    <w:rsid w:val="004057E4"/>
    <w:rsid w:val="004070B3"/>
    <w:rsid w:val="00413D2B"/>
    <w:rsid w:val="0041550B"/>
    <w:rsid w:val="0041579A"/>
    <w:rsid w:val="00415FF4"/>
    <w:rsid w:val="0041778F"/>
    <w:rsid w:val="00424CC3"/>
    <w:rsid w:val="0042684E"/>
    <w:rsid w:val="004277C7"/>
    <w:rsid w:val="00431FD0"/>
    <w:rsid w:val="004320DB"/>
    <w:rsid w:val="00434780"/>
    <w:rsid w:val="00435FBA"/>
    <w:rsid w:val="00444CFD"/>
    <w:rsid w:val="0045185F"/>
    <w:rsid w:val="00451F3B"/>
    <w:rsid w:val="00452288"/>
    <w:rsid w:val="004525D6"/>
    <w:rsid w:val="00453FF2"/>
    <w:rsid w:val="004547E6"/>
    <w:rsid w:val="00460297"/>
    <w:rsid w:val="00464E2F"/>
    <w:rsid w:val="004669B8"/>
    <w:rsid w:val="00467EB8"/>
    <w:rsid w:val="0047033C"/>
    <w:rsid w:val="00470EAF"/>
    <w:rsid w:val="0047150B"/>
    <w:rsid w:val="004721EA"/>
    <w:rsid w:val="00473011"/>
    <w:rsid w:val="0047312D"/>
    <w:rsid w:val="0047367B"/>
    <w:rsid w:val="00475CAE"/>
    <w:rsid w:val="0048017F"/>
    <w:rsid w:val="00482795"/>
    <w:rsid w:val="00482CBF"/>
    <w:rsid w:val="0048327E"/>
    <w:rsid w:val="00483AB8"/>
    <w:rsid w:val="00484D3D"/>
    <w:rsid w:val="00485603"/>
    <w:rsid w:val="004867AC"/>
    <w:rsid w:val="0048680A"/>
    <w:rsid w:val="00491BBA"/>
    <w:rsid w:val="004931BA"/>
    <w:rsid w:val="00493F3A"/>
    <w:rsid w:val="00497080"/>
    <w:rsid w:val="004A5A4A"/>
    <w:rsid w:val="004A62A6"/>
    <w:rsid w:val="004A70B5"/>
    <w:rsid w:val="004B12C7"/>
    <w:rsid w:val="004B1341"/>
    <w:rsid w:val="004B14EA"/>
    <w:rsid w:val="004B71E1"/>
    <w:rsid w:val="004C1A89"/>
    <w:rsid w:val="004C6E8E"/>
    <w:rsid w:val="004C730B"/>
    <w:rsid w:val="004C7D3E"/>
    <w:rsid w:val="004C7D6F"/>
    <w:rsid w:val="004D0ECF"/>
    <w:rsid w:val="004D17C6"/>
    <w:rsid w:val="004D290A"/>
    <w:rsid w:val="004D2EAD"/>
    <w:rsid w:val="004D345F"/>
    <w:rsid w:val="004D682A"/>
    <w:rsid w:val="004D6CE9"/>
    <w:rsid w:val="004D74A8"/>
    <w:rsid w:val="004E0C85"/>
    <w:rsid w:val="004E1CB7"/>
    <w:rsid w:val="004E33F4"/>
    <w:rsid w:val="004E3467"/>
    <w:rsid w:val="004E3918"/>
    <w:rsid w:val="004E39CD"/>
    <w:rsid w:val="004E5AE9"/>
    <w:rsid w:val="004E609B"/>
    <w:rsid w:val="004F08D0"/>
    <w:rsid w:val="004F17AC"/>
    <w:rsid w:val="004F21B6"/>
    <w:rsid w:val="004F3218"/>
    <w:rsid w:val="004F44F6"/>
    <w:rsid w:val="004F669F"/>
    <w:rsid w:val="004F6F62"/>
    <w:rsid w:val="00501044"/>
    <w:rsid w:val="0050146C"/>
    <w:rsid w:val="005028C1"/>
    <w:rsid w:val="00504561"/>
    <w:rsid w:val="00504FE6"/>
    <w:rsid w:val="00506EDE"/>
    <w:rsid w:val="00510DAE"/>
    <w:rsid w:val="005156D2"/>
    <w:rsid w:val="0051579D"/>
    <w:rsid w:val="00520195"/>
    <w:rsid w:val="005203DA"/>
    <w:rsid w:val="0052062B"/>
    <w:rsid w:val="005206AB"/>
    <w:rsid w:val="00521D94"/>
    <w:rsid w:val="00521F18"/>
    <w:rsid w:val="0052247E"/>
    <w:rsid w:val="005232E3"/>
    <w:rsid w:val="005241F0"/>
    <w:rsid w:val="00524311"/>
    <w:rsid w:val="00525173"/>
    <w:rsid w:val="00526388"/>
    <w:rsid w:val="005275C4"/>
    <w:rsid w:val="005302AD"/>
    <w:rsid w:val="00530BD0"/>
    <w:rsid w:val="0053272D"/>
    <w:rsid w:val="00532AFB"/>
    <w:rsid w:val="00532CD7"/>
    <w:rsid w:val="00534113"/>
    <w:rsid w:val="00534523"/>
    <w:rsid w:val="00534C16"/>
    <w:rsid w:val="00535D51"/>
    <w:rsid w:val="005379ED"/>
    <w:rsid w:val="00545E66"/>
    <w:rsid w:val="00550ADC"/>
    <w:rsid w:val="00550D9B"/>
    <w:rsid w:val="005525CA"/>
    <w:rsid w:val="00552F76"/>
    <w:rsid w:val="0055568E"/>
    <w:rsid w:val="00556D9C"/>
    <w:rsid w:val="00557099"/>
    <w:rsid w:val="00557DAC"/>
    <w:rsid w:val="0056070B"/>
    <w:rsid w:val="00560E04"/>
    <w:rsid w:val="00561CA6"/>
    <w:rsid w:val="00562BC7"/>
    <w:rsid w:val="0056334B"/>
    <w:rsid w:val="00564D7E"/>
    <w:rsid w:val="005664DA"/>
    <w:rsid w:val="00570F0C"/>
    <w:rsid w:val="00571CD2"/>
    <w:rsid w:val="00574037"/>
    <w:rsid w:val="00574306"/>
    <w:rsid w:val="00574F1F"/>
    <w:rsid w:val="00576A92"/>
    <w:rsid w:val="00580650"/>
    <w:rsid w:val="0058091D"/>
    <w:rsid w:val="00584634"/>
    <w:rsid w:val="00584873"/>
    <w:rsid w:val="0058574D"/>
    <w:rsid w:val="00593BD5"/>
    <w:rsid w:val="005948EF"/>
    <w:rsid w:val="005962CC"/>
    <w:rsid w:val="005A02C4"/>
    <w:rsid w:val="005A0A89"/>
    <w:rsid w:val="005A1286"/>
    <w:rsid w:val="005A1DA4"/>
    <w:rsid w:val="005A1ED0"/>
    <w:rsid w:val="005A24F3"/>
    <w:rsid w:val="005A5A3E"/>
    <w:rsid w:val="005A6A70"/>
    <w:rsid w:val="005A7D30"/>
    <w:rsid w:val="005A7E96"/>
    <w:rsid w:val="005B1DF1"/>
    <w:rsid w:val="005B7895"/>
    <w:rsid w:val="005B7ABF"/>
    <w:rsid w:val="005C042B"/>
    <w:rsid w:val="005C14F8"/>
    <w:rsid w:val="005C16F4"/>
    <w:rsid w:val="005C1C48"/>
    <w:rsid w:val="005C3036"/>
    <w:rsid w:val="005C4896"/>
    <w:rsid w:val="005C742B"/>
    <w:rsid w:val="005D10B8"/>
    <w:rsid w:val="005D1B6E"/>
    <w:rsid w:val="005D23C3"/>
    <w:rsid w:val="005D462C"/>
    <w:rsid w:val="005D5010"/>
    <w:rsid w:val="005D6AB2"/>
    <w:rsid w:val="005D7A3F"/>
    <w:rsid w:val="005E0960"/>
    <w:rsid w:val="005E0ABD"/>
    <w:rsid w:val="005E450E"/>
    <w:rsid w:val="005E4525"/>
    <w:rsid w:val="005E4558"/>
    <w:rsid w:val="005E77A9"/>
    <w:rsid w:val="005F4324"/>
    <w:rsid w:val="005F49E4"/>
    <w:rsid w:val="005F4A62"/>
    <w:rsid w:val="005F4F17"/>
    <w:rsid w:val="005F5194"/>
    <w:rsid w:val="005F5A66"/>
    <w:rsid w:val="005F6C6E"/>
    <w:rsid w:val="005F7AFA"/>
    <w:rsid w:val="006010D9"/>
    <w:rsid w:val="00603538"/>
    <w:rsid w:val="006035A9"/>
    <w:rsid w:val="006071ED"/>
    <w:rsid w:val="00607392"/>
    <w:rsid w:val="0061282B"/>
    <w:rsid w:val="00615BE1"/>
    <w:rsid w:val="00616DFD"/>
    <w:rsid w:val="006177D0"/>
    <w:rsid w:val="00617821"/>
    <w:rsid w:val="006215A8"/>
    <w:rsid w:val="00623737"/>
    <w:rsid w:val="006237A3"/>
    <w:rsid w:val="00624AF3"/>
    <w:rsid w:val="006254A7"/>
    <w:rsid w:val="00632B6A"/>
    <w:rsid w:val="006346A6"/>
    <w:rsid w:val="0063521C"/>
    <w:rsid w:val="00636D08"/>
    <w:rsid w:val="006403C8"/>
    <w:rsid w:val="006415D0"/>
    <w:rsid w:val="006427B4"/>
    <w:rsid w:val="00642D96"/>
    <w:rsid w:val="00642FC8"/>
    <w:rsid w:val="00643488"/>
    <w:rsid w:val="0064348A"/>
    <w:rsid w:val="0064425A"/>
    <w:rsid w:val="006450F3"/>
    <w:rsid w:val="00645F99"/>
    <w:rsid w:val="0064737B"/>
    <w:rsid w:val="00647AEE"/>
    <w:rsid w:val="00651653"/>
    <w:rsid w:val="00652372"/>
    <w:rsid w:val="00652D14"/>
    <w:rsid w:val="006550C1"/>
    <w:rsid w:val="00656F5A"/>
    <w:rsid w:val="00660D06"/>
    <w:rsid w:val="006615BF"/>
    <w:rsid w:val="00661D83"/>
    <w:rsid w:val="006622AD"/>
    <w:rsid w:val="00662DED"/>
    <w:rsid w:val="00665F81"/>
    <w:rsid w:val="00666408"/>
    <w:rsid w:val="00667B13"/>
    <w:rsid w:val="00667E99"/>
    <w:rsid w:val="00670009"/>
    <w:rsid w:val="00670847"/>
    <w:rsid w:val="006710C1"/>
    <w:rsid w:val="00673E42"/>
    <w:rsid w:val="00676230"/>
    <w:rsid w:val="0068283F"/>
    <w:rsid w:val="00687361"/>
    <w:rsid w:val="00690ADA"/>
    <w:rsid w:val="00690BDD"/>
    <w:rsid w:val="006929E3"/>
    <w:rsid w:val="00693F66"/>
    <w:rsid w:val="00694D08"/>
    <w:rsid w:val="00695570"/>
    <w:rsid w:val="00697D8B"/>
    <w:rsid w:val="006A3505"/>
    <w:rsid w:val="006A37D9"/>
    <w:rsid w:val="006A4DD6"/>
    <w:rsid w:val="006A526D"/>
    <w:rsid w:val="006A583B"/>
    <w:rsid w:val="006A73B5"/>
    <w:rsid w:val="006A7803"/>
    <w:rsid w:val="006B1A99"/>
    <w:rsid w:val="006B3A28"/>
    <w:rsid w:val="006B409D"/>
    <w:rsid w:val="006B439E"/>
    <w:rsid w:val="006B6840"/>
    <w:rsid w:val="006B74E9"/>
    <w:rsid w:val="006B7CD6"/>
    <w:rsid w:val="006C0F50"/>
    <w:rsid w:val="006C47D4"/>
    <w:rsid w:val="006C6CDE"/>
    <w:rsid w:val="006C78BD"/>
    <w:rsid w:val="006C7BD1"/>
    <w:rsid w:val="006D04FB"/>
    <w:rsid w:val="006D07E9"/>
    <w:rsid w:val="006D1C95"/>
    <w:rsid w:val="006D375F"/>
    <w:rsid w:val="006D4D40"/>
    <w:rsid w:val="006D6CC3"/>
    <w:rsid w:val="006E0282"/>
    <w:rsid w:val="006E2B98"/>
    <w:rsid w:val="006E4FB2"/>
    <w:rsid w:val="006E503C"/>
    <w:rsid w:val="006E5E0A"/>
    <w:rsid w:val="006E628C"/>
    <w:rsid w:val="006E6D0B"/>
    <w:rsid w:val="006F6522"/>
    <w:rsid w:val="006F6722"/>
    <w:rsid w:val="006F78EB"/>
    <w:rsid w:val="00703983"/>
    <w:rsid w:val="00705FBA"/>
    <w:rsid w:val="00707151"/>
    <w:rsid w:val="007110E7"/>
    <w:rsid w:val="0071130B"/>
    <w:rsid w:val="00711C96"/>
    <w:rsid w:val="007124FA"/>
    <w:rsid w:val="00712D66"/>
    <w:rsid w:val="00712DBE"/>
    <w:rsid w:val="00713E8C"/>
    <w:rsid w:val="00714E16"/>
    <w:rsid w:val="00717656"/>
    <w:rsid w:val="007209DF"/>
    <w:rsid w:val="00720BC0"/>
    <w:rsid w:val="00720F7C"/>
    <w:rsid w:val="00721643"/>
    <w:rsid w:val="00722970"/>
    <w:rsid w:val="00723EB5"/>
    <w:rsid w:val="00723EE6"/>
    <w:rsid w:val="007242FE"/>
    <w:rsid w:val="007244CD"/>
    <w:rsid w:val="007249A6"/>
    <w:rsid w:val="0072642F"/>
    <w:rsid w:val="00730EC5"/>
    <w:rsid w:val="00732C7A"/>
    <w:rsid w:val="00733AFF"/>
    <w:rsid w:val="00736396"/>
    <w:rsid w:val="0073656A"/>
    <w:rsid w:val="00737F74"/>
    <w:rsid w:val="00740672"/>
    <w:rsid w:val="00745202"/>
    <w:rsid w:val="0075157E"/>
    <w:rsid w:val="00753159"/>
    <w:rsid w:val="00755AD5"/>
    <w:rsid w:val="00756996"/>
    <w:rsid w:val="00756D24"/>
    <w:rsid w:val="00764BA8"/>
    <w:rsid w:val="00765C89"/>
    <w:rsid w:val="00766C3D"/>
    <w:rsid w:val="00767778"/>
    <w:rsid w:val="00767A33"/>
    <w:rsid w:val="007741AF"/>
    <w:rsid w:val="007771AD"/>
    <w:rsid w:val="0077743D"/>
    <w:rsid w:val="00777B5A"/>
    <w:rsid w:val="00777C84"/>
    <w:rsid w:val="007840AA"/>
    <w:rsid w:val="00787A9B"/>
    <w:rsid w:val="00787CC8"/>
    <w:rsid w:val="00787D80"/>
    <w:rsid w:val="0079054B"/>
    <w:rsid w:val="00791FFD"/>
    <w:rsid w:val="0079303F"/>
    <w:rsid w:val="00793B03"/>
    <w:rsid w:val="00795A5A"/>
    <w:rsid w:val="00796034"/>
    <w:rsid w:val="00796688"/>
    <w:rsid w:val="007A35AF"/>
    <w:rsid w:val="007B1970"/>
    <w:rsid w:val="007B3816"/>
    <w:rsid w:val="007B4161"/>
    <w:rsid w:val="007B42F6"/>
    <w:rsid w:val="007B4310"/>
    <w:rsid w:val="007B5F64"/>
    <w:rsid w:val="007B6660"/>
    <w:rsid w:val="007C5820"/>
    <w:rsid w:val="007C68C9"/>
    <w:rsid w:val="007C76BD"/>
    <w:rsid w:val="007D10EE"/>
    <w:rsid w:val="007D13C6"/>
    <w:rsid w:val="007D479C"/>
    <w:rsid w:val="007D5C9D"/>
    <w:rsid w:val="007D6A34"/>
    <w:rsid w:val="007D75CB"/>
    <w:rsid w:val="007D7CCC"/>
    <w:rsid w:val="007E3149"/>
    <w:rsid w:val="007E4200"/>
    <w:rsid w:val="007E5972"/>
    <w:rsid w:val="007E68D0"/>
    <w:rsid w:val="007E7672"/>
    <w:rsid w:val="007F06F8"/>
    <w:rsid w:val="007F45B9"/>
    <w:rsid w:val="007F6403"/>
    <w:rsid w:val="00801740"/>
    <w:rsid w:val="0080210F"/>
    <w:rsid w:val="00805BE6"/>
    <w:rsid w:val="008103AD"/>
    <w:rsid w:val="00810A73"/>
    <w:rsid w:val="008135B4"/>
    <w:rsid w:val="00813997"/>
    <w:rsid w:val="00815183"/>
    <w:rsid w:val="00816983"/>
    <w:rsid w:val="00816D36"/>
    <w:rsid w:val="0081737D"/>
    <w:rsid w:val="0082034F"/>
    <w:rsid w:val="008210C8"/>
    <w:rsid w:val="0082209E"/>
    <w:rsid w:val="00822FA5"/>
    <w:rsid w:val="00823DFE"/>
    <w:rsid w:val="0082770C"/>
    <w:rsid w:val="00830E22"/>
    <w:rsid w:val="00830F53"/>
    <w:rsid w:val="00834E6B"/>
    <w:rsid w:val="00835CE3"/>
    <w:rsid w:val="00843972"/>
    <w:rsid w:val="008457DC"/>
    <w:rsid w:val="00845810"/>
    <w:rsid w:val="00845A5E"/>
    <w:rsid w:val="00845B47"/>
    <w:rsid w:val="00847985"/>
    <w:rsid w:val="00850CEE"/>
    <w:rsid w:val="00850DC4"/>
    <w:rsid w:val="008532FF"/>
    <w:rsid w:val="008533E1"/>
    <w:rsid w:val="008540C5"/>
    <w:rsid w:val="008548F1"/>
    <w:rsid w:val="00854A1E"/>
    <w:rsid w:val="00854C16"/>
    <w:rsid w:val="008567CB"/>
    <w:rsid w:val="00860FF3"/>
    <w:rsid w:val="00861149"/>
    <w:rsid w:val="0086128F"/>
    <w:rsid w:val="008620F0"/>
    <w:rsid w:val="00862626"/>
    <w:rsid w:val="00863DE4"/>
    <w:rsid w:val="00871AE4"/>
    <w:rsid w:val="00871DCE"/>
    <w:rsid w:val="0087499F"/>
    <w:rsid w:val="008757CE"/>
    <w:rsid w:val="0087630F"/>
    <w:rsid w:val="00876E72"/>
    <w:rsid w:val="0087790A"/>
    <w:rsid w:val="008804A8"/>
    <w:rsid w:val="00880E60"/>
    <w:rsid w:val="00881A3D"/>
    <w:rsid w:val="00881C7E"/>
    <w:rsid w:val="00881DBA"/>
    <w:rsid w:val="008827F5"/>
    <w:rsid w:val="00893829"/>
    <w:rsid w:val="00896461"/>
    <w:rsid w:val="008966F8"/>
    <w:rsid w:val="00896B34"/>
    <w:rsid w:val="00897EC0"/>
    <w:rsid w:val="008A0557"/>
    <w:rsid w:val="008A1E11"/>
    <w:rsid w:val="008A25B5"/>
    <w:rsid w:val="008A2AC3"/>
    <w:rsid w:val="008A2F33"/>
    <w:rsid w:val="008A67F3"/>
    <w:rsid w:val="008A7ECC"/>
    <w:rsid w:val="008B1A8E"/>
    <w:rsid w:val="008B2183"/>
    <w:rsid w:val="008B22A0"/>
    <w:rsid w:val="008B36BE"/>
    <w:rsid w:val="008B4377"/>
    <w:rsid w:val="008B5108"/>
    <w:rsid w:val="008B548D"/>
    <w:rsid w:val="008B6991"/>
    <w:rsid w:val="008B793E"/>
    <w:rsid w:val="008C0126"/>
    <w:rsid w:val="008C07C6"/>
    <w:rsid w:val="008C1BEE"/>
    <w:rsid w:val="008C2DDB"/>
    <w:rsid w:val="008C36B5"/>
    <w:rsid w:val="008C659B"/>
    <w:rsid w:val="008D0F23"/>
    <w:rsid w:val="008D472C"/>
    <w:rsid w:val="008D659E"/>
    <w:rsid w:val="008E0593"/>
    <w:rsid w:val="008E133C"/>
    <w:rsid w:val="008E4E36"/>
    <w:rsid w:val="008E6DA8"/>
    <w:rsid w:val="008F0210"/>
    <w:rsid w:val="008F3F20"/>
    <w:rsid w:val="008F3FEB"/>
    <w:rsid w:val="008F55B1"/>
    <w:rsid w:val="008F5D9B"/>
    <w:rsid w:val="008F5EB6"/>
    <w:rsid w:val="008F602B"/>
    <w:rsid w:val="008F60C8"/>
    <w:rsid w:val="008F6F37"/>
    <w:rsid w:val="008F7A9D"/>
    <w:rsid w:val="008F7EF3"/>
    <w:rsid w:val="00903BDA"/>
    <w:rsid w:val="00905493"/>
    <w:rsid w:val="0090730F"/>
    <w:rsid w:val="00907569"/>
    <w:rsid w:val="00907B4B"/>
    <w:rsid w:val="00907BC9"/>
    <w:rsid w:val="0091058F"/>
    <w:rsid w:val="00911407"/>
    <w:rsid w:val="0091229C"/>
    <w:rsid w:val="00912349"/>
    <w:rsid w:val="00912F36"/>
    <w:rsid w:val="009154DE"/>
    <w:rsid w:val="00916F16"/>
    <w:rsid w:val="00917269"/>
    <w:rsid w:val="0092087D"/>
    <w:rsid w:val="009247F8"/>
    <w:rsid w:val="00924B83"/>
    <w:rsid w:val="009253F7"/>
    <w:rsid w:val="00926D80"/>
    <w:rsid w:val="00927375"/>
    <w:rsid w:val="009345A9"/>
    <w:rsid w:val="00934FDB"/>
    <w:rsid w:val="00937007"/>
    <w:rsid w:val="00937E71"/>
    <w:rsid w:val="00941577"/>
    <w:rsid w:val="00942BC4"/>
    <w:rsid w:val="009468B6"/>
    <w:rsid w:val="0095070F"/>
    <w:rsid w:val="009523A3"/>
    <w:rsid w:val="00954489"/>
    <w:rsid w:val="00956CE2"/>
    <w:rsid w:val="00960A3C"/>
    <w:rsid w:val="00963140"/>
    <w:rsid w:val="00963BAE"/>
    <w:rsid w:val="00964AF5"/>
    <w:rsid w:val="00964E49"/>
    <w:rsid w:val="00972D99"/>
    <w:rsid w:val="00972E2E"/>
    <w:rsid w:val="00976A3A"/>
    <w:rsid w:val="00977D9C"/>
    <w:rsid w:val="00980439"/>
    <w:rsid w:val="0098160C"/>
    <w:rsid w:val="009818D4"/>
    <w:rsid w:val="00983491"/>
    <w:rsid w:val="00985482"/>
    <w:rsid w:val="00985EF4"/>
    <w:rsid w:val="00986F59"/>
    <w:rsid w:val="009875BF"/>
    <w:rsid w:val="00990F1C"/>
    <w:rsid w:val="0099210F"/>
    <w:rsid w:val="00992861"/>
    <w:rsid w:val="00997398"/>
    <w:rsid w:val="009A1515"/>
    <w:rsid w:val="009A42C3"/>
    <w:rsid w:val="009A5195"/>
    <w:rsid w:val="009A65C7"/>
    <w:rsid w:val="009A72CF"/>
    <w:rsid w:val="009A7511"/>
    <w:rsid w:val="009B000B"/>
    <w:rsid w:val="009B12E9"/>
    <w:rsid w:val="009B4B28"/>
    <w:rsid w:val="009B6193"/>
    <w:rsid w:val="009C4843"/>
    <w:rsid w:val="009C6A78"/>
    <w:rsid w:val="009C72E9"/>
    <w:rsid w:val="009D383D"/>
    <w:rsid w:val="009D5B89"/>
    <w:rsid w:val="009D6C0E"/>
    <w:rsid w:val="009E05E7"/>
    <w:rsid w:val="009E0D70"/>
    <w:rsid w:val="009E50A6"/>
    <w:rsid w:val="009F0F05"/>
    <w:rsid w:val="009F1136"/>
    <w:rsid w:val="009F5181"/>
    <w:rsid w:val="009F6412"/>
    <w:rsid w:val="009F7F4B"/>
    <w:rsid w:val="00A032DA"/>
    <w:rsid w:val="00A06582"/>
    <w:rsid w:val="00A0702A"/>
    <w:rsid w:val="00A115CD"/>
    <w:rsid w:val="00A12385"/>
    <w:rsid w:val="00A131F7"/>
    <w:rsid w:val="00A16343"/>
    <w:rsid w:val="00A20B30"/>
    <w:rsid w:val="00A22B64"/>
    <w:rsid w:val="00A22E71"/>
    <w:rsid w:val="00A24DD5"/>
    <w:rsid w:val="00A25F3A"/>
    <w:rsid w:val="00A2761C"/>
    <w:rsid w:val="00A306F8"/>
    <w:rsid w:val="00A30A34"/>
    <w:rsid w:val="00A31158"/>
    <w:rsid w:val="00A407F3"/>
    <w:rsid w:val="00A41065"/>
    <w:rsid w:val="00A426F2"/>
    <w:rsid w:val="00A472DE"/>
    <w:rsid w:val="00A52144"/>
    <w:rsid w:val="00A5282A"/>
    <w:rsid w:val="00A531D6"/>
    <w:rsid w:val="00A538C4"/>
    <w:rsid w:val="00A540B2"/>
    <w:rsid w:val="00A57B14"/>
    <w:rsid w:val="00A65A4D"/>
    <w:rsid w:val="00A70B19"/>
    <w:rsid w:val="00A71EE3"/>
    <w:rsid w:val="00A72BED"/>
    <w:rsid w:val="00A73820"/>
    <w:rsid w:val="00A77FE4"/>
    <w:rsid w:val="00A805E3"/>
    <w:rsid w:val="00A832D0"/>
    <w:rsid w:val="00A835A9"/>
    <w:rsid w:val="00A836B9"/>
    <w:rsid w:val="00A83CAE"/>
    <w:rsid w:val="00A84AB9"/>
    <w:rsid w:val="00A86012"/>
    <w:rsid w:val="00A861EE"/>
    <w:rsid w:val="00A87795"/>
    <w:rsid w:val="00A90196"/>
    <w:rsid w:val="00A909D8"/>
    <w:rsid w:val="00A915C2"/>
    <w:rsid w:val="00A91E45"/>
    <w:rsid w:val="00A94AB7"/>
    <w:rsid w:val="00AA01E2"/>
    <w:rsid w:val="00AA0218"/>
    <w:rsid w:val="00AA2ACD"/>
    <w:rsid w:val="00AA3F46"/>
    <w:rsid w:val="00AA4AA8"/>
    <w:rsid w:val="00AA4B49"/>
    <w:rsid w:val="00AA6FEE"/>
    <w:rsid w:val="00AA7B60"/>
    <w:rsid w:val="00AB11CA"/>
    <w:rsid w:val="00AB4F31"/>
    <w:rsid w:val="00AB5FD1"/>
    <w:rsid w:val="00AB7E1A"/>
    <w:rsid w:val="00AC1192"/>
    <w:rsid w:val="00AC131D"/>
    <w:rsid w:val="00AC1BD0"/>
    <w:rsid w:val="00AC1DC6"/>
    <w:rsid w:val="00AC38B2"/>
    <w:rsid w:val="00AC3915"/>
    <w:rsid w:val="00AC3C04"/>
    <w:rsid w:val="00AC47E9"/>
    <w:rsid w:val="00AC4E86"/>
    <w:rsid w:val="00AC5DB1"/>
    <w:rsid w:val="00AC6E0C"/>
    <w:rsid w:val="00AD34EE"/>
    <w:rsid w:val="00AD41D1"/>
    <w:rsid w:val="00AD4555"/>
    <w:rsid w:val="00AD78EA"/>
    <w:rsid w:val="00AD798E"/>
    <w:rsid w:val="00AE3FD6"/>
    <w:rsid w:val="00AE4E31"/>
    <w:rsid w:val="00AE626B"/>
    <w:rsid w:val="00AF04CB"/>
    <w:rsid w:val="00AF06D0"/>
    <w:rsid w:val="00AF1323"/>
    <w:rsid w:val="00AF182B"/>
    <w:rsid w:val="00AF2133"/>
    <w:rsid w:val="00AF2DFF"/>
    <w:rsid w:val="00AF42C7"/>
    <w:rsid w:val="00AF5664"/>
    <w:rsid w:val="00AF5CEB"/>
    <w:rsid w:val="00AF7C6A"/>
    <w:rsid w:val="00AF7CA0"/>
    <w:rsid w:val="00B0003E"/>
    <w:rsid w:val="00B02BF9"/>
    <w:rsid w:val="00B03750"/>
    <w:rsid w:val="00B044AC"/>
    <w:rsid w:val="00B06A1E"/>
    <w:rsid w:val="00B079D9"/>
    <w:rsid w:val="00B10764"/>
    <w:rsid w:val="00B1098C"/>
    <w:rsid w:val="00B12678"/>
    <w:rsid w:val="00B13568"/>
    <w:rsid w:val="00B13AEA"/>
    <w:rsid w:val="00B1574C"/>
    <w:rsid w:val="00B16AF5"/>
    <w:rsid w:val="00B170AC"/>
    <w:rsid w:val="00B205DC"/>
    <w:rsid w:val="00B2103A"/>
    <w:rsid w:val="00B220CB"/>
    <w:rsid w:val="00B227FA"/>
    <w:rsid w:val="00B23143"/>
    <w:rsid w:val="00B25831"/>
    <w:rsid w:val="00B30B75"/>
    <w:rsid w:val="00B33376"/>
    <w:rsid w:val="00B342FC"/>
    <w:rsid w:val="00B34BCD"/>
    <w:rsid w:val="00B3645E"/>
    <w:rsid w:val="00B378C7"/>
    <w:rsid w:val="00B378D2"/>
    <w:rsid w:val="00B37EBC"/>
    <w:rsid w:val="00B4014B"/>
    <w:rsid w:val="00B417DF"/>
    <w:rsid w:val="00B43A18"/>
    <w:rsid w:val="00B44E07"/>
    <w:rsid w:val="00B45DC6"/>
    <w:rsid w:val="00B46E1F"/>
    <w:rsid w:val="00B46EDF"/>
    <w:rsid w:val="00B47455"/>
    <w:rsid w:val="00B47900"/>
    <w:rsid w:val="00B47EFD"/>
    <w:rsid w:val="00B505B2"/>
    <w:rsid w:val="00B5116B"/>
    <w:rsid w:val="00B526B0"/>
    <w:rsid w:val="00B543CF"/>
    <w:rsid w:val="00B54556"/>
    <w:rsid w:val="00B55404"/>
    <w:rsid w:val="00B557B5"/>
    <w:rsid w:val="00B558A8"/>
    <w:rsid w:val="00B60E0C"/>
    <w:rsid w:val="00B619ED"/>
    <w:rsid w:val="00B61DDD"/>
    <w:rsid w:val="00B62EFF"/>
    <w:rsid w:val="00B63545"/>
    <w:rsid w:val="00B64AF3"/>
    <w:rsid w:val="00B6534B"/>
    <w:rsid w:val="00B65E73"/>
    <w:rsid w:val="00B67C7E"/>
    <w:rsid w:val="00B71577"/>
    <w:rsid w:val="00B72478"/>
    <w:rsid w:val="00B746F2"/>
    <w:rsid w:val="00B7519D"/>
    <w:rsid w:val="00B80C0A"/>
    <w:rsid w:val="00B8177F"/>
    <w:rsid w:val="00B82146"/>
    <w:rsid w:val="00B83142"/>
    <w:rsid w:val="00B851A1"/>
    <w:rsid w:val="00B85278"/>
    <w:rsid w:val="00B875C8"/>
    <w:rsid w:val="00B91921"/>
    <w:rsid w:val="00B928D3"/>
    <w:rsid w:val="00B93E3D"/>
    <w:rsid w:val="00B946CB"/>
    <w:rsid w:val="00B94A4E"/>
    <w:rsid w:val="00B94D10"/>
    <w:rsid w:val="00B95A46"/>
    <w:rsid w:val="00BA5BE3"/>
    <w:rsid w:val="00BA772E"/>
    <w:rsid w:val="00BB0A38"/>
    <w:rsid w:val="00BB27CA"/>
    <w:rsid w:val="00BB2C30"/>
    <w:rsid w:val="00BB3BBC"/>
    <w:rsid w:val="00BB3D14"/>
    <w:rsid w:val="00BB473A"/>
    <w:rsid w:val="00BB4FB3"/>
    <w:rsid w:val="00BB58FA"/>
    <w:rsid w:val="00BB5F6D"/>
    <w:rsid w:val="00BB6375"/>
    <w:rsid w:val="00BB6AED"/>
    <w:rsid w:val="00BB6AFD"/>
    <w:rsid w:val="00BC09EB"/>
    <w:rsid w:val="00BC4CA8"/>
    <w:rsid w:val="00BC51C3"/>
    <w:rsid w:val="00BC6787"/>
    <w:rsid w:val="00BD02CA"/>
    <w:rsid w:val="00BD16FE"/>
    <w:rsid w:val="00BD59DC"/>
    <w:rsid w:val="00BD6395"/>
    <w:rsid w:val="00BD7858"/>
    <w:rsid w:val="00BE2CDA"/>
    <w:rsid w:val="00BE349B"/>
    <w:rsid w:val="00BE4452"/>
    <w:rsid w:val="00BE4E88"/>
    <w:rsid w:val="00BE70A3"/>
    <w:rsid w:val="00C00102"/>
    <w:rsid w:val="00C00600"/>
    <w:rsid w:val="00C00BF4"/>
    <w:rsid w:val="00C01430"/>
    <w:rsid w:val="00C03CFF"/>
    <w:rsid w:val="00C04D00"/>
    <w:rsid w:val="00C05571"/>
    <w:rsid w:val="00C06322"/>
    <w:rsid w:val="00C10EE6"/>
    <w:rsid w:val="00C11DFD"/>
    <w:rsid w:val="00C13509"/>
    <w:rsid w:val="00C1503F"/>
    <w:rsid w:val="00C20976"/>
    <w:rsid w:val="00C21497"/>
    <w:rsid w:val="00C223CA"/>
    <w:rsid w:val="00C23A29"/>
    <w:rsid w:val="00C24C14"/>
    <w:rsid w:val="00C317E6"/>
    <w:rsid w:val="00C32B69"/>
    <w:rsid w:val="00C33785"/>
    <w:rsid w:val="00C35588"/>
    <w:rsid w:val="00C36298"/>
    <w:rsid w:val="00C377DC"/>
    <w:rsid w:val="00C4318F"/>
    <w:rsid w:val="00C43892"/>
    <w:rsid w:val="00C470CF"/>
    <w:rsid w:val="00C50CBF"/>
    <w:rsid w:val="00C51080"/>
    <w:rsid w:val="00C54F79"/>
    <w:rsid w:val="00C5649B"/>
    <w:rsid w:val="00C56BCF"/>
    <w:rsid w:val="00C56CC1"/>
    <w:rsid w:val="00C57D9A"/>
    <w:rsid w:val="00C61221"/>
    <w:rsid w:val="00C62ECE"/>
    <w:rsid w:val="00C63EA0"/>
    <w:rsid w:val="00C640EF"/>
    <w:rsid w:val="00C653F5"/>
    <w:rsid w:val="00C720F6"/>
    <w:rsid w:val="00C72780"/>
    <w:rsid w:val="00C735E5"/>
    <w:rsid w:val="00C7413C"/>
    <w:rsid w:val="00C74650"/>
    <w:rsid w:val="00C7477E"/>
    <w:rsid w:val="00C7481E"/>
    <w:rsid w:val="00C74837"/>
    <w:rsid w:val="00C75947"/>
    <w:rsid w:val="00C80727"/>
    <w:rsid w:val="00C82A6D"/>
    <w:rsid w:val="00C8428C"/>
    <w:rsid w:val="00C84EC6"/>
    <w:rsid w:val="00C852A7"/>
    <w:rsid w:val="00C867FC"/>
    <w:rsid w:val="00C90459"/>
    <w:rsid w:val="00C91506"/>
    <w:rsid w:val="00C95417"/>
    <w:rsid w:val="00CA1DEE"/>
    <w:rsid w:val="00CA47C6"/>
    <w:rsid w:val="00CA600E"/>
    <w:rsid w:val="00CB0799"/>
    <w:rsid w:val="00CB3E88"/>
    <w:rsid w:val="00CB427F"/>
    <w:rsid w:val="00CB4DBE"/>
    <w:rsid w:val="00CB6E45"/>
    <w:rsid w:val="00CC2861"/>
    <w:rsid w:val="00CC29FA"/>
    <w:rsid w:val="00CC32DC"/>
    <w:rsid w:val="00CC4250"/>
    <w:rsid w:val="00CC43C2"/>
    <w:rsid w:val="00CC4550"/>
    <w:rsid w:val="00CD2420"/>
    <w:rsid w:val="00CD3889"/>
    <w:rsid w:val="00CD3B29"/>
    <w:rsid w:val="00CD4390"/>
    <w:rsid w:val="00CD4E5C"/>
    <w:rsid w:val="00CD63E6"/>
    <w:rsid w:val="00CD655A"/>
    <w:rsid w:val="00CD7D14"/>
    <w:rsid w:val="00CD7FEC"/>
    <w:rsid w:val="00CE118C"/>
    <w:rsid w:val="00CE2F6E"/>
    <w:rsid w:val="00CE4118"/>
    <w:rsid w:val="00CE632A"/>
    <w:rsid w:val="00CF15A4"/>
    <w:rsid w:val="00CF3484"/>
    <w:rsid w:val="00CF34F4"/>
    <w:rsid w:val="00CF7145"/>
    <w:rsid w:val="00CF7E6C"/>
    <w:rsid w:val="00D05A59"/>
    <w:rsid w:val="00D1071A"/>
    <w:rsid w:val="00D16F47"/>
    <w:rsid w:val="00D20A88"/>
    <w:rsid w:val="00D23132"/>
    <w:rsid w:val="00D23770"/>
    <w:rsid w:val="00D25741"/>
    <w:rsid w:val="00D27EF4"/>
    <w:rsid w:val="00D30E38"/>
    <w:rsid w:val="00D31121"/>
    <w:rsid w:val="00D31EF3"/>
    <w:rsid w:val="00D32E7D"/>
    <w:rsid w:val="00D33E2C"/>
    <w:rsid w:val="00D34DCA"/>
    <w:rsid w:val="00D3628A"/>
    <w:rsid w:val="00D36AF5"/>
    <w:rsid w:val="00D37349"/>
    <w:rsid w:val="00D40213"/>
    <w:rsid w:val="00D41287"/>
    <w:rsid w:val="00D41B8A"/>
    <w:rsid w:val="00D4210E"/>
    <w:rsid w:val="00D43EA3"/>
    <w:rsid w:val="00D504FE"/>
    <w:rsid w:val="00D50501"/>
    <w:rsid w:val="00D510E4"/>
    <w:rsid w:val="00D518FB"/>
    <w:rsid w:val="00D529B9"/>
    <w:rsid w:val="00D52E86"/>
    <w:rsid w:val="00D539C7"/>
    <w:rsid w:val="00D53F87"/>
    <w:rsid w:val="00D5492C"/>
    <w:rsid w:val="00D602C6"/>
    <w:rsid w:val="00D67709"/>
    <w:rsid w:val="00D70ABD"/>
    <w:rsid w:val="00D72B62"/>
    <w:rsid w:val="00D72D39"/>
    <w:rsid w:val="00D7392E"/>
    <w:rsid w:val="00D73AA1"/>
    <w:rsid w:val="00D73CA6"/>
    <w:rsid w:val="00D742DF"/>
    <w:rsid w:val="00D77325"/>
    <w:rsid w:val="00D77430"/>
    <w:rsid w:val="00D77E63"/>
    <w:rsid w:val="00D81755"/>
    <w:rsid w:val="00D82A95"/>
    <w:rsid w:val="00D832FF"/>
    <w:rsid w:val="00D83CD2"/>
    <w:rsid w:val="00D84809"/>
    <w:rsid w:val="00D90476"/>
    <w:rsid w:val="00D91F4B"/>
    <w:rsid w:val="00D924D1"/>
    <w:rsid w:val="00D93C93"/>
    <w:rsid w:val="00D94137"/>
    <w:rsid w:val="00D943B2"/>
    <w:rsid w:val="00D95313"/>
    <w:rsid w:val="00D978F3"/>
    <w:rsid w:val="00D97B6C"/>
    <w:rsid w:val="00DA1AE5"/>
    <w:rsid w:val="00DA2184"/>
    <w:rsid w:val="00DA2481"/>
    <w:rsid w:val="00DA4AA5"/>
    <w:rsid w:val="00DA54D4"/>
    <w:rsid w:val="00DA62CB"/>
    <w:rsid w:val="00DA7296"/>
    <w:rsid w:val="00DA7D19"/>
    <w:rsid w:val="00DB1BB5"/>
    <w:rsid w:val="00DB3A90"/>
    <w:rsid w:val="00DB3E85"/>
    <w:rsid w:val="00DB620A"/>
    <w:rsid w:val="00DC627D"/>
    <w:rsid w:val="00DD3D52"/>
    <w:rsid w:val="00DD4465"/>
    <w:rsid w:val="00DD609C"/>
    <w:rsid w:val="00DE018E"/>
    <w:rsid w:val="00DE025E"/>
    <w:rsid w:val="00DE1210"/>
    <w:rsid w:val="00DF07B9"/>
    <w:rsid w:val="00DF1938"/>
    <w:rsid w:val="00DF2832"/>
    <w:rsid w:val="00E00440"/>
    <w:rsid w:val="00E03D0D"/>
    <w:rsid w:val="00E05D42"/>
    <w:rsid w:val="00E158B0"/>
    <w:rsid w:val="00E15EAD"/>
    <w:rsid w:val="00E17CF1"/>
    <w:rsid w:val="00E221A8"/>
    <w:rsid w:val="00E22751"/>
    <w:rsid w:val="00E22CB6"/>
    <w:rsid w:val="00E23447"/>
    <w:rsid w:val="00E24726"/>
    <w:rsid w:val="00E24D42"/>
    <w:rsid w:val="00E255D2"/>
    <w:rsid w:val="00E279C8"/>
    <w:rsid w:val="00E27F28"/>
    <w:rsid w:val="00E30068"/>
    <w:rsid w:val="00E33FE4"/>
    <w:rsid w:val="00E35A72"/>
    <w:rsid w:val="00E37C6A"/>
    <w:rsid w:val="00E43362"/>
    <w:rsid w:val="00E4489A"/>
    <w:rsid w:val="00E46234"/>
    <w:rsid w:val="00E46CAC"/>
    <w:rsid w:val="00E46E69"/>
    <w:rsid w:val="00E510CC"/>
    <w:rsid w:val="00E55206"/>
    <w:rsid w:val="00E5797E"/>
    <w:rsid w:val="00E609B3"/>
    <w:rsid w:val="00E61C68"/>
    <w:rsid w:val="00E62169"/>
    <w:rsid w:val="00E625A0"/>
    <w:rsid w:val="00E63287"/>
    <w:rsid w:val="00E65269"/>
    <w:rsid w:val="00E65E9D"/>
    <w:rsid w:val="00E67B39"/>
    <w:rsid w:val="00E71080"/>
    <w:rsid w:val="00E73729"/>
    <w:rsid w:val="00E75272"/>
    <w:rsid w:val="00E75599"/>
    <w:rsid w:val="00E84B69"/>
    <w:rsid w:val="00E869E9"/>
    <w:rsid w:val="00E86A34"/>
    <w:rsid w:val="00E93570"/>
    <w:rsid w:val="00E93623"/>
    <w:rsid w:val="00E9539D"/>
    <w:rsid w:val="00E95B30"/>
    <w:rsid w:val="00E96CE0"/>
    <w:rsid w:val="00EA0EFB"/>
    <w:rsid w:val="00EA298E"/>
    <w:rsid w:val="00EA2AB2"/>
    <w:rsid w:val="00EA4020"/>
    <w:rsid w:val="00EA47D9"/>
    <w:rsid w:val="00EA6E57"/>
    <w:rsid w:val="00EA701B"/>
    <w:rsid w:val="00EB17CF"/>
    <w:rsid w:val="00EB4B80"/>
    <w:rsid w:val="00EB6CDE"/>
    <w:rsid w:val="00EC05C0"/>
    <w:rsid w:val="00EC296E"/>
    <w:rsid w:val="00ED1641"/>
    <w:rsid w:val="00ED1805"/>
    <w:rsid w:val="00ED2E91"/>
    <w:rsid w:val="00ED6D59"/>
    <w:rsid w:val="00ED722E"/>
    <w:rsid w:val="00EE00C6"/>
    <w:rsid w:val="00EE351C"/>
    <w:rsid w:val="00EE4F32"/>
    <w:rsid w:val="00EF027A"/>
    <w:rsid w:val="00EF12AF"/>
    <w:rsid w:val="00EF5115"/>
    <w:rsid w:val="00EF771E"/>
    <w:rsid w:val="00F0149D"/>
    <w:rsid w:val="00F02045"/>
    <w:rsid w:val="00F03806"/>
    <w:rsid w:val="00F0659D"/>
    <w:rsid w:val="00F07C1A"/>
    <w:rsid w:val="00F10B4F"/>
    <w:rsid w:val="00F1213F"/>
    <w:rsid w:val="00F122E2"/>
    <w:rsid w:val="00F13346"/>
    <w:rsid w:val="00F14F53"/>
    <w:rsid w:val="00F17D52"/>
    <w:rsid w:val="00F20225"/>
    <w:rsid w:val="00F2127E"/>
    <w:rsid w:val="00F2387B"/>
    <w:rsid w:val="00F253B3"/>
    <w:rsid w:val="00F26645"/>
    <w:rsid w:val="00F26AD9"/>
    <w:rsid w:val="00F31F3A"/>
    <w:rsid w:val="00F332CA"/>
    <w:rsid w:val="00F33B57"/>
    <w:rsid w:val="00F34976"/>
    <w:rsid w:val="00F35183"/>
    <w:rsid w:val="00F35D05"/>
    <w:rsid w:val="00F35DFD"/>
    <w:rsid w:val="00F3604E"/>
    <w:rsid w:val="00F379E8"/>
    <w:rsid w:val="00F42F12"/>
    <w:rsid w:val="00F4711A"/>
    <w:rsid w:val="00F526DE"/>
    <w:rsid w:val="00F532FA"/>
    <w:rsid w:val="00F53B0F"/>
    <w:rsid w:val="00F53F96"/>
    <w:rsid w:val="00F54000"/>
    <w:rsid w:val="00F554C7"/>
    <w:rsid w:val="00F56AB8"/>
    <w:rsid w:val="00F6259B"/>
    <w:rsid w:val="00F62CF1"/>
    <w:rsid w:val="00F63F69"/>
    <w:rsid w:val="00F64728"/>
    <w:rsid w:val="00F64AFA"/>
    <w:rsid w:val="00F64D78"/>
    <w:rsid w:val="00F67677"/>
    <w:rsid w:val="00F72932"/>
    <w:rsid w:val="00F73DFC"/>
    <w:rsid w:val="00F74EF6"/>
    <w:rsid w:val="00F773D1"/>
    <w:rsid w:val="00F80BF4"/>
    <w:rsid w:val="00F822DF"/>
    <w:rsid w:val="00F82426"/>
    <w:rsid w:val="00F82632"/>
    <w:rsid w:val="00F82EE4"/>
    <w:rsid w:val="00F834FB"/>
    <w:rsid w:val="00F84947"/>
    <w:rsid w:val="00F85974"/>
    <w:rsid w:val="00F86C97"/>
    <w:rsid w:val="00F9170C"/>
    <w:rsid w:val="00F91B5E"/>
    <w:rsid w:val="00F925E6"/>
    <w:rsid w:val="00F92A7A"/>
    <w:rsid w:val="00F92B25"/>
    <w:rsid w:val="00F94568"/>
    <w:rsid w:val="00F94D1A"/>
    <w:rsid w:val="00F95C6C"/>
    <w:rsid w:val="00F9708F"/>
    <w:rsid w:val="00F97358"/>
    <w:rsid w:val="00FA01C5"/>
    <w:rsid w:val="00FA1C99"/>
    <w:rsid w:val="00FA380B"/>
    <w:rsid w:val="00FA39DC"/>
    <w:rsid w:val="00FA3F1E"/>
    <w:rsid w:val="00FA5034"/>
    <w:rsid w:val="00FA519A"/>
    <w:rsid w:val="00FA6C64"/>
    <w:rsid w:val="00FA73EC"/>
    <w:rsid w:val="00FB0638"/>
    <w:rsid w:val="00FB0680"/>
    <w:rsid w:val="00FB1EA2"/>
    <w:rsid w:val="00FB4215"/>
    <w:rsid w:val="00FB6593"/>
    <w:rsid w:val="00FB65A3"/>
    <w:rsid w:val="00FC104A"/>
    <w:rsid w:val="00FC4613"/>
    <w:rsid w:val="00FC4CB0"/>
    <w:rsid w:val="00FC60ED"/>
    <w:rsid w:val="00FC6E22"/>
    <w:rsid w:val="00FC7353"/>
    <w:rsid w:val="00FD1312"/>
    <w:rsid w:val="00FE15B7"/>
    <w:rsid w:val="00FE2519"/>
    <w:rsid w:val="00FE3B3E"/>
    <w:rsid w:val="00FE4C3C"/>
    <w:rsid w:val="00FE54C8"/>
    <w:rsid w:val="00FE727C"/>
    <w:rsid w:val="00FF03DD"/>
    <w:rsid w:val="00FF1129"/>
    <w:rsid w:val="00FF20BF"/>
    <w:rsid w:val="00FF64AF"/>
    <w:rsid w:val="00FF6AA4"/>
    <w:rsid w:val="00FF775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8DA23"/>
  <w15:docId w15:val="{ACAF6FB2-9FED-4075-AD9C-07F572B7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A70"/>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909D8"/>
    <w:rPr>
      <w:b/>
      <w:i/>
      <w:sz w:val="24"/>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909D8"/>
    <w:rPr>
      <w:sz w:val="24"/>
      <w:lang w:val="en-GB" w:eastAsia="en-US"/>
    </w:rPr>
  </w:style>
  <w:style w:type="paragraph" w:styleId="Footer">
    <w:name w:val="footer"/>
    <w:aliases w:val="3_G"/>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customStyle="1" w:styleId="FootnoteTextChar">
    <w:name w:val="Footnote Text Char"/>
    <w:link w:val="FootnoteText"/>
    <w:rsid w:val="00A909D8"/>
    <w:rPr>
      <w:sz w:val="24"/>
      <w:lang w:val="en-GB" w:eastAsia="en-US"/>
    </w:rP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table" w:styleId="TableGrid">
    <w:name w:val="Table Grid"/>
    <w:basedOn w:val="TableNormal"/>
    <w:uiPriority w:val="59"/>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2E4C45"/>
    <w:pPr>
      <w:ind w:left="708"/>
    </w:pPr>
  </w:style>
  <w:style w:type="paragraph" w:customStyle="1" w:styleId="N5">
    <w:name w:val="N5"/>
    <w:basedOn w:val="Normal"/>
    <w:rsid w:val="004F21B6"/>
    <w:pPr>
      <w:widowControl w:val="0"/>
      <w:tabs>
        <w:tab w:val="left" w:pos="1134"/>
        <w:tab w:val="left" w:pos="1418"/>
      </w:tabs>
      <w:overflowPunct w:val="0"/>
      <w:autoSpaceDE w:val="0"/>
      <w:autoSpaceDN w:val="0"/>
      <w:adjustRightInd w:val="0"/>
      <w:spacing w:after="0"/>
      <w:ind w:left="1418" w:hanging="284"/>
      <w:jc w:val="both"/>
      <w:textAlignment w:val="baseline"/>
    </w:pPr>
    <w:rPr>
      <w:rFonts w:ascii="Arial" w:hAnsi="Arial"/>
      <w:sz w:val="20"/>
      <w:lang w:val="de-DE" w:eastAsia="nl-NL"/>
    </w:rPr>
  </w:style>
  <w:style w:type="paragraph" w:customStyle="1" w:styleId="Corpsdetexte21">
    <w:name w:val="Corps de texte 21"/>
    <w:basedOn w:val="Normal"/>
    <w:rsid w:val="004F21B6"/>
    <w:pPr>
      <w:widowControl w:val="0"/>
      <w:overflowPunct w:val="0"/>
      <w:autoSpaceDE w:val="0"/>
      <w:autoSpaceDN w:val="0"/>
      <w:adjustRightInd w:val="0"/>
      <w:spacing w:after="0" w:line="220" w:lineRule="exact"/>
      <w:ind w:left="1701" w:hanging="566"/>
      <w:jc w:val="both"/>
      <w:textAlignment w:val="baseline"/>
    </w:pPr>
    <w:rPr>
      <w:rFonts w:ascii="Arial" w:hAnsi="Arial"/>
      <w:sz w:val="20"/>
      <w:lang w:val="de-DE" w:eastAsia="nl-NL"/>
    </w:rPr>
  </w:style>
  <w:style w:type="paragraph" w:customStyle="1" w:styleId="Retraitcorpsdetexte31">
    <w:name w:val="Retrait corps de texte 31"/>
    <w:basedOn w:val="Normal"/>
    <w:rsid w:val="004F21B6"/>
    <w:pPr>
      <w:widowControl w:val="0"/>
      <w:overflowPunct w:val="0"/>
      <w:autoSpaceDE w:val="0"/>
      <w:autoSpaceDN w:val="0"/>
      <w:adjustRightInd w:val="0"/>
      <w:spacing w:after="120"/>
      <w:ind w:left="283" w:hanging="1134"/>
      <w:jc w:val="both"/>
      <w:textAlignment w:val="baseline"/>
    </w:pPr>
    <w:rPr>
      <w:rFonts w:ascii="Arial" w:hAnsi="Arial"/>
      <w:sz w:val="16"/>
      <w:lang w:val="en-US" w:eastAsia="nl-NL"/>
    </w:rPr>
  </w:style>
  <w:style w:type="paragraph" w:customStyle="1" w:styleId="SingleTxtG">
    <w:name w:val="_ Single Txt_G"/>
    <w:basedOn w:val="Normal"/>
    <w:qFormat/>
    <w:rsid w:val="00F67677"/>
    <w:pPr>
      <w:suppressAutoHyphens/>
      <w:spacing w:after="120" w:line="240" w:lineRule="atLeast"/>
      <w:ind w:left="1134" w:right="1134"/>
      <w:jc w:val="both"/>
    </w:pPr>
    <w:rPr>
      <w:sz w:val="20"/>
    </w:rPr>
  </w:style>
  <w:style w:type="table" w:customStyle="1" w:styleId="Tabellenraster1">
    <w:name w:val="Tabellenraster1"/>
    <w:basedOn w:val="TableNormal"/>
    <w:next w:val="TableGrid"/>
    <w:rsid w:val="00F67677"/>
    <w:pPr>
      <w:spacing w:line="260" w:lineRule="atLeast"/>
    </w:pPr>
    <w:rPr>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15">
      <w:bodyDiv w:val="1"/>
      <w:marLeft w:val="0"/>
      <w:marRight w:val="0"/>
      <w:marTop w:val="0"/>
      <w:marBottom w:val="0"/>
      <w:divBdr>
        <w:top w:val="none" w:sz="0" w:space="0" w:color="auto"/>
        <w:left w:val="none" w:sz="0" w:space="0" w:color="auto"/>
        <w:bottom w:val="none" w:sz="0" w:space="0" w:color="auto"/>
        <w:right w:val="none" w:sz="0" w:space="0" w:color="auto"/>
      </w:divBdr>
    </w:div>
    <w:div w:id="81225659">
      <w:bodyDiv w:val="1"/>
      <w:marLeft w:val="0"/>
      <w:marRight w:val="0"/>
      <w:marTop w:val="0"/>
      <w:marBottom w:val="0"/>
      <w:divBdr>
        <w:top w:val="none" w:sz="0" w:space="0" w:color="auto"/>
        <w:left w:val="none" w:sz="0" w:space="0" w:color="auto"/>
        <w:bottom w:val="none" w:sz="0" w:space="0" w:color="auto"/>
        <w:right w:val="none" w:sz="0" w:space="0" w:color="auto"/>
      </w:divBdr>
    </w:div>
    <w:div w:id="182790585">
      <w:bodyDiv w:val="1"/>
      <w:marLeft w:val="0"/>
      <w:marRight w:val="0"/>
      <w:marTop w:val="0"/>
      <w:marBottom w:val="0"/>
      <w:divBdr>
        <w:top w:val="none" w:sz="0" w:space="0" w:color="auto"/>
        <w:left w:val="none" w:sz="0" w:space="0" w:color="auto"/>
        <w:bottom w:val="none" w:sz="0" w:space="0" w:color="auto"/>
        <w:right w:val="none" w:sz="0" w:space="0" w:color="auto"/>
      </w:divBdr>
    </w:div>
    <w:div w:id="428432805">
      <w:bodyDiv w:val="1"/>
      <w:marLeft w:val="0"/>
      <w:marRight w:val="0"/>
      <w:marTop w:val="0"/>
      <w:marBottom w:val="0"/>
      <w:divBdr>
        <w:top w:val="none" w:sz="0" w:space="0" w:color="auto"/>
        <w:left w:val="none" w:sz="0" w:space="0" w:color="auto"/>
        <w:bottom w:val="none" w:sz="0" w:space="0" w:color="auto"/>
        <w:right w:val="none" w:sz="0" w:space="0" w:color="auto"/>
      </w:divBdr>
    </w:div>
    <w:div w:id="572858803">
      <w:bodyDiv w:val="1"/>
      <w:marLeft w:val="0"/>
      <w:marRight w:val="0"/>
      <w:marTop w:val="0"/>
      <w:marBottom w:val="0"/>
      <w:divBdr>
        <w:top w:val="none" w:sz="0" w:space="0" w:color="auto"/>
        <w:left w:val="none" w:sz="0" w:space="0" w:color="auto"/>
        <w:bottom w:val="none" w:sz="0" w:space="0" w:color="auto"/>
        <w:right w:val="none" w:sz="0" w:space="0" w:color="auto"/>
      </w:divBdr>
    </w:div>
    <w:div w:id="681392814">
      <w:bodyDiv w:val="1"/>
      <w:marLeft w:val="0"/>
      <w:marRight w:val="0"/>
      <w:marTop w:val="0"/>
      <w:marBottom w:val="0"/>
      <w:divBdr>
        <w:top w:val="none" w:sz="0" w:space="0" w:color="auto"/>
        <w:left w:val="none" w:sz="0" w:space="0" w:color="auto"/>
        <w:bottom w:val="none" w:sz="0" w:space="0" w:color="auto"/>
        <w:right w:val="none" w:sz="0" w:space="0" w:color="auto"/>
      </w:divBdr>
    </w:div>
    <w:div w:id="776291569">
      <w:bodyDiv w:val="1"/>
      <w:marLeft w:val="0"/>
      <w:marRight w:val="0"/>
      <w:marTop w:val="0"/>
      <w:marBottom w:val="0"/>
      <w:divBdr>
        <w:top w:val="none" w:sz="0" w:space="0" w:color="auto"/>
        <w:left w:val="none" w:sz="0" w:space="0" w:color="auto"/>
        <w:bottom w:val="none" w:sz="0" w:space="0" w:color="auto"/>
        <w:right w:val="none" w:sz="0" w:space="0" w:color="auto"/>
      </w:divBdr>
    </w:div>
    <w:div w:id="836266154">
      <w:bodyDiv w:val="1"/>
      <w:marLeft w:val="0"/>
      <w:marRight w:val="0"/>
      <w:marTop w:val="0"/>
      <w:marBottom w:val="0"/>
      <w:divBdr>
        <w:top w:val="none" w:sz="0" w:space="0" w:color="auto"/>
        <w:left w:val="none" w:sz="0" w:space="0" w:color="auto"/>
        <w:bottom w:val="none" w:sz="0" w:space="0" w:color="auto"/>
        <w:right w:val="none" w:sz="0" w:space="0" w:color="auto"/>
      </w:divBdr>
    </w:div>
    <w:div w:id="837843433">
      <w:bodyDiv w:val="1"/>
      <w:marLeft w:val="0"/>
      <w:marRight w:val="0"/>
      <w:marTop w:val="0"/>
      <w:marBottom w:val="0"/>
      <w:divBdr>
        <w:top w:val="none" w:sz="0" w:space="0" w:color="auto"/>
        <w:left w:val="none" w:sz="0" w:space="0" w:color="auto"/>
        <w:bottom w:val="none" w:sz="0" w:space="0" w:color="auto"/>
        <w:right w:val="none" w:sz="0" w:space="0" w:color="auto"/>
      </w:divBdr>
    </w:div>
    <w:div w:id="951862287">
      <w:bodyDiv w:val="1"/>
      <w:marLeft w:val="0"/>
      <w:marRight w:val="0"/>
      <w:marTop w:val="0"/>
      <w:marBottom w:val="0"/>
      <w:divBdr>
        <w:top w:val="none" w:sz="0" w:space="0" w:color="auto"/>
        <w:left w:val="none" w:sz="0" w:space="0" w:color="auto"/>
        <w:bottom w:val="none" w:sz="0" w:space="0" w:color="auto"/>
        <w:right w:val="none" w:sz="0" w:space="0" w:color="auto"/>
      </w:divBdr>
    </w:div>
    <w:div w:id="972712209">
      <w:bodyDiv w:val="1"/>
      <w:marLeft w:val="0"/>
      <w:marRight w:val="0"/>
      <w:marTop w:val="0"/>
      <w:marBottom w:val="0"/>
      <w:divBdr>
        <w:top w:val="none" w:sz="0" w:space="0" w:color="auto"/>
        <w:left w:val="none" w:sz="0" w:space="0" w:color="auto"/>
        <w:bottom w:val="none" w:sz="0" w:space="0" w:color="auto"/>
        <w:right w:val="none" w:sz="0" w:space="0" w:color="auto"/>
      </w:divBdr>
    </w:div>
    <w:div w:id="1245146462">
      <w:bodyDiv w:val="1"/>
      <w:marLeft w:val="0"/>
      <w:marRight w:val="0"/>
      <w:marTop w:val="0"/>
      <w:marBottom w:val="0"/>
      <w:divBdr>
        <w:top w:val="none" w:sz="0" w:space="0" w:color="auto"/>
        <w:left w:val="none" w:sz="0" w:space="0" w:color="auto"/>
        <w:bottom w:val="none" w:sz="0" w:space="0" w:color="auto"/>
        <w:right w:val="none" w:sz="0" w:space="0" w:color="auto"/>
      </w:divBdr>
    </w:div>
    <w:div w:id="1557623318">
      <w:bodyDiv w:val="1"/>
      <w:marLeft w:val="0"/>
      <w:marRight w:val="0"/>
      <w:marTop w:val="0"/>
      <w:marBottom w:val="0"/>
      <w:divBdr>
        <w:top w:val="none" w:sz="0" w:space="0" w:color="auto"/>
        <w:left w:val="none" w:sz="0" w:space="0" w:color="auto"/>
        <w:bottom w:val="none" w:sz="0" w:space="0" w:color="auto"/>
        <w:right w:val="none" w:sz="0" w:space="0" w:color="auto"/>
      </w:divBdr>
    </w:div>
    <w:div w:id="1587108414">
      <w:bodyDiv w:val="1"/>
      <w:marLeft w:val="0"/>
      <w:marRight w:val="0"/>
      <w:marTop w:val="0"/>
      <w:marBottom w:val="0"/>
      <w:divBdr>
        <w:top w:val="none" w:sz="0" w:space="0" w:color="auto"/>
        <w:left w:val="none" w:sz="0" w:space="0" w:color="auto"/>
        <w:bottom w:val="none" w:sz="0" w:space="0" w:color="auto"/>
        <w:right w:val="none" w:sz="0" w:space="0" w:color="auto"/>
      </w:divBdr>
    </w:div>
    <w:div w:id="1636644709">
      <w:bodyDiv w:val="1"/>
      <w:marLeft w:val="0"/>
      <w:marRight w:val="0"/>
      <w:marTop w:val="0"/>
      <w:marBottom w:val="0"/>
      <w:divBdr>
        <w:top w:val="none" w:sz="0" w:space="0" w:color="auto"/>
        <w:left w:val="none" w:sz="0" w:space="0" w:color="auto"/>
        <w:bottom w:val="none" w:sz="0" w:space="0" w:color="auto"/>
        <w:right w:val="none" w:sz="0" w:space="0" w:color="auto"/>
      </w:divBdr>
    </w:div>
    <w:div w:id="1682052750">
      <w:bodyDiv w:val="1"/>
      <w:marLeft w:val="0"/>
      <w:marRight w:val="0"/>
      <w:marTop w:val="0"/>
      <w:marBottom w:val="0"/>
      <w:divBdr>
        <w:top w:val="none" w:sz="0" w:space="0" w:color="auto"/>
        <w:left w:val="none" w:sz="0" w:space="0" w:color="auto"/>
        <w:bottom w:val="none" w:sz="0" w:space="0" w:color="auto"/>
        <w:right w:val="none" w:sz="0" w:space="0" w:color="auto"/>
      </w:divBdr>
    </w:div>
    <w:div w:id="1733768776">
      <w:bodyDiv w:val="1"/>
      <w:marLeft w:val="0"/>
      <w:marRight w:val="0"/>
      <w:marTop w:val="0"/>
      <w:marBottom w:val="0"/>
      <w:divBdr>
        <w:top w:val="none" w:sz="0" w:space="0" w:color="auto"/>
        <w:left w:val="none" w:sz="0" w:space="0" w:color="auto"/>
        <w:bottom w:val="none" w:sz="0" w:space="0" w:color="auto"/>
        <w:right w:val="none" w:sz="0" w:space="0" w:color="auto"/>
      </w:divBdr>
    </w:div>
    <w:div w:id="1953322816">
      <w:bodyDiv w:val="1"/>
      <w:marLeft w:val="0"/>
      <w:marRight w:val="0"/>
      <w:marTop w:val="0"/>
      <w:marBottom w:val="0"/>
      <w:divBdr>
        <w:top w:val="none" w:sz="0" w:space="0" w:color="auto"/>
        <w:left w:val="none" w:sz="0" w:space="0" w:color="auto"/>
        <w:bottom w:val="none" w:sz="0" w:space="0" w:color="auto"/>
        <w:right w:val="none" w:sz="0" w:space="0" w:color="auto"/>
      </w:divBdr>
    </w:div>
    <w:div w:id="2082483881">
      <w:bodyDiv w:val="1"/>
      <w:marLeft w:val="0"/>
      <w:marRight w:val="0"/>
      <w:marTop w:val="0"/>
      <w:marBottom w:val="0"/>
      <w:divBdr>
        <w:top w:val="none" w:sz="0" w:space="0" w:color="auto"/>
        <w:left w:val="none" w:sz="0" w:space="0" w:color="auto"/>
        <w:bottom w:val="none" w:sz="0" w:space="0" w:color="auto"/>
        <w:right w:val="none" w:sz="0" w:space="0" w:color="auto"/>
      </w:divBdr>
    </w:div>
    <w:div w:id="21068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7285-FACF-4EDB-AB71-FD5198E8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4136</Words>
  <Characters>21426</Characters>
  <Application>Microsoft Office Word</Application>
  <DocSecurity>0</DocSecurity>
  <Lines>579</Lines>
  <Paragraphs>287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Bericht 11. Sitzung iAG „Stoffe“</vt:lpstr>
      <vt:lpstr>Bericht 11. Sitzung iAG „Stoffe“</vt:lpstr>
      <vt:lpstr>Bericht über die 4. Sitzung der Informellen Arbeitsgruppe „Stoffe“ am 13. Oktober 2011 in Braunschweig</vt:lpstr>
    </vt:vector>
  </TitlesOfParts>
  <Company>ECE-ISU</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11. Sitzung iAG „Stoffe“</dc:title>
  <dc:creator>D</dc:creator>
  <cp:lastModifiedBy>Alibech Mireles Diaz</cp:lastModifiedBy>
  <cp:revision>3</cp:revision>
  <cp:lastPrinted>2019-07-15T07:54:00Z</cp:lastPrinted>
  <dcterms:created xsi:type="dcterms:W3CDTF">2019-07-16T05:27:00Z</dcterms:created>
  <dcterms:modified xsi:type="dcterms:W3CDTF">2019-07-18T10:38:00Z</dcterms:modified>
  <cp:category>20-4(b)</cp:category>
</cp:coreProperties>
</file>