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2E0C3F">
        <w:rPr>
          <w:b/>
        </w:rPr>
        <w:t>29</w:t>
      </w:r>
      <w:r w:rsidR="00C03A88">
        <w:rPr>
          <w:b/>
        </w:rPr>
        <w:t xml:space="preserve"> </w:t>
      </w:r>
      <w:r w:rsidR="002E0C3F">
        <w:rPr>
          <w:b/>
        </w:rPr>
        <w:t>July</w:t>
      </w:r>
      <w:bookmarkStart w:id="0" w:name="_GoBack"/>
      <w:bookmarkEnd w:id="0"/>
      <w:r w:rsidR="00FA3269">
        <w:rPr>
          <w:b/>
        </w:rPr>
        <w:t xml:space="preserve"> 201</w:t>
      </w:r>
      <w:r w:rsidR="007408A0">
        <w:rPr>
          <w:b/>
        </w:rPr>
        <w:t>9</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AD79E9" w:rsidRDefault="00097793" w:rsidP="00DC584A">
      <w:pPr>
        <w:spacing w:after="0" w:line="240" w:lineRule="atLeast"/>
        <w:rPr>
          <w:b/>
          <w:bCs/>
        </w:rPr>
      </w:pPr>
      <w:r w:rsidRPr="00560572">
        <w:t>Geneva</w:t>
      </w:r>
      <w:r w:rsidR="00215A1B" w:rsidRPr="00560572">
        <w:t xml:space="preserve">, </w:t>
      </w:r>
      <w:r w:rsidR="00DC584A" w:rsidRPr="00560572">
        <w:t>1</w:t>
      </w:r>
      <w:r w:rsidR="007408A0">
        <w:t>7</w:t>
      </w:r>
      <w:r w:rsidR="00DC584A" w:rsidRPr="00560572">
        <w:t>–</w:t>
      </w:r>
      <w:r w:rsidR="00FA28CC">
        <w:t>2</w:t>
      </w:r>
      <w:r w:rsidR="007408A0">
        <w:t>7</w:t>
      </w:r>
      <w:r w:rsidRPr="00560572">
        <w:t xml:space="preserve"> </w:t>
      </w:r>
      <w:r w:rsidR="007D5759" w:rsidRPr="00560572">
        <w:t xml:space="preserve">September </w:t>
      </w:r>
      <w:r w:rsidR="00FA3269">
        <w:t>201</w:t>
      </w:r>
      <w:r w:rsidR="007408A0">
        <w:t>9</w:t>
      </w:r>
      <w:r w:rsidR="00215A1B" w:rsidRPr="00560572">
        <w:br/>
        <w:t xml:space="preserve">Item </w:t>
      </w:r>
      <w:r w:rsidR="00AD79E9">
        <w:t>8</w:t>
      </w:r>
      <w:r w:rsidR="00215A1B" w:rsidRPr="00560572">
        <w:t xml:space="preserve"> of the provisional agenda</w:t>
      </w:r>
      <w:r w:rsidR="00AD79E9">
        <w:t>:</w:t>
      </w:r>
      <w:r w:rsidR="00215A1B" w:rsidRPr="00560572">
        <w:br/>
      </w:r>
      <w:r w:rsidR="00AD79E9" w:rsidRPr="00AD79E9">
        <w:rPr>
          <w:b/>
          <w:bCs/>
        </w:rPr>
        <w:t>Accidents and risk management</w:t>
      </w:r>
    </w:p>
    <w:p w:rsidR="00C03A88" w:rsidRPr="00AD1508" w:rsidRDefault="002574B9" w:rsidP="00C03A88">
      <w:pPr>
        <w:pStyle w:val="HChG"/>
        <w:rPr>
          <w:lang w:val="en-US"/>
        </w:rPr>
      </w:pPr>
      <w:r w:rsidRPr="00560572">
        <w:tab/>
      </w:r>
      <w:r w:rsidR="00C03A88">
        <w:tab/>
      </w:r>
      <w:r w:rsidR="00C03A88">
        <w:tab/>
      </w:r>
      <w:r w:rsidR="00C03A88">
        <w:rPr>
          <w:lang w:val="en-US"/>
        </w:rPr>
        <w:t>Publication of the Inland TDG Risk Management Framework</w:t>
      </w:r>
      <w:r w:rsidR="00C03A88">
        <w:t xml:space="preserve"> </w:t>
      </w:r>
    </w:p>
    <w:p w:rsidR="00C03A88" w:rsidRPr="00F5634F" w:rsidRDefault="00C03A88" w:rsidP="00C03A88">
      <w:pPr>
        <w:pStyle w:val="H1G"/>
      </w:pPr>
      <w:r>
        <w:rPr>
          <w:lang w:val="x-none"/>
        </w:rPr>
        <w:tab/>
      </w:r>
      <w:r>
        <w:rPr>
          <w:lang w:val="x-none"/>
        </w:rPr>
        <w:tab/>
      </w:r>
      <w:r>
        <w:tab/>
      </w:r>
      <w:r w:rsidR="002E0C3F">
        <w:t>Submitted</w:t>
      </w:r>
      <w:r>
        <w:t xml:space="preserve"> by the European Union Agency for Railways (ERA)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03A88" w:rsidRPr="00835C1F" w:rsidTr="006A6C12">
        <w:trPr>
          <w:jc w:val="center"/>
        </w:trPr>
        <w:tc>
          <w:tcPr>
            <w:tcW w:w="9629" w:type="dxa"/>
            <w:tcBorders>
              <w:bottom w:val="nil"/>
            </w:tcBorders>
            <w:shd w:val="clear" w:color="auto" w:fill="auto"/>
          </w:tcPr>
          <w:p w:rsidR="00C03A88" w:rsidRPr="00E62341" w:rsidRDefault="00C03A88" w:rsidP="006A6C12">
            <w:pPr>
              <w:tabs>
                <w:tab w:val="left" w:pos="255"/>
              </w:tabs>
              <w:spacing w:before="120" w:after="120"/>
              <w:rPr>
                <w:rFonts w:eastAsia="Arial"/>
                <w:sz w:val="24"/>
              </w:rPr>
            </w:pPr>
            <w:r>
              <w:br w:type="page"/>
            </w:r>
            <w:r w:rsidRPr="00E62341">
              <w:rPr>
                <w:rFonts w:eastAsia="Arial"/>
              </w:rPr>
              <w:tab/>
            </w:r>
            <w:r w:rsidRPr="00E62341">
              <w:rPr>
                <w:rFonts w:eastAsia="Arial"/>
                <w:i/>
                <w:sz w:val="24"/>
              </w:rPr>
              <w:t>Summary</w:t>
            </w:r>
          </w:p>
        </w:tc>
      </w:tr>
      <w:tr w:rsidR="00C03A88" w:rsidRPr="00E62341" w:rsidTr="006A6C12">
        <w:trPr>
          <w:jc w:val="center"/>
        </w:trPr>
        <w:tc>
          <w:tcPr>
            <w:tcW w:w="9629" w:type="dxa"/>
            <w:tcBorders>
              <w:top w:val="nil"/>
              <w:bottom w:val="nil"/>
            </w:tcBorders>
            <w:shd w:val="clear" w:color="auto" w:fill="auto"/>
          </w:tcPr>
          <w:p w:rsidR="00C03A88" w:rsidRPr="0025362A" w:rsidRDefault="00C03A88" w:rsidP="008F73B3">
            <w:pPr>
              <w:pStyle w:val="SingleTxtG"/>
              <w:ind w:left="3402" w:hanging="2268"/>
              <w:rPr>
                <w:b/>
                <w:szCs w:val="22"/>
                <w:lang w:val="en-US"/>
              </w:rPr>
            </w:pPr>
            <w:r w:rsidRPr="00835C1F">
              <w:rPr>
                <w:b/>
                <w:szCs w:val="22"/>
              </w:rPr>
              <w:t>Executive</w:t>
            </w:r>
            <w:r w:rsidRPr="00E62341">
              <w:rPr>
                <w:b/>
                <w:szCs w:val="22"/>
              </w:rPr>
              <w:t xml:space="preserve"> summary</w:t>
            </w:r>
            <w:r w:rsidRPr="00E62341">
              <w:rPr>
                <w:szCs w:val="22"/>
              </w:rPr>
              <w:t>:</w:t>
            </w:r>
            <w:r w:rsidRPr="00E62341">
              <w:rPr>
                <w:szCs w:val="22"/>
              </w:rPr>
              <w:tab/>
            </w:r>
            <w:r w:rsidRPr="0025362A">
              <w:rPr>
                <w:szCs w:val="22"/>
                <w:lang w:val="en-US"/>
              </w:rPr>
              <w:t>Information concerning the publication of the</w:t>
            </w:r>
            <w:r>
              <w:rPr>
                <w:szCs w:val="22"/>
                <w:lang w:val="en-US"/>
              </w:rPr>
              <w:t xml:space="preserve"> </w:t>
            </w:r>
            <w:r w:rsidRPr="0025362A">
              <w:rPr>
                <w:szCs w:val="22"/>
                <w:lang w:val="en-US"/>
              </w:rPr>
              <w:t xml:space="preserve">Inland TDG Risk Management Framework </w:t>
            </w:r>
          </w:p>
        </w:tc>
      </w:tr>
      <w:tr w:rsidR="008F73B3" w:rsidRPr="00E132FB" w:rsidTr="006A6C12">
        <w:trPr>
          <w:jc w:val="center"/>
        </w:trPr>
        <w:tc>
          <w:tcPr>
            <w:tcW w:w="9629" w:type="dxa"/>
            <w:tcBorders>
              <w:top w:val="nil"/>
              <w:bottom w:val="nil"/>
            </w:tcBorders>
            <w:shd w:val="clear" w:color="auto" w:fill="auto"/>
          </w:tcPr>
          <w:p w:rsidR="008F73B3" w:rsidRPr="00E62341" w:rsidRDefault="008F73B3" w:rsidP="006A6C12">
            <w:pPr>
              <w:pStyle w:val="SingleTxtG"/>
              <w:ind w:left="3402" w:hanging="2268"/>
              <w:rPr>
                <w:rFonts w:eastAsia="Arial"/>
                <w:b/>
              </w:rPr>
            </w:pPr>
            <w:r w:rsidRPr="00E62341">
              <w:rPr>
                <w:rFonts w:eastAsia="Arial"/>
                <w:b/>
              </w:rPr>
              <w:t>Reference document</w:t>
            </w:r>
            <w:r w:rsidRPr="00D467F3">
              <w:rPr>
                <w:rFonts w:eastAsia="Arial"/>
                <w:b/>
              </w:rPr>
              <w:t>s</w:t>
            </w:r>
            <w:r w:rsidRPr="00E62341">
              <w:rPr>
                <w:rFonts w:eastAsia="Arial"/>
              </w:rPr>
              <w:t>:</w:t>
            </w:r>
            <w:r>
              <w:rPr>
                <w:rFonts w:eastAsia="Arial"/>
              </w:rPr>
              <w:tab/>
            </w:r>
            <w:r w:rsidRPr="004047D4">
              <w:rPr>
                <w:rFonts w:eastAsia="Arial"/>
              </w:rPr>
              <w:t xml:space="preserve">ECE/TRANS/WP.15/AC.1/150 </w:t>
            </w:r>
            <w:r>
              <w:rPr>
                <w:rFonts w:eastAsia="Arial"/>
                <w:lang w:val="fr-BE"/>
              </w:rPr>
              <w:t>(</w:t>
            </w:r>
            <w:r w:rsidRPr="004047D4">
              <w:rPr>
                <w:rFonts w:eastAsia="Arial"/>
              </w:rPr>
              <w:t>para</w:t>
            </w:r>
            <w:r>
              <w:rPr>
                <w:rFonts w:eastAsia="Arial"/>
                <w:lang w:val="fr-BE"/>
              </w:rPr>
              <w:t>graphs</w:t>
            </w:r>
            <w:r w:rsidRPr="004047D4">
              <w:rPr>
                <w:rFonts w:eastAsia="Arial"/>
              </w:rPr>
              <w:t xml:space="preserve"> 69 to 73</w:t>
            </w:r>
            <w:r>
              <w:rPr>
                <w:rFonts w:eastAsia="Arial"/>
                <w:lang w:val="fr-BE"/>
              </w:rPr>
              <w:t>)</w:t>
            </w:r>
            <w:r>
              <w:rPr>
                <w:rFonts w:eastAsia="Arial"/>
              </w:rPr>
              <w:t>.</w:t>
            </w:r>
          </w:p>
        </w:tc>
      </w:tr>
      <w:tr w:rsidR="00C03A88" w:rsidRPr="00E62341" w:rsidTr="006A6C12">
        <w:trPr>
          <w:jc w:val="center"/>
        </w:trPr>
        <w:tc>
          <w:tcPr>
            <w:tcW w:w="9629" w:type="dxa"/>
            <w:tcBorders>
              <w:top w:val="nil"/>
            </w:tcBorders>
            <w:shd w:val="clear" w:color="auto" w:fill="auto"/>
          </w:tcPr>
          <w:p w:rsidR="00C03A88" w:rsidRPr="00E62341" w:rsidRDefault="00C03A88" w:rsidP="006A6C12">
            <w:pPr>
              <w:rPr>
                <w:rFonts w:eastAsia="Arial"/>
              </w:rPr>
            </w:pPr>
          </w:p>
        </w:tc>
      </w:tr>
    </w:tbl>
    <w:p w:rsidR="00C03A88" w:rsidRPr="00E746D9" w:rsidRDefault="00C03A88" w:rsidP="00C03A88">
      <w:pPr>
        <w:pStyle w:val="HChG"/>
      </w:pPr>
      <w:r>
        <w:tab/>
      </w:r>
      <w:r>
        <w:tab/>
      </w:r>
      <w:r>
        <w:tab/>
        <w:t>Information</w:t>
      </w:r>
    </w:p>
    <w:p w:rsidR="00C03A88" w:rsidRPr="00C03A88" w:rsidRDefault="00C03A88" w:rsidP="00C03A88">
      <w:pPr>
        <w:pStyle w:val="SingleTxtG"/>
      </w:pPr>
      <w:r>
        <w:t>1.</w:t>
      </w:r>
      <w:r>
        <w:tab/>
      </w:r>
      <w:r w:rsidRPr="00C03A88">
        <w:t>Following the information provided at the Joint Meeting Spring 2018 session (see para. 69 to 73 of ECE/TRANS/WP.15/AC.1/150), the European Union Agency for Railways would like to inform the delegates that the guides forming the Inland TDG Risk Management Framework, developed with the kind collaboration of Joint Meeting delegates, have been published on the following dedicated webpages:</w:t>
      </w:r>
    </w:p>
    <w:p w:rsidR="00C03A88" w:rsidRPr="00C03A88" w:rsidRDefault="002E0C3F" w:rsidP="00C03A88">
      <w:pPr>
        <w:pStyle w:val="SingleTxtG"/>
      </w:pPr>
      <w:hyperlink r:id="rId8" w:history="1">
        <w:r w:rsidR="00C03A88" w:rsidRPr="00C03A88">
          <w:rPr>
            <w:rStyle w:val="Hyperlink"/>
          </w:rPr>
          <w:t>https://www.era.europa.eu/activities/transport-dangerous-goods/inland-tdg_en</w:t>
        </w:r>
      </w:hyperlink>
    </w:p>
    <w:p w:rsidR="00C03A88" w:rsidRPr="00C03A88" w:rsidRDefault="00C03A88" w:rsidP="00C03A88">
      <w:pPr>
        <w:pStyle w:val="SingleTxtG"/>
      </w:pPr>
      <w:r>
        <w:t>2.</w:t>
      </w:r>
      <w:r>
        <w:tab/>
      </w:r>
      <w:r w:rsidRPr="00C03A88">
        <w:t>This information is also available on the European Commission - DG MOVE website</w:t>
      </w:r>
    </w:p>
    <w:p w:rsidR="00C03A88" w:rsidRPr="00C03A88" w:rsidRDefault="002E0C3F" w:rsidP="00C03A88">
      <w:pPr>
        <w:pStyle w:val="SingleTxtG"/>
      </w:pPr>
      <w:hyperlink r:id="rId9" w:history="1">
        <w:r w:rsidR="00C03A88" w:rsidRPr="00C03A88">
          <w:rPr>
            <w:rStyle w:val="Hyperlink"/>
          </w:rPr>
          <w:t>https://ec.europa.eu/transport/themes/dangerous_goods_en</w:t>
        </w:r>
      </w:hyperlink>
    </w:p>
    <w:p w:rsidR="00C03A88" w:rsidRPr="00C03A88" w:rsidRDefault="002E0C3F" w:rsidP="00C03A88">
      <w:pPr>
        <w:pStyle w:val="SingleTxtG"/>
      </w:pPr>
      <w:hyperlink r:id="rId10" w:history="1">
        <w:r w:rsidR="00C03A88" w:rsidRPr="00C03A88">
          <w:rPr>
            <w:rStyle w:val="Hyperlink"/>
          </w:rPr>
          <w:t>https://ec.europa.eu/transport/themes/dangerous_good/risk_management_framework_en</w:t>
        </w:r>
      </w:hyperlink>
    </w:p>
    <w:p w:rsidR="00C03A88" w:rsidRPr="00C03A88" w:rsidRDefault="00C03A88" w:rsidP="00C03A88">
      <w:pPr>
        <w:pStyle w:val="SingleTxtG"/>
      </w:pPr>
      <w:r>
        <w:t>3.</w:t>
      </w:r>
      <w:r>
        <w:tab/>
      </w:r>
      <w:r w:rsidRPr="00C03A88">
        <w:t>In addition to the guides themselves, ERA dedicated webpages contain</w:t>
      </w:r>
      <w:proofErr w:type="gramStart"/>
      <w:r w:rsidRPr="00C03A88">
        <w:t>, in particular, information</w:t>
      </w:r>
      <w:proofErr w:type="gramEnd"/>
      <w:r w:rsidRPr="00C03A88">
        <w:t xml:space="preserve"> on the Expert Users and Development Group (EUDG) and further reference materials. </w:t>
      </w:r>
    </w:p>
    <w:p w:rsidR="00C03A88" w:rsidRDefault="00C03A88" w:rsidP="00C03A88">
      <w:pPr>
        <w:pStyle w:val="SingleTxtG"/>
      </w:pPr>
      <w:r>
        <w:t>4.</w:t>
      </w:r>
      <w:r>
        <w:tab/>
      </w:r>
      <w:r w:rsidRPr="00C03A88">
        <w:t xml:space="preserve">Any feedback concerning this framework should be sent to </w:t>
      </w:r>
      <w:r>
        <w:br/>
      </w:r>
      <w:hyperlink r:id="rId11" w:history="1">
        <w:r w:rsidRPr="00EC41A2">
          <w:rPr>
            <w:rStyle w:val="Hyperlink"/>
          </w:rPr>
          <w:t>Inland-TDG@era.europa.eu</w:t>
        </w:r>
      </w:hyperlink>
      <w:r w:rsidRPr="00C03A88">
        <w:t xml:space="preserve"> for consideration within the continuous improvement process.</w:t>
      </w:r>
    </w:p>
    <w:p w:rsidR="00C03A88" w:rsidRPr="00C03A88" w:rsidRDefault="00C03A88" w:rsidP="00C03A88">
      <w:pPr>
        <w:spacing w:before="240" w:after="0" w:line="240" w:lineRule="atLeast"/>
        <w:jc w:val="center"/>
        <w:rPr>
          <w:u w:val="single"/>
        </w:rPr>
      </w:pPr>
      <w:r>
        <w:rPr>
          <w:u w:val="single"/>
        </w:rPr>
        <w:tab/>
      </w:r>
      <w:r>
        <w:rPr>
          <w:u w:val="single"/>
        </w:rPr>
        <w:tab/>
      </w:r>
      <w:r>
        <w:rPr>
          <w:u w:val="single"/>
        </w:rPr>
        <w:tab/>
      </w:r>
    </w:p>
    <w:sectPr w:rsidR="00C03A88" w:rsidRPr="00C03A88" w:rsidSect="00C03A88">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2C" w:rsidRDefault="000F5D2C"/>
  </w:endnote>
  <w:endnote w:type="continuationSeparator" w:id="0">
    <w:p w:rsidR="000F5D2C" w:rsidRDefault="000F5D2C"/>
  </w:endnote>
  <w:endnote w:type="continuationNotice" w:id="1">
    <w:p w:rsidR="000F5D2C" w:rsidRDefault="000F5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2C" w:rsidRPr="000B175B" w:rsidRDefault="000F5D2C" w:rsidP="000B175B">
      <w:pPr>
        <w:tabs>
          <w:tab w:val="right" w:pos="2155"/>
        </w:tabs>
        <w:spacing w:after="80"/>
        <w:ind w:left="680"/>
        <w:rPr>
          <w:u w:val="single"/>
        </w:rPr>
      </w:pPr>
      <w:r>
        <w:rPr>
          <w:u w:val="single"/>
        </w:rPr>
        <w:tab/>
      </w:r>
    </w:p>
  </w:footnote>
  <w:footnote w:type="continuationSeparator" w:id="0">
    <w:p w:rsidR="000F5D2C" w:rsidRPr="00FC68B7" w:rsidRDefault="000F5D2C" w:rsidP="00FC68B7">
      <w:pPr>
        <w:tabs>
          <w:tab w:val="left" w:pos="2155"/>
        </w:tabs>
        <w:spacing w:after="80"/>
        <w:ind w:left="680"/>
        <w:rPr>
          <w:u w:val="single"/>
        </w:rPr>
      </w:pPr>
      <w:r>
        <w:rPr>
          <w:u w:val="single"/>
        </w:rPr>
        <w:tab/>
      </w:r>
    </w:p>
  </w:footnote>
  <w:footnote w:type="continuationNotice" w:id="1">
    <w:p w:rsidR="000F5D2C" w:rsidRDefault="000F5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9455D" w:rsidRDefault="002B16A1">
    <w:pPr>
      <w:pStyle w:val="Header"/>
      <w:rPr>
        <w:lang w:val="fr-CH"/>
      </w:rPr>
    </w:pPr>
    <w:r>
      <w:rPr>
        <w:lang w:val="fr-CH"/>
      </w:rPr>
      <w:t>INF.</w:t>
    </w:r>
    <w:r w:rsidR="00C03A88">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073BC9" w:rsidRDefault="002B16A1" w:rsidP="0009455D">
    <w:pPr>
      <w:pStyle w:val="Header"/>
      <w:jc w:val="right"/>
    </w:pPr>
    <w:r>
      <w:t>INF.2</w:t>
    </w:r>
    <w:r w:rsidR="007F1E0D">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6A1" w:rsidRPr="00560572" w:rsidRDefault="002B16A1" w:rsidP="00E37495">
    <w:pPr>
      <w:pStyle w:val="Header"/>
      <w:pBdr>
        <w:bottom w:val="single" w:sz="4" w:space="1" w:color="auto"/>
      </w:pBdr>
      <w:jc w:val="right"/>
      <w:rPr>
        <w:sz w:val="28"/>
        <w:szCs w:val="28"/>
      </w:rPr>
    </w:pPr>
    <w:r w:rsidRPr="00560572">
      <w:rPr>
        <w:sz w:val="28"/>
        <w:szCs w:val="28"/>
      </w:rPr>
      <w:t>INF.</w:t>
    </w:r>
    <w:r w:rsidR="00C03A88">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7C14"/>
    <w:rsid w:val="00027624"/>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16363"/>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A045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11E0B"/>
    <w:rsid w:val="00215A1B"/>
    <w:rsid w:val="00216BB2"/>
    <w:rsid w:val="00222F2C"/>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4B23"/>
    <w:rsid w:val="003D58A1"/>
    <w:rsid w:val="003D6C76"/>
    <w:rsid w:val="003E278A"/>
    <w:rsid w:val="003E3D94"/>
    <w:rsid w:val="003F07CB"/>
    <w:rsid w:val="004019C8"/>
    <w:rsid w:val="004032CF"/>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670DF"/>
    <w:rsid w:val="00573297"/>
    <w:rsid w:val="00584173"/>
    <w:rsid w:val="005850DE"/>
    <w:rsid w:val="00587C17"/>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3302"/>
    <w:rsid w:val="006176FB"/>
    <w:rsid w:val="0062380F"/>
    <w:rsid w:val="0062564C"/>
    <w:rsid w:val="00630FCB"/>
    <w:rsid w:val="00632F10"/>
    <w:rsid w:val="00633628"/>
    <w:rsid w:val="0064017F"/>
    <w:rsid w:val="00640B26"/>
    <w:rsid w:val="00642312"/>
    <w:rsid w:val="00642502"/>
    <w:rsid w:val="0064748F"/>
    <w:rsid w:val="00651A29"/>
    <w:rsid w:val="006643C6"/>
    <w:rsid w:val="00667D6B"/>
    <w:rsid w:val="00671B0D"/>
    <w:rsid w:val="006770B2"/>
    <w:rsid w:val="00682407"/>
    <w:rsid w:val="006853B3"/>
    <w:rsid w:val="006940E1"/>
    <w:rsid w:val="006A1D39"/>
    <w:rsid w:val="006A3C72"/>
    <w:rsid w:val="006A7392"/>
    <w:rsid w:val="006B03A1"/>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C95"/>
    <w:rsid w:val="00916B9C"/>
    <w:rsid w:val="00924CF0"/>
    <w:rsid w:val="00926E47"/>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3E9E"/>
    <w:rsid w:val="00A370D7"/>
    <w:rsid w:val="00A41BB8"/>
    <w:rsid w:val="00A425EB"/>
    <w:rsid w:val="00A45CB7"/>
    <w:rsid w:val="00A47439"/>
    <w:rsid w:val="00A72F22"/>
    <w:rsid w:val="00A733BC"/>
    <w:rsid w:val="00A748A6"/>
    <w:rsid w:val="00A749C1"/>
    <w:rsid w:val="00A76A69"/>
    <w:rsid w:val="00A77D0C"/>
    <w:rsid w:val="00A824E7"/>
    <w:rsid w:val="00A865A7"/>
    <w:rsid w:val="00A879A4"/>
    <w:rsid w:val="00A910B4"/>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36A9"/>
    <w:rsid w:val="00BE618E"/>
    <w:rsid w:val="00BE7BEC"/>
    <w:rsid w:val="00BF0A5A"/>
    <w:rsid w:val="00BF0E63"/>
    <w:rsid w:val="00BF103C"/>
    <w:rsid w:val="00BF12A3"/>
    <w:rsid w:val="00BF16D7"/>
    <w:rsid w:val="00BF218C"/>
    <w:rsid w:val="00BF2373"/>
    <w:rsid w:val="00C03A88"/>
    <w:rsid w:val="00C044E2"/>
    <w:rsid w:val="00C048CB"/>
    <w:rsid w:val="00C066F3"/>
    <w:rsid w:val="00C06865"/>
    <w:rsid w:val="00C07CA9"/>
    <w:rsid w:val="00C10783"/>
    <w:rsid w:val="00C11B07"/>
    <w:rsid w:val="00C129D5"/>
    <w:rsid w:val="00C13F36"/>
    <w:rsid w:val="00C15DC2"/>
    <w:rsid w:val="00C250FE"/>
    <w:rsid w:val="00C31A6C"/>
    <w:rsid w:val="00C36878"/>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5B04"/>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395"/>
    <w:rsid w:val="00D90415"/>
    <w:rsid w:val="00D917F9"/>
    <w:rsid w:val="00D91E8D"/>
    <w:rsid w:val="00D978C6"/>
    <w:rsid w:val="00DA0956"/>
    <w:rsid w:val="00DA121A"/>
    <w:rsid w:val="00DA357F"/>
    <w:rsid w:val="00DA3E12"/>
    <w:rsid w:val="00DB0BFD"/>
    <w:rsid w:val="00DB5900"/>
    <w:rsid w:val="00DB66FA"/>
    <w:rsid w:val="00DC18AD"/>
    <w:rsid w:val="00DC36B8"/>
    <w:rsid w:val="00DC584A"/>
    <w:rsid w:val="00DD3FE8"/>
    <w:rsid w:val="00DE0CB9"/>
    <w:rsid w:val="00DE178B"/>
    <w:rsid w:val="00DE5105"/>
    <w:rsid w:val="00DF1147"/>
    <w:rsid w:val="00DF1A1E"/>
    <w:rsid w:val="00DF4518"/>
    <w:rsid w:val="00DF45EB"/>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337D"/>
    <w:rsid w:val="00F5390C"/>
    <w:rsid w:val="00F56D63"/>
    <w:rsid w:val="00F609A9"/>
    <w:rsid w:val="00F6280E"/>
    <w:rsid w:val="00F7472D"/>
    <w:rsid w:val="00F80C99"/>
    <w:rsid w:val="00F867EC"/>
    <w:rsid w:val="00F91B2B"/>
    <w:rsid w:val="00FA28CC"/>
    <w:rsid w:val="00FA3135"/>
    <w:rsid w:val="00FA3269"/>
    <w:rsid w:val="00FB468B"/>
    <w:rsid w:val="00FC03CD"/>
    <w:rsid w:val="00FC0646"/>
    <w:rsid w:val="00FC0826"/>
    <w:rsid w:val="00FC161F"/>
    <w:rsid w:val="00FC2FC6"/>
    <w:rsid w:val="00FC55A7"/>
    <w:rsid w:val="00FC68B7"/>
    <w:rsid w:val="00FD0A90"/>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7889"/>
    <o:shapelayout v:ext="edit">
      <o:idmap v:ext="edit" data="1"/>
    </o:shapelayout>
  </w:shapeDefaults>
  <w:decimalSymbol w:val="."/>
  <w:listSeparator w:val=","/>
  <w14:docId w14:val="2D92912F"/>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a.europa.eu/activities/transport-dangerous-goods/inland-tdg_e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land-TDG@era.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transport/themes/dangerous_good/risk_management_framework_en" TargetMode="External"/><Relationship Id="rId4" Type="http://schemas.openxmlformats.org/officeDocument/2006/relationships/settings" Target="settings.xml"/><Relationship Id="rId9" Type="http://schemas.openxmlformats.org/officeDocument/2006/relationships/hyperlink" Target="https://ec.europa.eu/transport/themes/dangerous_goods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BEEA-F2FF-48BE-8E8C-ADCB4B6B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Berthet</dc:creator>
  <cp:keywords/>
  <cp:lastModifiedBy>Christine Barrio-Champeau</cp:lastModifiedBy>
  <cp:revision>6</cp:revision>
  <cp:lastPrinted>2017-09-13T11:06:00Z</cp:lastPrinted>
  <dcterms:created xsi:type="dcterms:W3CDTF">2019-07-26T13:04:00Z</dcterms:created>
  <dcterms:modified xsi:type="dcterms:W3CDTF">2019-07-29T14:55:00Z</dcterms:modified>
</cp:coreProperties>
</file>