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7B588D" w:rsidP="007B588D">
            <w:pPr>
              <w:jc w:val="right"/>
            </w:pPr>
            <w:r w:rsidRPr="007B588D">
              <w:rPr>
                <w:sz w:val="40"/>
              </w:rPr>
              <w:t>ECE</w:t>
            </w:r>
            <w:r>
              <w:t>/TRANS/WP.15/AC.1/2019/47</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1207F" w:rsidRDefault="007B588D" w:rsidP="007B588D">
            <w:pPr>
              <w:spacing w:before="240" w:line="240" w:lineRule="exact"/>
            </w:pPr>
            <w:proofErr w:type="spellStart"/>
            <w:r>
              <w:t>Distr</w:t>
            </w:r>
            <w:proofErr w:type="spellEnd"/>
            <w:r>
              <w:t xml:space="preserve">. </w:t>
            </w:r>
            <w:proofErr w:type="gramStart"/>
            <w:r>
              <w:t>générale</w:t>
            </w:r>
            <w:proofErr w:type="gramEnd"/>
          </w:p>
          <w:p w:rsidR="007B588D" w:rsidRDefault="007B588D" w:rsidP="007B588D">
            <w:pPr>
              <w:spacing w:line="240" w:lineRule="exact"/>
            </w:pPr>
            <w:r>
              <w:t>2</w:t>
            </w:r>
            <w:r w:rsidR="000A05A3">
              <w:t>8</w:t>
            </w:r>
            <w:bookmarkStart w:id="0" w:name="_GoBack"/>
            <w:bookmarkEnd w:id="0"/>
            <w:r>
              <w:t xml:space="preserve"> juin 2019</w:t>
            </w:r>
          </w:p>
          <w:p w:rsidR="007B588D" w:rsidRDefault="007B588D" w:rsidP="007B588D">
            <w:pPr>
              <w:spacing w:line="240" w:lineRule="exact"/>
            </w:pPr>
          </w:p>
          <w:p w:rsidR="007B588D" w:rsidRPr="00DB58B5" w:rsidRDefault="007B588D" w:rsidP="007B588D">
            <w:pPr>
              <w:spacing w:line="240" w:lineRule="exact"/>
            </w:pPr>
            <w:r>
              <w:t>Original : français</w:t>
            </w:r>
          </w:p>
        </w:tc>
      </w:tr>
    </w:tbl>
    <w:p w:rsidR="007B588D" w:rsidRDefault="007B588D" w:rsidP="007B588D">
      <w:pPr>
        <w:spacing w:before="120"/>
        <w:rPr>
          <w:b/>
          <w:sz w:val="28"/>
          <w:szCs w:val="28"/>
        </w:rPr>
      </w:pPr>
      <w:r>
        <w:rPr>
          <w:b/>
          <w:sz w:val="28"/>
          <w:szCs w:val="28"/>
        </w:rPr>
        <w:t>Commission économique pour l’Europe</w:t>
      </w:r>
    </w:p>
    <w:p w:rsidR="007B588D" w:rsidRDefault="007B588D" w:rsidP="007B588D">
      <w:pPr>
        <w:spacing w:before="120"/>
        <w:rPr>
          <w:sz w:val="28"/>
          <w:szCs w:val="28"/>
          <w:lang w:val="fr-CA"/>
        </w:rPr>
      </w:pPr>
      <w:r>
        <w:rPr>
          <w:sz w:val="28"/>
          <w:szCs w:val="28"/>
          <w:lang w:val="fr-CA"/>
        </w:rPr>
        <w:t>Comité des transports intérieurs</w:t>
      </w:r>
    </w:p>
    <w:p w:rsidR="007B588D" w:rsidRDefault="007B588D" w:rsidP="007B588D">
      <w:pPr>
        <w:spacing w:before="120"/>
        <w:rPr>
          <w:b/>
          <w:sz w:val="24"/>
          <w:szCs w:val="24"/>
          <w:lang w:val="fr-CA"/>
        </w:rPr>
      </w:pPr>
      <w:r>
        <w:rPr>
          <w:b/>
          <w:bCs/>
          <w:sz w:val="24"/>
          <w:szCs w:val="24"/>
          <w:lang w:val="fr-FR"/>
        </w:rPr>
        <w:t xml:space="preserve">Groupe de travail des transports </w:t>
      </w:r>
      <w:r>
        <w:rPr>
          <w:b/>
          <w:bCs/>
          <w:sz w:val="24"/>
          <w:szCs w:val="24"/>
          <w:lang w:val="fr-FR"/>
        </w:rPr>
        <w:br/>
        <w:t>de marchandises dangereuses</w:t>
      </w:r>
    </w:p>
    <w:p w:rsidR="007B588D" w:rsidRDefault="007B588D" w:rsidP="007B588D">
      <w:pPr>
        <w:spacing w:before="120"/>
        <w:rPr>
          <w:b/>
          <w:lang w:val="fr-FR"/>
        </w:rPr>
      </w:pPr>
      <w:r>
        <w:rPr>
          <w:b/>
          <w:lang w:val="fr-FR"/>
        </w:rPr>
        <w:t xml:space="preserve">Réunion commune de la Commission d’experts du RID </w:t>
      </w:r>
      <w:r>
        <w:rPr>
          <w:b/>
          <w:lang w:val="fr-FR"/>
        </w:rPr>
        <w:br/>
        <w:t xml:space="preserve">et du Groupe de travail des transports </w:t>
      </w:r>
      <w:r>
        <w:rPr>
          <w:b/>
          <w:lang w:val="fr-FR"/>
        </w:rPr>
        <w:br/>
        <w:t>de marchandises dangereuses</w:t>
      </w:r>
    </w:p>
    <w:p w:rsidR="007B588D" w:rsidRDefault="007B588D" w:rsidP="007B588D">
      <w:pPr>
        <w:rPr>
          <w:lang w:val="fr-FR"/>
        </w:rPr>
      </w:pPr>
      <w:r>
        <w:t>Genève, 17-27 septembre 2019</w:t>
      </w:r>
    </w:p>
    <w:p w:rsidR="007B588D" w:rsidRDefault="007B588D" w:rsidP="007B588D">
      <w:pPr>
        <w:rPr>
          <w:lang w:eastAsia="fr-CH"/>
        </w:rPr>
      </w:pPr>
      <w:r>
        <w:t xml:space="preserve">Point </w:t>
      </w:r>
      <w:r>
        <w:rPr>
          <w:lang w:val="fr-FR"/>
        </w:rPr>
        <w:t>5 b) de l’ordre du jour provisoire</w:t>
      </w:r>
    </w:p>
    <w:p w:rsidR="007B588D" w:rsidRDefault="007B588D" w:rsidP="007B588D">
      <w:pPr>
        <w:rPr>
          <w:b/>
        </w:rPr>
      </w:pPr>
      <w:r>
        <w:rPr>
          <w:b/>
          <w:lang w:eastAsia="fr-CH"/>
        </w:rPr>
        <w:t>Propositions diverses d’amendements au RID/ADR/</w:t>
      </w:r>
      <w:proofErr w:type="gramStart"/>
      <w:r>
        <w:rPr>
          <w:b/>
          <w:lang w:eastAsia="fr-CH"/>
        </w:rPr>
        <w:t>ADN</w:t>
      </w:r>
      <w:r>
        <w:rPr>
          <w:b/>
        </w:rPr>
        <w:t>:</w:t>
      </w:r>
      <w:proofErr w:type="gramEnd"/>
    </w:p>
    <w:p w:rsidR="007B588D" w:rsidRDefault="007B588D" w:rsidP="007B588D">
      <w:pPr>
        <w:rPr>
          <w:b/>
        </w:rPr>
      </w:pPr>
      <w:proofErr w:type="gramStart"/>
      <w:r>
        <w:rPr>
          <w:b/>
        </w:rPr>
        <w:t>nouvelles</w:t>
      </w:r>
      <w:proofErr w:type="gramEnd"/>
      <w:r>
        <w:rPr>
          <w:b/>
        </w:rPr>
        <w:t xml:space="preserve"> propositions</w:t>
      </w:r>
    </w:p>
    <w:p w:rsidR="007B588D" w:rsidRDefault="007B588D" w:rsidP="007B588D">
      <w:pPr>
        <w:pStyle w:val="HChG"/>
      </w:pPr>
      <w:r>
        <w:tab/>
      </w:r>
      <w:r>
        <w:tab/>
        <w:t>Classification des matières de la classe 9 autres que les matières dangereuses pour l’environnement</w:t>
      </w:r>
    </w:p>
    <w:p w:rsidR="007B588D" w:rsidRPr="00F354FF" w:rsidRDefault="007B588D" w:rsidP="00F354FF">
      <w:pPr>
        <w:pStyle w:val="H1G"/>
        <w:rPr>
          <w:szCs w:val="24"/>
          <w:lang w:val="en-GB"/>
        </w:rPr>
      </w:pPr>
      <w:r>
        <w:rPr>
          <w:rFonts w:eastAsia="Arial"/>
          <w:lang w:val="fr-FR"/>
        </w:rPr>
        <w:tab/>
      </w:r>
      <w:r>
        <w:rPr>
          <w:rFonts w:eastAsia="Arial"/>
          <w:lang w:val="fr-FR"/>
        </w:rPr>
        <w:tab/>
        <w:t>Communication du Gouvernement de la Suisse</w:t>
      </w:r>
      <w:r w:rsidRPr="007B588D">
        <w:rPr>
          <w:rStyle w:val="FootnoteReference"/>
          <w:sz w:val="20"/>
        </w:rPr>
        <w:footnoteReference w:customMarkFollows="1" w:id="2"/>
        <w:t>*</w:t>
      </w:r>
      <w:r w:rsidRPr="007B588D">
        <w:rPr>
          <w:position w:val="6"/>
          <w:sz w:val="20"/>
        </w:rPr>
        <w:t>,</w:t>
      </w:r>
      <w:r w:rsidRPr="007B588D">
        <w:rPr>
          <w:sz w:val="20"/>
        </w:rPr>
        <w:t xml:space="preserve"> </w:t>
      </w:r>
      <w:r w:rsidRPr="007B588D">
        <w:rPr>
          <w:rStyle w:val="FootnoteReference"/>
          <w:sz w:val="20"/>
        </w:rPr>
        <w:footnoteReference w:customMarkFollows="1" w:id="3"/>
        <w:t>**</w:t>
      </w:r>
      <w:r>
        <w:rPr>
          <w:szCs w:val="24"/>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7B588D" w:rsidTr="00DD7199">
        <w:trPr>
          <w:jc w:val="center"/>
        </w:trPr>
        <w:tc>
          <w:tcPr>
            <w:tcW w:w="9637" w:type="dxa"/>
            <w:shd w:val="clear" w:color="auto" w:fill="auto"/>
          </w:tcPr>
          <w:p w:rsidR="007B588D" w:rsidRDefault="007B588D" w:rsidP="00DD7199">
            <w:pPr>
              <w:spacing w:before="240" w:after="120"/>
              <w:ind w:left="255"/>
              <w:rPr>
                <w:i/>
                <w:sz w:val="24"/>
              </w:rPr>
            </w:pPr>
            <w:r>
              <w:rPr>
                <w:i/>
                <w:sz w:val="24"/>
              </w:rPr>
              <w:t>Résumé</w:t>
            </w:r>
          </w:p>
        </w:tc>
      </w:tr>
      <w:tr w:rsidR="007B588D" w:rsidTr="00DD7199">
        <w:trPr>
          <w:jc w:val="center"/>
        </w:trPr>
        <w:tc>
          <w:tcPr>
            <w:tcW w:w="9637" w:type="dxa"/>
            <w:shd w:val="clear" w:color="auto" w:fill="auto"/>
          </w:tcPr>
          <w:p w:rsidR="007B588D" w:rsidRDefault="007B588D" w:rsidP="00DD7199">
            <w:pPr>
              <w:pStyle w:val="SingleTxtG"/>
              <w:tabs>
                <w:tab w:val="left" w:pos="3260"/>
              </w:tabs>
              <w:ind w:left="3260" w:hanging="2126"/>
            </w:pPr>
            <w:r>
              <w:rPr>
                <w:b/>
              </w:rPr>
              <w:t>Résumé analytique :</w:t>
            </w:r>
            <w:r>
              <w:rPr>
                <w:b/>
              </w:rPr>
              <w:tab/>
            </w:r>
            <w:r>
              <w:t xml:space="preserve">Il faut clarifier la prépondérance des autres dangers dans la classe 9 en relation avec le danger pour l’environnement. </w:t>
            </w:r>
          </w:p>
        </w:tc>
      </w:tr>
      <w:tr w:rsidR="007B588D" w:rsidTr="00DD7199">
        <w:trPr>
          <w:jc w:val="center"/>
        </w:trPr>
        <w:tc>
          <w:tcPr>
            <w:tcW w:w="9637" w:type="dxa"/>
            <w:shd w:val="clear" w:color="auto" w:fill="auto"/>
          </w:tcPr>
          <w:p w:rsidR="007B588D" w:rsidRDefault="007B588D" w:rsidP="00DD7199">
            <w:pPr>
              <w:pStyle w:val="SingleTxtG"/>
              <w:tabs>
                <w:tab w:val="left" w:pos="3260"/>
              </w:tabs>
              <w:ind w:left="3260" w:hanging="2126"/>
            </w:pPr>
            <w:r>
              <w:rPr>
                <w:b/>
              </w:rPr>
              <w:t>Mesures à prendre :</w:t>
            </w:r>
            <w:r>
              <w:rPr>
                <w:b/>
              </w:rPr>
              <w:tab/>
            </w:r>
            <w:r>
              <w:t xml:space="preserve">Modifier le texte des 2.2.9.1.10.6 et </w:t>
            </w:r>
            <w:r>
              <w:rPr>
                <w:bCs/>
              </w:rPr>
              <w:t xml:space="preserve">2.1.3.8 </w:t>
            </w:r>
            <w:r>
              <w:t xml:space="preserve">pour clarifier que pour une marchandise dangereuse donnée, les rubriques </w:t>
            </w:r>
            <w:proofErr w:type="spellStart"/>
            <w:r>
              <w:t>des</w:t>
            </w:r>
            <w:proofErr w:type="spellEnd"/>
            <w:r>
              <w:t xml:space="preserve"> Nos ONU 3077 et 3082 ne sont applicables que si aucune autre rubrique de la classe 9 n’est applicable.</w:t>
            </w:r>
          </w:p>
        </w:tc>
      </w:tr>
      <w:tr w:rsidR="007B588D" w:rsidTr="00DD7199">
        <w:trPr>
          <w:jc w:val="center"/>
        </w:trPr>
        <w:tc>
          <w:tcPr>
            <w:tcW w:w="9637" w:type="dxa"/>
            <w:shd w:val="clear" w:color="auto" w:fill="auto"/>
          </w:tcPr>
          <w:p w:rsidR="007B588D" w:rsidRDefault="007B588D" w:rsidP="00DD7199">
            <w:pPr>
              <w:pStyle w:val="SingleTxtG"/>
              <w:tabs>
                <w:tab w:val="left" w:pos="3260"/>
              </w:tabs>
              <w:ind w:left="3260" w:hanging="2126"/>
            </w:pPr>
          </w:p>
        </w:tc>
      </w:tr>
      <w:tr w:rsidR="007B588D" w:rsidTr="00DD7199">
        <w:trPr>
          <w:jc w:val="center"/>
        </w:trPr>
        <w:tc>
          <w:tcPr>
            <w:tcW w:w="9637" w:type="dxa"/>
            <w:shd w:val="clear" w:color="auto" w:fill="auto"/>
          </w:tcPr>
          <w:p w:rsidR="007B588D" w:rsidRDefault="007B588D" w:rsidP="00DD7199"/>
        </w:tc>
      </w:tr>
    </w:tbl>
    <w:p w:rsidR="007B588D" w:rsidRDefault="007B588D" w:rsidP="007B588D">
      <w:pPr>
        <w:pStyle w:val="HChG"/>
      </w:pPr>
      <w:r>
        <w:tab/>
      </w:r>
      <w:r>
        <w:tab/>
        <w:t>Introduction</w:t>
      </w:r>
    </w:p>
    <w:p w:rsidR="007B588D" w:rsidRDefault="007B588D" w:rsidP="007B588D">
      <w:pPr>
        <w:pStyle w:val="SingleTxtG"/>
        <w:numPr>
          <w:ilvl w:val="0"/>
          <w:numId w:val="14"/>
        </w:numPr>
        <w:kinsoku/>
        <w:overflowPunct/>
        <w:autoSpaceDE/>
        <w:autoSpaceDN/>
        <w:adjustRightInd/>
        <w:snapToGrid/>
        <w:ind w:left="1134" w:firstLine="0"/>
      </w:pPr>
      <w:r>
        <w:t xml:space="preserve">La question de la classification et du marquage des autres matières de la classe 9 qui en plus remplissent les critères de classification comme matières dangereuses pour l’environnement du 2.2.9.1.10.6 n’est pas réglée de manière correcte dans le RID/ADR. </w:t>
      </w:r>
    </w:p>
    <w:p w:rsidR="007B588D" w:rsidRDefault="007B588D" w:rsidP="00F354FF">
      <w:pPr>
        <w:pStyle w:val="SingleTxtG"/>
        <w:numPr>
          <w:ilvl w:val="0"/>
          <w:numId w:val="14"/>
        </w:numPr>
        <w:kinsoku/>
        <w:overflowPunct/>
        <w:autoSpaceDE/>
        <w:autoSpaceDN/>
        <w:adjustRightInd/>
        <w:snapToGrid/>
      </w:pPr>
      <w:r>
        <w:lastRenderedPageBreak/>
        <w:t xml:space="preserve">Le 2.2.9.1.10.6 RID/ADR prescrit ce qui </w:t>
      </w:r>
      <w:proofErr w:type="gramStart"/>
      <w:r>
        <w:t>suit:</w:t>
      </w:r>
      <w:proofErr w:type="gramEnd"/>
    </w:p>
    <w:p w:rsidR="007B588D" w:rsidRDefault="007B588D" w:rsidP="00F354FF">
      <w:pPr>
        <w:pStyle w:val="BodyTextIndent"/>
        <w:tabs>
          <w:tab w:val="clear" w:pos="720"/>
          <w:tab w:val="clear" w:pos="1440"/>
          <w:tab w:val="clear" w:pos="1985"/>
          <w:tab w:val="left" w:pos="1701"/>
        </w:tabs>
        <w:spacing w:after="120"/>
        <w:ind w:left="1701" w:right="1134" w:firstLine="0"/>
        <w:rPr>
          <w:bCs/>
          <w:sz w:val="20"/>
        </w:rPr>
      </w:pPr>
      <w:r>
        <w:t>« </w:t>
      </w:r>
      <w:r>
        <w:rPr>
          <w:bCs/>
          <w:sz w:val="20"/>
        </w:rPr>
        <w:t>2.2.9.1.10.6</w:t>
      </w:r>
      <w:r>
        <w:rPr>
          <w:bCs/>
          <w:sz w:val="20"/>
        </w:rPr>
        <w:tab/>
        <w:t xml:space="preserve"> </w:t>
      </w:r>
      <w:r>
        <w:rPr>
          <w:rFonts w:ascii="Times New Roman" w:hAnsi="Times New Roman"/>
          <w:sz w:val="20"/>
        </w:rPr>
        <w:t>Affectation</w:t>
      </w:r>
      <w:r>
        <w:rPr>
          <w:bCs/>
          <w:sz w:val="20"/>
        </w:rPr>
        <w:t xml:space="preserve"> des substances ou mélanges classés comme matières dangereuses pour l’environnement (milieu aquatique) conformément aux dispositions des 2.2.9.1.10.3, 2.2.9.1.10.4 ou 2.2.9.1.10.5</w:t>
      </w:r>
    </w:p>
    <w:p w:rsidR="007B588D" w:rsidRDefault="007B588D" w:rsidP="00F354FF">
      <w:pPr>
        <w:pStyle w:val="BodyTextIndent"/>
        <w:tabs>
          <w:tab w:val="clear" w:pos="720"/>
          <w:tab w:val="clear" w:pos="1440"/>
          <w:tab w:val="clear" w:pos="1985"/>
          <w:tab w:val="left" w:pos="1701"/>
        </w:tabs>
        <w:spacing w:after="120"/>
        <w:ind w:left="1701" w:right="1134" w:hanging="1701"/>
        <w:rPr>
          <w:bCs/>
          <w:sz w:val="20"/>
        </w:rPr>
      </w:pPr>
      <w:r>
        <w:rPr>
          <w:bCs/>
          <w:sz w:val="20"/>
        </w:rPr>
        <w:tab/>
        <w:t xml:space="preserve">Les substances ou mélanges classés comme matières dangereuses pour l’environnement (milieu aquatique), non classés ailleurs dans le RID/ADR, doivent être désignés comme </w:t>
      </w:r>
      <w:proofErr w:type="gramStart"/>
      <w:r>
        <w:rPr>
          <w:bCs/>
          <w:sz w:val="20"/>
        </w:rPr>
        <w:t>suit:</w:t>
      </w:r>
      <w:proofErr w:type="gramEnd"/>
    </w:p>
    <w:p w:rsidR="007B588D" w:rsidRDefault="007B588D" w:rsidP="00F354FF">
      <w:pPr>
        <w:pStyle w:val="BodyTextIndent"/>
        <w:tabs>
          <w:tab w:val="clear" w:pos="720"/>
          <w:tab w:val="clear" w:pos="1440"/>
          <w:tab w:val="clear" w:pos="1985"/>
          <w:tab w:val="left" w:pos="1701"/>
        </w:tabs>
        <w:spacing w:after="120"/>
        <w:ind w:left="1701" w:right="1134" w:hanging="1701"/>
        <w:rPr>
          <w:bCs/>
          <w:sz w:val="20"/>
        </w:rPr>
      </w:pPr>
      <w:r>
        <w:rPr>
          <w:bCs/>
          <w:sz w:val="20"/>
        </w:rPr>
        <w:tab/>
        <w:t xml:space="preserve">No ONU 3077 </w:t>
      </w:r>
      <w:r>
        <w:rPr>
          <w:rFonts w:ascii="Times New Roman" w:hAnsi="Times New Roman"/>
          <w:sz w:val="20"/>
        </w:rPr>
        <w:t>MATIÈRE</w:t>
      </w:r>
      <w:r>
        <w:rPr>
          <w:bCs/>
          <w:sz w:val="20"/>
        </w:rPr>
        <w:t xml:space="preserve"> DANGEREUSE DU POINT DE VUE DE L’ENVIRONNEMENT, SOLIDE, </w:t>
      </w:r>
      <w:proofErr w:type="gramStart"/>
      <w:r>
        <w:rPr>
          <w:bCs/>
          <w:sz w:val="20"/>
        </w:rPr>
        <w:t>N.S.A.;</w:t>
      </w:r>
      <w:proofErr w:type="gramEnd"/>
      <w:r>
        <w:rPr>
          <w:bCs/>
          <w:sz w:val="20"/>
        </w:rPr>
        <w:t xml:space="preserve"> ou</w:t>
      </w:r>
    </w:p>
    <w:p w:rsidR="007B588D" w:rsidRDefault="007B588D" w:rsidP="00F354FF">
      <w:pPr>
        <w:pStyle w:val="BodyTextIndent"/>
        <w:tabs>
          <w:tab w:val="clear" w:pos="720"/>
          <w:tab w:val="clear" w:pos="1440"/>
          <w:tab w:val="clear" w:pos="1985"/>
          <w:tab w:val="left" w:pos="1701"/>
        </w:tabs>
        <w:spacing w:after="120"/>
        <w:ind w:left="1701" w:right="1134" w:hanging="1701"/>
        <w:rPr>
          <w:bCs/>
          <w:sz w:val="20"/>
        </w:rPr>
      </w:pPr>
      <w:r>
        <w:rPr>
          <w:bCs/>
          <w:sz w:val="20"/>
        </w:rPr>
        <w:tab/>
      </w:r>
      <w:r>
        <w:rPr>
          <w:rFonts w:ascii="Times New Roman" w:hAnsi="Times New Roman"/>
          <w:sz w:val="20"/>
        </w:rPr>
        <w:t>No</w:t>
      </w:r>
      <w:r>
        <w:rPr>
          <w:bCs/>
          <w:sz w:val="20"/>
        </w:rPr>
        <w:t xml:space="preserve"> ONU 3082 MATIÈRE DANGEREUSE DU POINT DE VUE DE L’ENVIRONNEMENT, LIQUIDE, N.S.A.</w:t>
      </w:r>
    </w:p>
    <w:p w:rsidR="007B588D" w:rsidRDefault="007B588D" w:rsidP="00F354FF">
      <w:pPr>
        <w:pStyle w:val="BodyTextIndent"/>
        <w:tabs>
          <w:tab w:val="clear" w:pos="720"/>
          <w:tab w:val="clear" w:pos="1440"/>
          <w:tab w:val="clear" w:pos="1985"/>
          <w:tab w:val="left" w:pos="1701"/>
        </w:tabs>
        <w:spacing w:after="200"/>
        <w:ind w:left="1701" w:right="1134" w:hanging="1701"/>
        <w:rPr>
          <w:bCs/>
          <w:sz w:val="20"/>
        </w:rPr>
      </w:pPr>
      <w:r>
        <w:rPr>
          <w:bCs/>
          <w:sz w:val="20"/>
        </w:rPr>
        <w:tab/>
        <w:t>Ils doivent être affectés au groupe d’emballage III. »</w:t>
      </w:r>
    </w:p>
    <w:p w:rsidR="007B588D" w:rsidRDefault="007B588D" w:rsidP="00F354FF">
      <w:pPr>
        <w:pStyle w:val="SingleTxtG"/>
        <w:numPr>
          <w:ilvl w:val="0"/>
          <w:numId w:val="14"/>
        </w:numPr>
        <w:kinsoku/>
        <w:overflowPunct/>
        <w:autoSpaceDE/>
        <w:autoSpaceDN/>
        <w:adjustRightInd/>
        <w:snapToGrid/>
        <w:ind w:left="1134" w:firstLine="0"/>
      </w:pPr>
      <w:r>
        <w:rPr>
          <w:lang w:val="fr-FR"/>
        </w:rPr>
        <w:t xml:space="preserve">Parallèlement à cela, le </w:t>
      </w:r>
      <w:r>
        <w:t xml:space="preserve">5.2.1.8.1 </w:t>
      </w:r>
      <w:r>
        <w:rPr>
          <w:bCs/>
        </w:rPr>
        <w:t>RID/ADR</w:t>
      </w:r>
      <w:r>
        <w:t xml:space="preserve"> prescrit ce qui suit :</w:t>
      </w:r>
    </w:p>
    <w:p w:rsidR="007B588D" w:rsidRDefault="007B588D" w:rsidP="00F354FF">
      <w:pPr>
        <w:spacing w:after="200"/>
        <w:ind w:left="1701" w:right="1134"/>
        <w:jc w:val="both"/>
      </w:pPr>
      <w:r>
        <w:t>«5.2.1.8.1</w:t>
      </w:r>
      <w:r>
        <w:tab/>
      </w:r>
      <w:r>
        <w:rPr>
          <w:bCs/>
          <w:iCs/>
        </w:rPr>
        <w:t>Les colis renfermant des matières dangereuses pour l'environnement satisfaisant aux critères du 2.2.9.1.10 doivent porter, de manière durable, la marque "matière dangereuse pour l'environnement" présentée au 5.2.1.8.3, … »</w:t>
      </w:r>
    </w:p>
    <w:p w:rsidR="007B588D" w:rsidRDefault="007B588D" w:rsidP="00F354FF">
      <w:pPr>
        <w:pStyle w:val="SingleTxtG"/>
        <w:numPr>
          <w:ilvl w:val="0"/>
          <w:numId w:val="14"/>
        </w:numPr>
        <w:kinsoku/>
        <w:overflowPunct/>
        <w:autoSpaceDE/>
        <w:autoSpaceDN/>
        <w:adjustRightInd/>
        <w:snapToGrid/>
        <w:ind w:left="1134" w:firstLine="0"/>
      </w:pPr>
      <w:r>
        <w:t xml:space="preserve">D’une part, les substances ou mélanges ne doivent être alloués aux rubriques </w:t>
      </w:r>
      <w:proofErr w:type="spellStart"/>
      <w:r>
        <w:t>des</w:t>
      </w:r>
      <w:proofErr w:type="spellEnd"/>
      <w:r>
        <w:t xml:space="preserve"> Nos ONU 3077 ou 3082 que s’ils ne sont pas classés autrement selon le RID/ADR ; d’autre part, quelle que soit la marchandise dangereuse contenue, lorsqu’elle contient des marchandises dangereuses pour l’environnement l’envoi doit être identifié avec la marque du paragraphe 5.2.1.8.3.</w:t>
      </w:r>
    </w:p>
    <w:p w:rsidR="007B588D" w:rsidRDefault="007B588D" w:rsidP="00F354FF">
      <w:pPr>
        <w:pStyle w:val="SingleTxtG"/>
        <w:numPr>
          <w:ilvl w:val="0"/>
          <w:numId w:val="14"/>
        </w:numPr>
        <w:kinsoku/>
        <w:overflowPunct/>
        <w:autoSpaceDE/>
        <w:autoSpaceDN/>
        <w:adjustRightInd/>
        <w:snapToGrid/>
        <w:ind w:left="1134" w:firstLine="0"/>
        <w:rPr>
          <w:color w:val="000000" w:themeColor="text1"/>
        </w:rPr>
      </w:pPr>
      <w:r>
        <w:t xml:space="preserve">Dans certains cas, comme p.ex. pour les matières transportées à chaud du No ONU 3257 qui remplissent en même temps les critères de danger pour l’environnement, il n’est pas possible de décider si elles doivent être affectées à la rubrique du No ONU 3257 ou 3082. L’information sur le panneau orange est différente selon le cas. Au lieu du 99/3257 pour le No ONU 3257, on aurait 90/3082 pour </w:t>
      </w:r>
      <w:r>
        <w:rPr>
          <w:color w:val="000000" w:themeColor="text1"/>
        </w:rPr>
        <w:t xml:space="preserve">le No ONU 3082. Cette dernière ne donne pas toute l’information nécessaire aux intervenants. </w:t>
      </w:r>
    </w:p>
    <w:p w:rsidR="007B588D" w:rsidRDefault="007B588D" w:rsidP="00F354FF">
      <w:pPr>
        <w:pStyle w:val="SingleTxtG"/>
        <w:numPr>
          <w:ilvl w:val="0"/>
          <w:numId w:val="14"/>
        </w:numPr>
        <w:kinsoku/>
        <w:overflowPunct/>
        <w:autoSpaceDE/>
        <w:autoSpaceDN/>
        <w:adjustRightInd/>
        <w:snapToGrid/>
        <w:ind w:left="1134" w:firstLine="0"/>
        <w:rPr>
          <w:color w:val="000000" w:themeColor="text1"/>
        </w:rPr>
      </w:pPr>
      <w:r>
        <w:rPr>
          <w:color w:val="000000" w:themeColor="text1"/>
        </w:rPr>
        <w:t>Le libellé de la deuxième phrase du 2.1.3.8 va même dans le mauvais sens : « les autres matières qui ne satisfont aux critères d’aucune autre classe, mais satisfont aux critères du 2.2.9.1.10, doivent être affectées aux Nos ONU 3077 ou 3082, selon le cas. ». On en conclut ainsi que les autres matières de la classe 9 qui satisfont aux critères du 2.2.9.1.10 doivent être affectées aux Nos ONU 3077 ou 3082, selon le cas.</w:t>
      </w:r>
    </w:p>
    <w:p w:rsidR="007B588D" w:rsidRDefault="007B588D" w:rsidP="00F354FF">
      <w:pPr>
        <w:pStyle w:val="SingleTxtG"/>
        <w:numPr>
          <w:ilvl w:val="0"/>
          <w:numId w:val="14"/>
        </w:numPr>
        <w:kinsoku/>
        <w:overflowPunct/>
        <w:autoSpaceDE/>
        <w:autoSpaceDN/>
        <w:adjustRightInd/>
        <w:snapToGrid/>
        <w:ind w:left="1134" w:firstLine="0"/>
        <w:rPr>
          <w:color w:val="000000" w:themeColor="text1"/>
        </w:rPr>
      </w:pPr>
      <w:r>
        <w:rPr>
          <w:color w:val="000000" w:themeColor="text1"/>
        </w:rPr>
        <w:t>Cette conclusion est contraire à celle qui figure au 2.9.2 du Règlement type de l’ONU, libellé ainsi :</w:t>
      </w:r>
    </w:p>
    <w:p w:rsidR="007B588D" w:rsidRDefault="007B588D" w:rsidP="00F354FF">
      <w:pPr>
        <w:spacing w:before="120" w:after="120"/>
        <w:ind w:left="1701" w:right="1134"/>
        <w:jc w:val="both"/>
        <w:rPr>
          <w:color w:val="000000" w:themeColor="text1"/>
        </w:rPr>
      </w:pPr>
      <w:r>
        <w:rPr>
          <w:color w:val="000000" w:themeColor="text1"/>
        </w:rPr>
        <w:t xml:space="preserve">« Ces désignations (c.à.d. UN 3077 et 3082) sont utilisées pour les substances et mélanges dangereux pour le milieu aquatique ne satisfaisant aux critères de classement d’aucune autre classe </w:t>
      </w:r>
      <w:r>
        <w:rPr>
          <w:color w:val="000000" w:themeColor="text1"/>
          <w:u w:val="single"/>
        </w:rPr>
        <w:t>ou d’aucune autre matière de la classe 9</w:t>
      </w:r>
      <w:proofErr w:type="gramStart"/>
      <w:r>
        <w:rPr>
          <w:color w:val="000000" w:themeColor="text1"/>
          <w:u w:val="single"/>
        </w:rPr>
        <w:t> </w:t>
      </w:r>
      <w:r>
        <w:rPr>
          <w:color w:val="000000" w:themeColor="text1"/>
        </w:rPr>
        <w:t>….</w:t>
      </w:r>
      <w:proofErr w:type="gramEnd"/>
      <w:r>
        <w:rPr>
          <w:color w:val="000000" w:themeColor="text1"/>
        </w:rPr>
        <w:t> »</w:t>
      </w:r>
    </w:p>
    <w:p w:rsidR="007B588D" w:rsidRDefault="007B588D" w:rsidP="00F354FF">
      <w:pPr>
        <w:pStyle w:val="SingleTxtG"/>
        <w:numPr>
          <w:ilvl w:val="0"/>
          <w:numId w:val="14"/>
        </w:numPr>
        <w:kinsoku/>
        <w:overflowPunct/>
        <w:autoSpaceDE/>
        <w:autoSpaceDN/>
        <w:adjustRightInd/>
        <w:snapToGrid/>
        <w:ind w:left="1134" w:firstLine="0"/>
        <w:rPr>
          <w:szCs w:val="22"/>
        </w:rPr>
      </w:pPr>
      <w:r>
        <w:rPr>
          <w:szCs w:val="22"/>
        </w:rPr>
        <w:t xml:space="preserve">Du texte du Règlement type, on déduit que les rubriques </w:t>
      </w:r>
      <w:proofErr w:type="spellStart"/>
      <w:r>
        <w:rPr>
          <w:szCs w:val="22"/>
        </w:rPr>
        <w:t>des</w:t>
      </w:r>
      <w:proofErr w:type="spellEnd"/>
      <w:r>
        <w:rPr>
          <w:szCs w:val="22"/>
        </w:rPr>
        <w:t xml:space="preserve"> Nos ONU 3077 et 3082 ne doivent pas être utilisées si une autre rubrique de la classe 9 (ou d’une autre classe) peut être assignée à un produit donné.</w:t>
      </w:r>
    </w:p>
    <w:p w:rsidR="007B588D" w:rsidRDefault="007B588D" w:rsidP="00F354FF">
      <w:pPr>
        <w:pStyle w:val="SingleTxtG"/>
        <w:numPr>
          <w:ilvl w:val="0"/>
          <w:numId w:val="14"/>
        </w:numPr>
        <w:kinsoku/>
        <w:overflowPunct/>
        <w:autoSpaceDE/>
        <w:autoSpaceDN/>
        <w:adjustRightInd/>
        <w:snapToGrid/>
        <w:ind w:left="1134" w:firstLine="0"/>
        <w:rPr>
          <w:sz w:val="22"/>
          <w:szCs w:val="22"/>
        </w:rPr>
      </w:pPr>
      <w:r>
        <w:rPr>
          <w:szCs w:val="22"/>
        </w:rPr>
        <w:t>Afin de rendre plus clair le texte du RID/ADR, nous proposons d’introduire le libellé du 2.9.2 du Règlement type dans le 2.2.9.1.10.6 et de modifier le 2.1.3.8 de la manière suivante.</w:t>
      </w:r>
    </w:p>
    <w:p w:rsidR="007B588D" w:rsidRDefault="007B588D" w:rsidP="00F354FF">
      <w:pPr>
        <w:pStyle w:val="SingleTxtG"/>
        <w:numPr>
          <w:ilvl w:val="0"/>
          <w:numId w:val="14"/>
        </w:numPr>
        <w:kinsoku/>
        <w:overflowPunct/>
        <w:autoSpaceDE/>
        <w:autoSpaceDN/>
        <w:adjustRightInd/>
        <w:snapToGrid/>
        <w:ind w:left="1134" w:firstLine="0"/>
        <w:rPr>
          <w:sz w:val="22"/>
          <w:szCs w:val="22"/>
        </w:rPr>
      </w:pPr>
      <w:r>
        <w:rPr>
          <w:szCs w:val="22"/>
        </w:rPr>
        <w:t>Compte tenu que l’ADN ne contient pas de paragraphe 2.2.9.1.10.6 et que les dispositions du 2.2.9.1.10.1 par rapport à la prépondérance des dangers dans la classe 9 sont claires, dans l’ADN, seul le paragraphe 2.1.3.8 doit être modifié.</w:t>
      </w:r>
    </w:p>
    <w:p w:rsidR="007B588D" w:rsidRDefault="007B588D" w:rsidP="00F354FF">
      <w:pPr>
        <w:pStyle w:val="HChG"/>
        <w:rPr>
          <w:sz w:val="22"/>
        </w:rPr>
      </w:pPr>
      <w:r>
        <w:rPr>
          <w:sz w:val="22"/>
        </w:rPr>
        <w:lastRenderedPageBreak/>
        <w:tab/>
      </w:r>
      <w:r>
        <w:rPr>
          <w:sz w:val="22"/>
        </w:rPr>
        <w:tab/>
      </w:r>
      <w:r>
        <w:t>Propositions</w:t>
      </w:r>
    </w:p>
    <w:p w:rsidR="007B588D" w:rsidRDefault="007B588D" w:rsidP="00F354FF">
      <w:pPr>
        <w:pStyle w:val="ListParagraph"/>
        <w:numPr>
          <w:ilvl w:val="0"/>
          <w:numId w:val="14"/>
        </w:numPr>
        <w:spacing w:after="200"/>
        <w:ind w:left="1134" w:right="1133" w:firstLine="0"/>
        <w:jc w:val="both"/>
        <w:rPr>
          <w:szCs w:val="22"/>
        </w:rPr>
      </w:pPr>
      <w:r>
        <w:rPr>
          <w:szCs w:val="22"/>
        </w:rPr>
        <w:t>Au 2.2.9.1.10.6 RID/ADR, modifier le texte comme suit (le texte ajouté est en gras et souligné, le texte biffé est barré</w:t>
      </w:r>
      <w:proofErr w:type="gramStart"/>
      <w:r>
        <w:rPr>
          <w:szCs w:val="22"/>
        </w:rPr>
        <w:t>):</w:t>
      </w:r>
      <w:proofErr w:type="gramEnd"/>
    </w:p>
    <w:p w:rsidR="007B588D" w:rsidRDefault="007B588D" w:rsidP="00F354FF">
      <w:pPr>
        <w:pStyle w:val="BodyTextIndent"/>
        <w:tabs>
          <w:tab w:val="clear" w:pos="720"/>
          <w:tab w:val="clear" w:pos="1440"/>
          <w:tab w:val="clear" w:pos="1985"/>
          <w:tab w:val="left" w:pos="1701"/>
        </w:tabs>
        <w:spacing w:after="120"/>
        <w:ind w:left="1701" w:right="1133" w:firstLine="0"/>
        <w:rPr>
          <w:rFonts w:ascii="Times New Roman" w:hAnsi="Times New Roman"/>
          <w:bCs/>
          <w:sz w:val="20"/>
          <w:szCs w:val="22"/>
        </w:rPr>
      </w:pPr>
      <w:r>
        <w:rPr>
          <w:rFonts w:ascii="Times New Roman" w:hAnsi="Times New Roman"/>
          <w:sz w:val="20"/>
          <w:szCs w:val="22"/>
        </w:rPr>
        <w:t>« </w:t>
      </w:r>
      <w:r>
        <w:rPr>
          <w:rFonts w:ascii="Times New Roman" w:hAnsi="Times New Roman"/>
          <w:bCs/>
          <w:sz w:val="20"/>
          <w:szCs w:val="22"/>
        </w:rPr>
        <w:t>2.2.9.1.10.6</w:t>
      </w:r>
      <w:r>
        <w:rPr>
          <w:rFonts w:ascii="Times New Roman" w:hAnsi="Times New Roman"/>
          <w:bCs/>
          <w:sz w:val="20"/>
          <w:szCs w:val="22"/>
        </w:rPr>
        <w:tab/>
        <w:t xml:space="preserve"> </w:t>
      </w:r>
      <w:r>
        <w:rPr>
          <w:rFonts w:ascii="Times New Roman" w:hAnsi="Times New Roman"/>
          <w:sz w:val="20"/>
          <w:szCs w:val="22"/>
        </w:rPr>
        <w:t>Affectation</w:t>
      </w:r>
      <w:r>
        <w:rPr>
          <w:rFonts w:ascii="Times New Roman" w:hAnsi="Times New Roman"/>
          <w:bCs/>
          <w:sz w:val="20"/>
          <w:szCs w:val="22"/>
        </w:rPr>
        <w:t xml:space="preserve"> des substances ou mélanges classés comme matières dangereuses pour l’environnement (milieu aquatique) conformément aux dispositions des 2.2.9.1.10.3, 2.2.9.1.10.4 ou 2.2.9.1.10.5</w:t>
      </w:r>
    </w:p>
    <w:p w:rsidR="007B588D" w:rsidRDefault="007B588D" w:rsidP="00F354FF">
      <w:pPr>
        <w:pStyle w:val="BodyTextIndent"/>
        <w:tabs>
          <w:tab w:val="clear" w:pos="720"/>
          <w:tab w:val="clear" w:pos="1440"/>
          <w:tab w:val="clear" w:pos="1985"/>
          <w:tab w:val="left" w:pos="1701"/>
        </w:tabs>
        <w:spacing w:after="120"/>
        <w:ind w:left="1701" w:right="1133" w:hanging="1701"/>
        <w:rPr>
          <w:rFonts w:ascii="Times New Roman" w:hAnsi="Times New Roman"/>
          <w:bCs/>
          <w:sz w:val="20"/>
          <w:szCs w:val="22"/>
        </w:rPr>
      </w:pPr>
      <w:r>
        <w:rPr>
          <w:rFonts w:ascii="Times New Roman" w:hAnsi="Times New Roman"/>
          <w:bCs/>
          <w:sz w:val="20"/>
          <w:szCs w:val="22"/>
        </w:rPr>
        <w:tab/>
        <w:t xml:space="preserve">Les substances ou mélanges classés comme matières dangereuses pour l’environnement (milieu aquatique), </w:t>
      </w:r>
      <w:r>
        <w:rPr>
          <w:rFonts w:ascii="Times New Roman" w:hAnsi="Times New Roman"/>
          <w:bCs/>
          <w:strike/>
          <w:sz w:val="20"/>
          <w:szCs w:val="22"/>
        </w:rPr>
        <w:t>non classés ailleurs dans l’ADR</w:t>
      </w:r>
      <w:r>
        <w:rPr>
          <w:rFonts w:ascii="Times New Roman" w:hAnsi="Times New Roman"/>
          <w:bCs/>
          <w:sz w:val="20"/>
          <w:szCs w:val="22"/>
        </w:rPr>
        <w:t xml:space="preserve"> </w:t>
      </w:r>
      <w:r>
        <w:rPr>
          <w:rFonts w:ascii="Times New Roman" w:hAnsi="Times New Roman"/>
          <w:b/>
          <w:sz w:val="20"/>
          <w:szCs w:val="22"/>
          <w:u w:val="single"/>
        </w:rPr>
        <w:t>ne satisfaisant aux critères de classement d’aucune autre classe ou d’aucune autre matière de la classe 9</w:t>
      </w:r>
      <w:r>
        <w:rPr>
          <w:rFonts w:ascii="Times New Roman" w:hAnsi="Times New Roman"/>
          <w:bCs/>
          <w:sz w:val="20"/>
          <w:szCs w:val="22"/>
        </w:rPr>
        <w:t xml:space="preserve">, doivent être désignés comme </w:t>
      </w:r>
      <w:proofErr w:type="gramStart"/>
      <w:r>
        <w:rPr>
          <w:rFonts w:ascii="Times New Roman" w:hAnsi="Times New Roman"/>
          <w:bCs/>
          <w:sz w:val="20"/>
          <w:szCs w:val="22"/>
        </w:rPr>
        <w:t>suit:</w:t>
      </w:r>
      <w:proofErr w:type="gramEnd"/>
    </w:p>
    <w:p w:rsidR="007B588D" w:rsidRDefault="007B588D" w:rsidP="00F354FF">
      <w:pPr>
        <w:pStyle w:val="BodyTextIndent"/>
        <w:tabs>
          <w:tab w:val="clear" w:pos="720"/>
          <w:tab w:val="clear" w:pos="1440"/>
          <w:tab w:val="clear" w:pos="1985"/>
          <w:tab w:val="left" w:pos="1701"/>
        </w:tabs>
        <w:spacing w:after="120"/>
        <w:ind w:left="1701" w:right="1133" w:hanging="1701"/>
        <w:rPr>
          <w:rFonts w:ascii="Times New Roman" w:hAnsi="Times New Roman"/>
          <w:bCs/>
          <w:sz w:val="20"/>
          <w:szCs w:val="22"/>
        </w:rPr>
      </w:pPr>
      <w:r>
        <w:rPr>
          <w:rFonts w:ascii="Times New Roman" w:hAnsi="Times New Roman"/>
          <w:bCs/>
          <w:sz w:val="20"/>
          <w:szCs w:val="22"/>
        </w:rPr>
        <w:tab/>
        <w:t xml:space="preserve">No ONU 3077 </w:t>
      </w:r>
      <w:r>
        <w:rPr>
          <w:rFonts w:ascii="Times New Roman" w:hAnsi="Times New Roman"/>
          <w:sz w:val="20"/>
          <w:szCs w:val="22"/>
        </w:rPr>
        <w:t>MATIÈRE</w:t>
      </w:r>
      <w:r>
        <w:rPr>
          <w:rFonts w:ascii="Times New Roman" w:hAnsi="Times New Roman"/>
          <w:bCs/>
          <w:sz w:val="20"/>
          <w:szCs w:val="22"/>
        </w:rPr>
        <w:t xml:space="preserve"> DANGEREUSE DU POINT DE VUE DE L’ENVIRONNEMENT, SOLIDE, </w:t>
      </w:r>
      <w:proofErr w:type="gramStart"/>
      <w:r>
        <w:rPr>
          <w:rFonts w:ascii="Times New Roman" w:hAnsi="Times New Roman"/>
          <w:bCs/>
          <w:sz w:val="20"/>
          <w:szCs w:val="22"/>
        </w:rPr>
        <w:t>N.S.A.;</w:t>
      </w:r>
      <w:proofErr w:type="gramEnd"/>
      <w:r>
        <w:rPr>
          <w:rFonts w:ascii="Times New Roman" w:hAnsi="Times New Roman"/>
          <w:bCs/>
          <w:sz w:val="20"/>
          <w:szCs w:val="22"/>
        </w:rPr>
        <w:t xml:space="preserve"> ou</w:t>
      </w:r>
    </w:p>
    <w:p w:rsidR="007B588D" w:rsidRDefault="007B588D" w:rsidP="00F354FF">
      <w:pPr>
        <w:pStyle w:val="BodyTextIndent"/>
        <w:tabs>
          <w:tab w:val="clear" w:pos="720"/>
          <w:tab w:val="clear" w:pos="1440"/>
          <w:tab w:val="clear" w:pos="1985"/>
          <w:tab w:val="left" w:pos="1701"/>
        </w:tabs>
        <w:spacing w:after="120"/>
        <w:ind w:left="1701" w:right="1133" w:hanging="1701"/>
        <w:rPr>
          <w:rFonts w:ascii="Times New Roman" w:hAnsi="Times New Roman"/>
          <w:bCs/>
          <w:sz w:val="20"/>
          <w:szCs w:val="22"/>
        </w:rPr>
      </w:pPr>
      <w:r>
        <w:rPr>
          <w:rFonts w:ascii="Times New Roman" w:hAnsi="Times New Roman"/>
          <w:bCs/>
          <w:sz w:val="20"/>
          <w:szCs w:val="22"/>
        </w:rPr>
        <w:tab/>
      </w:r>
      <w:r>
        <w:rPr>
          <w:rFonts w:ascii="Times New Roman" w:hAnsi="Times New Roman"/>
          <w:sz w:val="20"/>
          <w:szCs w:val="22"/>
        </w:rPr>
        <w:t>No</w:t>
      </w:r>
      <w:r>
        <w:rPr>
          <w:rFonts w:ascii="Times New Roman" w:hAnsi="Times New Roman"/>
          <w:bCs/>
          <w:sz w:val="20"/>
          <w:szCs w:val="22"/>
        </w:rPr>
        <w:t xml:space="preserve"> ONU 3082 MATIÈRE DANGEREUSE DU POINT DE VUE DE L’ENVIRONNEMENT, LIQUIDE, N.S.A.</w:t>
      </w:r>
    </w:p>
    <w:p w:rsidR="007B588D" w:rsidRDefault="007B588D" w:rsidP="00F354FF">
      <w:pPr>
        <w:pStyle w:val="BodyTextIndent"/>
        <w:tabs>
          <w:tab w:val="clear" w:pos="720"/>
          <w:tab w:val="clear" w:pos="1440"/>
          <w:tab w:val="clear" w:pos="1985"/>
          <w:tab w:val="left" w:pos="1701"/>
        </w:tabs>
        <w:spacing w:after="200"/>
        <w:ind w:left="1701" w:right="1133" w:hanging="1701"/>
        <w:rPr>
          <w:rFonts w:ascii="Times New Roman" w:hAnsi="Times New Roman"/>
          <w:bCs/>
          <w:sz w:val="20"/>
          <w:szCs w:val="22"/>
        </w:rPr>
      </w:pPr>
      <w:r>
        <w:rPr>
          <w:rFonts w:ascii="Times New Roman" w:hAnsi="Times New Roman"/>
          <w:bCs/>
          <w:sz w:val="20"/>
          <w:szCs w:val="22"/>
        </w:rPr>
        <w:tab/>
        <w:t>Ils doivent être affectés au groupe d’emballage III. ».</w:t>
      </w:r>
    </w:p>
    <w:p w:rsidR="007B588D" w:rsidRDefault="007B588D" w:rsidP="00F354FF">
      <w:pPr>
        <w:pStyle w:val="ListParagraph"/>
        <w:numPr>
          <w:ilvl w:val="0"/>
          <w:numId w:val="14"/>
        </w:numPr>
        <w:spacing w:after="200"/>
        <w:ind w:left="1134" w:right="1133" w:firstLine="0"/>
        <w:jc w:val="both"/>
        <w:rPr>
          <w:szCs w:val="22"/>
        </w:rPr>
      </w:pPr>
      <w:r>
        <w:rPr>
          <w:szCs w:val="22"/>
        </w:rPr>
        <w:t xml:space="preserve">Au </w:t>
      </w:r>
      <w:r>
        <w:rPr>
          <w:bCs/>
          <w:szCs w:val="22"/>
        </w:rPr>
        <w:t>2.1.3.8 RID/ADR/ADN</w:t>
      </w:r>
      <w:r>
        <w:rPr>
          <w:szCs w:val="22"/>
        </w:rPr>
        <w:t>, modifier le texte comme suit (le texte ajouté est en gras</w:t>
      </w:r>
      <w:proofErr w:type="gramStart"/>
      <w:r>
        <w:rPr>
          <w:szCs w:val="22"/>
        </w:rPr>
        <w:t>):</w:t>
      </w:r>
      <w:proofErr w:type="gramEnd"/>
    </w:p>
    <w:p w:rsidR="007B588D" w:rsidRDefault="007B588D" w:rsidP="00F354FF">
      <w:pPr>
        <w:pStyle w:val="BodyTextIndent"/>
        <w:tabs>
          <w:tab w:val="clear" w:pos="720"/>
          <w:tab w:val="clear" w:pos="1440"/>
          <w:tab w:val="clear" w:pos="1985"/>
          <w:tab w:val="left" w:pos="1701"/>
        </w:tabs>
        <w:spacing w:after="120"/>
        <w:ind w:left="1701" w:right="1133" w:firstLine="0"/>
        <w:rPr>
          <w:rFonts w:ascii="Times New Roman" w:hAnsi="Times New Roman"/>
          <w:sz w:val="20"/>
          <w:szCs w:val="22"/>
        </w:rPr>
      </w:pPr>
      <w:r>
        <w:rPr>
          <w:rFonts w:ascii="Times New Roman" w:hAnsi="Times New Roman"/>
          <w:bCs/>
          <w:sz w:val="20"/>
          <w:szCs w:val="22"/>
        </w:rPr>
        <w:t xml:space="preserve">« 2.1.3.8 </w:t>
      </w:r>
      <w:r>
        <w:rPr>
          <w:rFonts w:ascii="Times New Roman" w:hAnsi="Times New Roman"/>
          <w:sz w:val="20"/>
          <w:szCs w:val="22"/>
        </w:rPr>
        <w:tab/>
        <w:t xml:space="preserve">Les matières des classes 1 à 6.2 et des classes 8 et 9, autres que celles affectées aux Nos ONU 3077 et 3082, satisfaisant aux critères du 2.2.9.1.10, outre qu’elles présentent les dangers liés à ces classes, sont considérées comme des matières dangereuses pour l’environnement. Les autres matières qui ne satisfont aux critères d’aucune autre classe </w:t>
      </w:r>
      <w:r>
        <w:rPr>
          <w:rFonts w:ascii="Times New Roman" w:hAnsi="Times New Roman"/>
          <w:b/>
          <w:sz w:val="20"/>
          <w:szCs w:val="22"/>
          <w:u w:val="single"/>
        </w:rPr>
        <w:t>ou d’aucune autre matière de la classe 9</w:t>
      </w:r>
      <w:r>
        <w:rPr>
          <w:rFonts w:ascii="Times New Roman" w:hAnsi="Times New Roman"/>
          <w:sz w:val="20"/>
          <w:szCs w:val="22"/>
        </w:rPr>
        <w:t>, mais qui satisfont aux critères du 2.2.9.1.10, doivent être affectées aux Nos ONU 3077 ou 3082, selon le cas. ».</w:t>
      </w:r>
    </w:p>
    <w:p w:rsidR="007B588D" w:rsidRDefault="007B588D" w:rsidP="00F354FF">
      <w:pPr>
        <w:pStyle w:val="HChG"/>
        <w:rPr>
          <w:sz w:val="22"/>
        </w:rPr>
      </w:pPr>
      <w:r>
        <w:rPr>
          <w:sz w:val="22"/>
        </w:rPr>
        <w:tab/>
      </w:r>
      <w:r>
        <w:rPr>
          <w:sz w:val="22"/>
        </w:rPr>
        <w:tab/>
      </w:r>
      <w:r>
        <w:t>Justification</w:t>
      </w:r>
    </w:p>
    <w:p w:rsidR="007B588D" w:rsidRDefault="00F354FF" w:rsidP="00F354FF">
      <w:pPr>
        <w:pStyle w:val="SingleTxtG"/>
        <w:rPr>
          <w:bCs/>
          <w:sz w:val="22"/>
        </w:rPr>
      </w:pPr>
      <w:r>
        <w:t>13.</w:t>
      </w:r>
      <w:r>
        <w:tab/>
      </w:r>
      <w:r w:rsidR="007B588D">
        <w:t>Dans l’exemple des matières transportées à chaud il devient clair que si elles remplissent les conditions de la rubrique No ONU 3257, on ne doit pas les transporter sous la rubrique du No ONU 3082. Ainsi les informations fournies par les panneaux orange et les plaques étiquettes correspondront au danger principal sans pour autant que le danger environnemental soit négligé car la marque du 5.2.1.8.3 doit également être présente selon le 5.3.6.1 si elles satisfont simultanément aux critères du 2.2.9.1.10.</w:t>
      </w:r>
    </w:p>
    <w:p w:rsidR="007B588D" w:rsidRDefault="007B588D" w:rsidP="007B588D">
      <w:pPr>
        <w:pStyle w:val="SingleTxtG"/>
        <w:spacing w:before="240" w:after="0"/>
        <w:ind w:left="709"/>
        <w:jc w:val="center"/>
        <w:rPr>
          <w:u w:val="single"/>
        </w:rPr>
      </w:pPr>
      <w:r>
        <w:rPr>
          <w:sz w:val="22"/>
          <w:szCs w:val="22"/>
          <w:u w:val="single"/>
        </w:rPr>
        <w:tab/>
      </w:r>
      <w:r>
        <w:rPr>
          <w:sz w:val="22"/>
          <w:szCs w:val="22"/>
          <w:u w:val="single"/>
        </w:rPr>
        <w:tab/>
      </w:r>
      <w:r>
        <w:rPr>
          <w:u w:val="single"/>
        </w:rPr>
        <w:tab/>
      </w:r>
    </w:p>
    <w:p w:rsidR="00C1626B" w:rsidRPr="007B588D" w:rsidRDefault="00C1626B" w:rsidP="00F06ED4"/>
    <w:sectPr w:rsidR="00C1626B" w:rsidRPr="007B588D" w:rsidSect="007B588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88D" w:rsidRDefault="007B588D" w:rsidP="00F95C08">
      <w:pPr>
        <w:spacing w:line="240" w:lineRule="auto"/>
      </w:pPr>
    </w:p>
  </w:endnote>
  <w:endnote w:type="continuationSeparator" w:id="0">
    <w:p w:rsidR="007B588D" w:rsidRPr="00AC3823" w:rsidRDefault="007B588D" w:rsidP="00AC3823">
      <w:pPr>
        <w:pStyle w:val="Footer"/>
      </w:pPr>
    </w:p>
  </w:endnote>
  <w:endnote w:type="continuationNotice" w:id="1">
    <w:p w:rsidR="007B588D" w:rsidRDefault="007B58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88D" w:rsidRPr="007B588D" w:rsidRDefault="007B588D" w:rsidP="007B588D">
    <w:pPr>
      <w:pStyle w:val="Footer"/>
      <w:tabs>
        <w:tab w:val="right" w:pos="9638"/>
      </w:tabs>
      <w:rPr>
        <w:sz w:val="18"/>
      </w:rPr>
    </w:pPr>
    <w:r w:rsidRPr="007B588D">
      <w:rPr>
        <w:b/>
        <w:sz w:val="18"/>
      </w:rPr>
      <w:fldChar w:fldCharType="begin"/>
    </w:r>
    <w:r w:rsidRPr="007B588D">
      <w:rPr>
        <w:b/>
        <w:sz w:val="18"/>
      </w:rPr>
      <w:instrText xml:space="preserve"> PAGE  \* MERGEFORMAT </w:instrText>
    </w:r>
    <w:r w:rsidRPr="007B588D">
      <w:rPr>
        <w:b/>
        <w:sz w:val="18"/>
      </w:rPr>
      <w:fldChar w:fldCharType="separate"/>
    </w:r>
    <w:r w:rsidRPr="007B588D">
      <w:rPr>
        <w:b/>
        <w:noProof/>
        <w:sz w:val="18"/>
      </w:rPr>
      <w:t>2</w:t>
    </w:r>
    <w:r w:rsidRPr="007B588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88D" w:rsidRPr="007B588D" w:rsidRDefault="007B588D" w:rsidP="007B588D">
    <w:pPr>
      <w:pStyle w:val="Footer"/>
      <w:tabs>
        <w:tab w:val="right" w:pos="9638"/>
      </w:tabs>
      <w:rPr>
        <w:b/>
        <w:sz w:val="18"/>
      </w:rPr>
    </w:pPr>
    <w:r>
      <w:tab/>
    </w:r>
    <w:r w:rsidRPr="007B588D">
      <w:rPr>
        <w:b/>
        <w:sz w:val="18"/>
      </w:rPr>
      <w:fldChar w:fldCharType="begin"/>
    </w:r>
    <w:r w:rsidRPr="007B588D">
      <w:rPr>
        <w:b/>
        <w:sz w:val="18"/>
      </w:rPr>
      <w:instrText xml:space="preserve"> PAGE  \* MERGEFORMAT </w:instrText>
    </w:r>
    <w:r w:rsidRPr="007B588D">
      <w:rPr>
        <w:b/>
        <w:sz w:val="18"/>
      </w:rPr>
      <w:fldChar w:fldCharType="separate"/>
    </w:r>
    <w:r w:rsidRPr="007B588D">
      <w:rPr>
        <w:b/>
        <w:noProof/>
        <w:sz w:val="18"/>
      </w:rPr>
      <w:t>3</w:t>
    </w:r>
    <w:r w:rsidRPr="007B58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7B588D"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88D" w:rsidRPr="00AC3823" w:rsidRDefault="007B588D" w:rsidP="00AC3823">
      <w:pPr>
        <w:pStyle w:val="Footer"/>
        <w:tabs>
          <w:tab w:val="right" w:pos="2155"/>
        </w:tabs>
        <w:spacing w:after="80" w:line="240" w:lineRule="atLeast"/>
        <w:ind w:left="680"/>
        <w:rPr>
          <w:u w:val="single"/>
        </w:rPr>
      </w:pPr>
      <w:r>
        <w:rPr>
          <w:u w:val="single"/>
        </w:rPr>
        <w:tab/>
      </w:r>
    </w:p>
  </w:footnote>
  <w:footnote w:type="continuationSeparator" w:id="0">
    <w:p w:rsidR="007B588D" w:rsidRPr="00AC3823" w:rsidRDefault="007B588D" w:rsidP="00AC3823">
      <w:pPr>
        <w:pStyle w:val="Footer"/>
        <w:tabs>
          <w:tab w:val="right" w:pos="2155"/>
        </w:tabs>
        <w:spacing w:after="80" w:line="240" w:lineRule="atLeast"/>
        <w:ind w:left="680"/>
        <w:rPr>
          <w:u w:val="single"/>
        </w:rPr>
      </w:pPr>
      <w:r>
        <w:rPr>
          <w:u w:val="single"/>
        </w:rPr>
        <w:tab/>
      </w:r>
    </w:p>
  </w:footnote>
  <w:footnote w:type="continuationNotice" w:id="1">
    <w:p w:rsidR="007B588D" w:rsidRPr="00AC3823" w:rsidRDefault="007B588D">
      <w:pPr>
        <w:spacing w:line="240" w:lineRule="auto"/>
        <w:rPr>
          <w:sz w:val="2"/>
          <w:szCs w:val="2"/>
        </w:rPr>
      </w:pPr>
    </w:p>
  </w:footnote>
  <w:footnote w:id="2">
    <w:p w:rsidR="007B588D" w:rsidRDefault="007B588D" w:rsidP="007B588D">
      <w:pPr>
        <w:pStyle w:val="FootnoteText"/>
      </w:pPr>
      <w:r>
        <w:rPr>
          <w:rStyle w:val="FootnoteReference"/>
        </w:rPr>
        <w:tab/>
      </w:r>
      <w:r>
        <w:rPr>
          <w:rStyle w:val="FootnoteReference"/>
          <w:sz w:val="20"/>
        </w:rPr>
        <w:t>*</w:t>
      </w:r>
      <w:r>
        <w:rPr>
          <w:rStyle w:val="FootnoteReference"/>
          <w:sz w:val="20"/>
        </w:rPr>
        <w:tab/>
      </w:r>
      <w:r>
        <w:t xml:space="preserve">Conformément au programme de travail du Comité des transports intérieurs pour la période </w:t>
      </w:r>
      <w:r>
        <w:rPr>
          <w:szCs w:val="18"/>
        </w:rPr>
        <w:t>2</w:t>
      </w:r>
      <w:r>
        <w:t>018</w:t>
      </w:r>
      <w:r>
        <w:noBreakHyphen/>
        <w:t>2019, (ECE/TRANS/2018/21/Add.1, module 9, 9.2))</w:t>
      </w:r>
    </w:p>
  </w:footnote>
  <w:footnote w:id="3">
    <w:p w:rsidR="007B588D" w:rsidRDefault="007B588D" w:rsidP="007B588D">
      <w:pPr>
        <w:pStyle w:val="FootnoteText"/>
      </w:pPr>
      <w:r>
        <w:rPr>
          <w:rStyle w:val="FootnoteReference"/>
        </w:rPr>
        <w:tab/>
      </w:r>
      <w:r>
        <w:rPr>
          <w:rStyle w:val="FootnoteReference"/>
          <w:sz w:val="20"/>
        </w:rPr>
        <w:t>**</w:t>
      </w:r>
      <w:r>
        <w:rPr>
          <w:rStyle w:val="FootnoteReference"/>
          <w:sz w:val="20"/>
        </w:rPr>
        <w:tab/>
      </w:r>
      <w:r>
        <w:t>Diffusée par l’Organisation intergouvernementale pour les transports internationaux ferroviaires sous la cote OTIF/RID/RC/2019/4</w:t>
      </w:r>
      <w:r w:rsidR="00F354FF">
        <w:t>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88D" w:rsidRPr="007B588D" w:rsidRDefault="000A05A3">
    <w:pPr>
      <w:pStyle w:val="Header"/>
    </w:pPr>
    <w:r>
      <w:fldChar w:fldCharType="begin"/>
    </w:r>
    <w:r>
      <w:instrText xml:space="preserve"> TITLE  \* MERGEFORMAT </w:instrText>
    </w:r>
    <w:r>
      <w:fldChar w:fldCharType="separate"/>
    </w:r>
    <w:r w:rsidR="007B588D">
      <w:t>ECE/TRANS/WP.15/AC.1/2019/47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88D" w:rsidRPr="007B588D" w:rsidRDefault="000A05A3" w:rsidP="007B588D">
    <w:pPr>
      <w:pStyle w:val="Header"/>
      <w:jc w:val="right"/>
    </w:pPr>
    <w:r>
      <w:fldChar w:fldCharType="begin"/>
    </w:r>
    <w:r>
      <w:instrText xml:space="preserve"> TITLE  \* MERGEFORMAT </w:instrText>
    </w:r>
    <w:r>
      <w:fldChar w:fldCharType="separate"/>
    </w:r>
    <w:r w:rsidR="007B588D">
      <w:t>ECE/TRANS/WP.15/AC.1/2019/47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0F1659F"/>
    <w:multiLevelType w:val="hybridMultilevel"/>
    <w:tmpl w:val="E2C42302"/>
    <w:lvl w:ilvl="0" w:tplc="5E241A94">
      <w:start w:val="1"/>
      <w:numFmt w:val="decimal"/>
      <w:lvlText w:val="%1."/>
      <w:lvlJc w:val="left"/>
      <w:pPr>
        <w:ind w:left="1710" w:hanging="576"/>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7B588D"/>
    <w:rsid w:val="0001207F"/>
    <w:rsid w:val="00017F94"/>
    <w:rsid w:val="00023842"/>
    <w:rsid w:val="000334F9"/>
    <w:rsid w:val="0004639C"/>
    <w:rsid w:val="0007796D"/>
    <w:rsid w:val="000942EE"/>
    <w:rsid w:val="000A05A3"/>
    <w:rsid w:val="000A52BF"/>
    <w:rsid w:val="000B7790"/>
    <w:rsid w:val="000D3EE9"/>
    <w:rsid w:val="000D62F3"/>
    <w:rsid w:val="00111F2F"/>
    <w:rsid w:val="001433FD"/>
    <w:rsid w:val="0014365E"/>
    <w:rsid w:val="001541D3"/>
    <w:rsid w:val="00156B77"/>
    <w:rsid w:val="00176178"/>
    <w:rsid w:val="00177140"/>
    <w:rsid w:val="001D400F"/>
    <w:rsid w:val="001F525A"/>
    <w:rsid w:val="00223272"/>
    <w:rsid w:val="00240333"/>
    <w:rsid w:val="0024779E"/>
    <w:rsid w:val="002832AC"/>
    <w:rsid w:val="002D7C93"/>
    <w:rsid w:val="0037241C"/>
    <w:rsid w:val="003819FF"/>
    <w:rsid w:val="00441C3B"/>
    <w:rsid w:val="00446B0A"/>
    <w:rsid w:val="00446FE5"/>
    <w:rsid w:val="00452396"/>
    <w:rsid w:val="00471288"/>
    <w:rsid w:val="0049687C"/>
    <w:rsid w:val="004E468C"/>
    <w:rsid w:val="005316B0"/>
    <w:rsid w:val="005505B7"/>
    <w:rsid w:val="00573BE5"/>
    <w:rsid w:val="00586ED3"/>
    <w:rsid w:val="00596AA9"/>
    <w:rsid w:val="005B4D0F"/>
    <w:rsid w:val="00703D0F"/>
    <w:rsid w:val="00706363"/>
    <w:rsid w:val="007158BB"/>
    <w:rsid w:val="0071601D"/>
    <w:rsid w:val="0075410D"/>
    <w:rsid w:val="007A62E6"/>
    <w:rsid w:val="007B588D"/>
    <w:rsid w:val="0080684C"/>
    <w:rsid w:val="008204DA"/>
    <w:rsid w:val="008535AD"/>
    <w:rsid w:val="00871C75"/>
    <w:rsid w:val="008767E8"/>
    <w:rsid w:val="008776DC"/>
    <w:rsid w:val="00883605"/>
    <w:rsid w:val="008E6043"/>
    <w:rsid w:val="00961E7B"/>
    <w:rsid w:val="009705C8"/>
    <w:rsid w:val="009C1CF4"/>
    <w:rsid w:val="009F02C9"/>
    <w:rsid w:val="00A30353"/>
    <w:rsid w:val="00A62D91"/>
    <w:rsid w:val="00A90D54"/>
    <w:rsid w:val="00AA113A"/>
    <w:rsid w:val="00AC3823"/>
    <w:rsid w:val="00AE323C"/>
    <w:rsid w:val="00AF774C"/>
    <w:rsid w:val="00B00181"/>
    <w:rsid w:val="00B00B0D"/>
    <w:rsid w:val="00B40927"/>
    <w:rsid w:val="00B50E25"/>
    <w:rsid w:val="00B64918"/>
    <w:rsid w:val="00B765F7"/>
    <w:rsid w:val="00BA0CA9"/>
    <w:rsid w:val="00C02897"/>
    <w:rsid w:val="00C1626B"/>
    <w:rsid w:val="00C66A47"/>
    <w:rsid w:val="00C7616F"/>
    <w:rsid w:val="00CB16B5"/>
    <w:rsid w:val="00CE0608"/>
    <w:rsid w:val="00D3439C"/>
    <w:rsid w:val="00D44CF3"/>
    <w:rsid w:val="00D46C8C"/>
    <w:rsid w:val="00DB1831"/>
    <w:rsid w:val="00DD3BFD"/>
    <w:rsid w:val="00DE239D"/>
    <w:rsid w:val="00DF431C"/>
    <w:rsid w:val="00DF6678"/>
    <w:rsid w:val="00E428C8"/>
    <w:rsid w:val="00EF2E22"/>
    <w:rsid w:val="00F0592C"/>
    <w:rsid w:val="00F06ED4"/>
    <w:rsid w:val="00F354FF"/>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0FDF9"/>
  <w15:docId w15:val="{80FBB189-6AD7-4F19-A302-5220D273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paragraph" w:styleId="BodyTextIndent">
    <w:name w:val="Body Text Indent"/>
    <w:basedOn w:val="Normal"/>
    <w:link w:val="BodyTextIndentChar"/>
    <w:rsid w:val="007B588D"/>
    <w:pPr>
      <w:tabs>
        <w:tab w:val="left" w:pos="720"/>
        <w:tab w:val="left" w:pos="1440"/>
        <w:tab w:val="left" w:pos="1985"/>
      </w:tabs>
      <w:suppressAutoHyphens w:val="0"/>
      <w:kinsoku/>
      <w:overflowPunct/>
      <w:autoSpaceDE/>
      <w:autoSpaceDN/>
      <w:adjustRightInd/>
      <w:snapToGrid/>
      <w:spacing w:line="240" w:lineRule="auto"/>
      <w:ind w:left="1985" w:hanging="1985"/>
      <w:jc w:val="both"/>
    </w:pPr>
    <w:rPr>
      <w:rFonts w:ascii="CG Times" w:hAnsi="CG Times"/>
      <w:sz w:val="22"/>
      <w:lang w:val="fr-FR" w:eastAsia="en-US"/>
    </w:rPr>
  </w:style>
  <w:style w:type="character" w:customStyle="1" w:styleId="BodyTextIndentChar">
    <w:name w:val="Body Text Indent Char"/>
    <w:basedOn w:val="DefaultParagraphFont"/>
    <w:link w:val="BodyTextIndent"/>
    <w:rsid w:val="007B588D"/>
    <w:rPr>
      <w:rFonts w:ascii="CG Times" w:hAnsi="CG Times"/>
      <w:sz w:val="22"/>
      <w:lang w:val="fr-FR" w:eastAsia="en-US"/>
    </w:rPr>
  </w:style>
  <w:style w:type="paragraph" w:styleId="ListParagraph">
    <w:name w:val="List Paragraph"/>
    <w:basedOn w:val="Normal"/>
    <w:uiPriority w:val="34"/>
    <w:qFormat/>
    <w:rsid w:val="007B588D"/>
    <w:pPr>
      <w:kinsoku/>
      <w:overflowPunct/>
      <w:autoSpaceDE/>
      <w:autoSpaceDN/>
      <w:adjustRightInd/>
      <w:snapToGrid/>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87360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8</TotalTime>
  <Pages>3</Pages>
  <Words>985</Words>
  <Characters>5549</Characters>
  <Application>Microsoft Office Word</Application>
  <DocSecurity>0</DocSecurity>
  <Lines>396</Lines>
  <Paragraphs>210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ECE/TRANS/WP.15/AC.1/2019/47</vt:lpstr>
      <vt:lpstr>ECE/EX/22</vt:lpstr>
    </vt:vector>
  </TitlesOfParts>
  <Company>DCM</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ECE/TRANS/WP.15/AC.1/2019/47</dc:title>
  <dc:subject>FINAL</dc:subject>
  <dc:creator>Christine Barrio-Champeau</dc:creator>
  <cp:keywords/>
  <dc:description/>
  <cp:lastModifiedBy>Christine Barrio-Champeau</cp:lastModifiedBy>
  <cp:revision>3</cp:revision>
  <cp:lastPrinted>2014-05-14T10:59:00Z</cp:lastPrinted>
  <dcterms:created xsi:type="dcterms:W3CDTF">2019-06-27T09:05:00Z</dcterms:created>
  <dcterms:modified xsi:type="dcterms:W3CDTF">2019-06-28T06:30:00Z</dcterms:modified>
</cp:coreProperties>
</file>