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D4E0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BD4E0F" w:rsidRDefault="002D5AAC" w:rsidP="002336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4E0F" w:rsidRDefault="00DF71B9" w:rsidP="00387CD4">
            <w:pPr>
              <w:spacing w:after="80" w:line="300" w:lineRule="exact"/>
              <w:rPr>
                <w:sz w:val="28"/>
              </w:rPr>
            </w:pPr>
            <w:r w:rsidRPr="00BD4E0F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4E0F" w:rsidRDefault="00233693" w:rsidP="00233693">
            <w:pPr>
              <w:jc w:val="right"/>
            </w:pPr>
            <w:r w:rsidRPr="00BD4E0F">
              <w:rPr>
                <w:sz w:val="40"/>
              </w:rPr>
              <w:t>ECE</w:t>
            </w:r>
            <w:r w:rsidRPr="00BD4E0F">
              <w:t>/TRANS/WP.15/AC.1/2019/44</w:t>
            </w:r>
          </w:p>
        </w:tc>
      </w:tr>
      <w:tr w:rsidR="002D5AAC" w:rsidRPr="00F3462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4E0F" w:rsidRDefault="002E5067" w:rsidP="00387CD4">
            <w:pPr>
              <w:spacing w:before="120"/>
              <w:jc w:val="center"/>
            </w:pPr>
            <w:r w:rsidRPr="00BD4E0F">
              <w:rPr>
                <w:noProof/>
                <w:lang w:val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BD4E0F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BD4E0F">
              <w:rPr>
                <w:rFonts w:eastAsia="Times New Roman" w:cs="Times New Roman"/>
                <w:b/>
                <w:sz w:val="40"/>
                <w:szCs w:val="40"/>
              </w:rPr>
              <w:t xml:space="preserve">Экономический </w:t>
            </w:r>
            <w:r w:rsidRPr="00BD4E0F">
              <w:rPr>
                <w:rFonts w:eastAsia="Times New Roman" w:cs="Times New Roman"/>
                <w:b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D4E0F" w:rsidRDefault="00233693" w:rsidP="00387CD4">
            <w:pPr>
              <w:spacing w:before="240"/>
              <w:rPr>
                <w:lang w:val="en-US"/>
              </w:rPr>
            </w:pPr>
            <w:r w:rsidRPr="00BD4E0F">
              <w:rPr>
                <w:lang w:val="en-US"/>
              </w:rPr>
              <w:t>Distr.: General</w:t>
            </w:r>
          </w:p>
          <w:p w:rsidR="00233693" w:rsidRPr="00BD4E0F" w:rsidRDefault="00233693" w:rsidP="00233693">
            <w:pPr>
              <w:spacing w:line="240" w:lineRule="exact"/>
              <w:rPr>
                <w:lang w:val="en-US"/>
              </w:rPr>
            </w:pPr>
            <w:r w:rsidRPr="00BD4E0F">
              <w:rPr>
                <w:lang w:val="en-US"/>
              </w:rPr>
              <w:t>26 June 2019</w:t>
            </w:r>
          </w:p>
          <w:p w:rsidR="00233693" w:rsidRPr="00BD4E0F" w:rsidRDefault="00233693" w:rsidP="00233693">
            <w:pPr>
              <w:spacing w:line="240" w:lineRule="exact"/>
              <w:rPr>
                <w:lang w:val="en-US"/>
              </w:rPr>
            </w:pPr>
            <w:r w:rsidRPr="00BD4E0F">
              <w:rPr>
                <w:lang w:val="en-US"/>
              </w:rPr>
              <w:t>Russian</w:t>
            </w:r>
          </w:p>
          <w:p w:rsidR="00233693" w:rsidRPr="00BD4E0F" w:rsidRDefault="00233693" w:rsidP="00233693">
            <w:pPr>
              <w:spacing w:line="240" w:lineRule="exact"/>
              <w:rPr>
                <w:lang w:val="en-US"/>
              </w:rPr>
            </w:pPr>
            <w:r w:rsidRPr="00BD4E0F">
              <w:rPr>
                <w:lang w:val="en-US"/>
              </w:rPr>
              <w:t>Original: English</w:t>
            </w:r>
            <w:bookmarkStart w:id="0" w:name="_GoBack"/>
            <w:bookmarkEnd w:id="0"/>
          </w:p>
        </w:tc>
      </w:tr>
    </w:tbl>
    <w:p w:rsidR="00233693" w:rsidRPr="00BD4E0F" w:rsidRDefault="00233693" w:rsidP="00233693">
      <w:pPr>
        <w:spacing w:before="120"/>
        <w:rPr>
          <w:b/>
          <w:sz w:val="28"/>
          <w:szCs w:val="28"/>
        </w:rPr>
      </w:pPr>
      <w:r w:rsidRPr="00BD4E0F">
        <w:rPr>
          <w:b/>
          <w:bCs/>
          <w:sz w:val="28"/>
          <w:szCs w:val="28"/>
        </w:rPr>
        <w:t>Европейская экономическая комиссия</w:t>
      </w:r>
    </w:p>
    <w:p w:rsidR="00233693" w:rsidRPr="00BD4E0F" w:rsidRDefault="00233693" w:rsidP="00233693">
      <w:pPr>
        <w:spacing w:before="120"/>
        <w:rPr>
          <w:sz w:val="28"/>
          <w:szCs w:val="28"/>
        </w:rPr>
      </w:pPr>
      <w:r w:rsidRPr="00BD4E0F">
        <w:rPr>
          <w:sz w:val="28"/>
          <w:szCs w:val="28"/>
        </w:rPr>
        <w:t>Комитет по внутреннему транспорту</w:t>
      </w:r>
    </w:p>
    <w:p w:rsidR="00233693" w:rsidRPr="00BD4E0F" w:rsidRDefault="00233693" w:rsidP="00233693">
      <w:pPr>
        <w:spacing w:before="120"/>
        <w:rPr>
          <w:b/>
          <w:sz w:val="24"/>
          <w:szCs w:val="24"/>
        </w:rPr>
      </w:pPr>
      <w:r w:rsidRPr="00BD4E0F">
        <w:rPr>
          <w:b/>
          <w:sz w:val="24"/>
          <w:szCs w:val="24"/>
        </w:rPr>
        <w:t>Рабочая группа по перевозкам опасных грузов</w:t>
      </w:r>
    </w:p>
    <w:p w:rsidR="00233693" w:rsidRPr="00BD4E0F" w:rsidRDefault="00233693" w:rsidP="00233693">
      <w:pPr>
        <w:spacing w:before="120"/>
        <w:rPr>
          <w:b/>
        </w:rPr>
      </w:pPr>
      <w:r w:rsidRPr="00BD4E0F">
        <w:rPr>
          <w:b/>
          <w:bCs/>
        </w:rPr>
        <w:t>Совместное со</w:t>
      </w:r>
      <w:r w:rsidR="007E4259" w:rsidRPr="00BD4E0F">
        <w:rPr>
          <w:b/>
          <w:bCs/>
        </w:rPr>
        <w:t>вещание Комиссии экспертов МПОГ</w:t>
      </w:r>
      <w:r w:rsidRPr="00BD4E0F">
        <w:rPr>
          <w:b/>
          <w:bCs/>
        </w:rPr>
        <w:br/>
        <w:t>и Рабочей группы по перевозкам опасных грузов</w:t>
      </w:r>
    </w:p>
    <w:p w:rsidR="00233693" w:rsidRPr="00BD4E0F" w:rsidRDefault="00233693" w:rsidP="00F34621">
      <w:pPr>
        <w:spacing w:line="276" w:lineRule="auto"/>
      </w:pPr>
      <w:r w:rsidRPr="00BD4E0F">
        <w:t>Женева, 17−27 сентября 2019 года</w:t>
      </w:r>
    </w:p>
    <w:p w:rsidR="00233693" w:rsidRPr="00BD4E0F" w:rsidRDefault="00233693" w:rsidP="00233693">
      <w:pPr>
        <w:spacing w:line="276" w:lineRule="auto"/>
      </w:pPr>
      <w:r w:rsidRPr="00BD4E0F">
        <w:t>Пункт 7 предварительной повестки дня</w:t>
      </w:r>
    </w:p>
    <w:p w:rsidR="00233693" w:rsidRPr="00BD4E0F" w:rsidRDefault="00233693" w:rsidP="00233693">
      <w:pPr>
        <w:spacing w:line="276" w:lineRule="auto"/>
        <w:rPr>
          <w:b/>
          <w:bCs/>
        </w:rPr>
      </w:pPr>
      <w:r w:rsidRPr="00BD4E0F">
        <w:rPr>
          <w:b/>
          <w:bCs/>
        </w:rPr>
        <w:t>Доклады неофициальных рабочих групп</w:t>
      </w:r>
    </w:p>
    <w:p w:rsidR="00233693" w:rsidRPr="00BD4E0F" w:rsidRDefault="00233693" w:rsidP="00233693">
      <w:pPr>
        <w:pStyle w:val="HChG"/>
      </w:pPr>
      <w:r w:rsidRPr="00BD4E0F">
        <w:tab/>
      </w:r>
      <w:r w:rsidRPr="00BD4E0F">
        <w:tab/>
      </w:r>
      <w:r w:rsidRPr="00BD4E0F">
        <w:rPr>
          <w:bCs/>
        </w:rPr>
        <w:t>Неофициальная рабочая группа по телематике: руководящие положения, касающиеся применения пункта</w:t>
      </w:r>
      <w:r w:rsidRPr="00BD4E0F">
        <w:t xml:space="preserve"> </w:t>
      </w:r>
      <w:r w:rsidRPr="00BD4E0F">
        <w:rPr>
          <w:bCs/>
        </w:rPr>
        <w:t>5.4.0.2 МПОГ/ДОПОГ/ВОПОГ, согласованные на</w:t>
      </w:r>
      <w:r w:rsidRPr="00BD4E0F">
        <w:rPr>
          <w:bCs/>
          <w:lang w:val="en-US"/>
        </w:rPr>
        <w:t> </w:t>
      </w:r>
      <w:r w:rsidRPr="00BD4E0F">
        <w:rPr>
          <w:bCs/>
        </w:rPr>
        <w:t>совещании в Тегернзе (6 и 7 июня 2019 года)</w:t>
      </w:r>
    </w:p>
    <w:p w:rsidR="00233693" w:rsidRPr="00BD4E0F" w:rsidRDefault="00233693" w:rsidP="00233693">
      <w:pPr>
        <w:pStyle w:val="H1G"/>
        <w:rPr>
          <w:b w:val="0"/>
        </w:rPr>
      </w:pPr>
      <w:r w:rsidRPr="00BD4E0F">
        <w:tab/>
      </w:r>
      <w:r w:rsidRPr="00BD4E0F">
        <w:tab/>
        <w:t>Передано правительством Германии от имени неофициальной рабочей группы по телематике</w:t>
      </w:r>
      <w:r w:rsidRPr="00BD4E0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D4E0F">
        <w:rPr>
          <w:b w:val="0"/>
        </w:rPr>
        <w:t xml:space="preserve"> </w:t>
      </w:r>
      <w:r w:rsidRPr="00BD4E0F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BD4E0F">
        <w:rPr>
          <w:b w:val="0"/>
        </w:rPr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233693" w:rsidRPr="00BD4E0F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233693" w:rsidRPr="00BD4E0F" w:rsidRDefault="0023369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D4E0F">
              <w:rPr>
                <w:rFonts w:cs="Times New Roman"/>
              </w:rPr>
              <w:tab/>
            </w:r>
            <w:r w:rsidRPr="00BD4E0F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33693" w:rsidRPr="00BD4E0F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3693" w:rsidRPr="00BD4E0F" w:rsidRDefault="00233693" w:rsidP="00D6488B">
            <w:pPr>
              <w:pStyle w:val="SingleTxtG"/>
            </w:pPr>
            <w:r w:rsidRPr="00BD4E0F">
              <w:rPr>
                <w:b/>
                <w:bCs/>
              </w:rPr>
              <w:t>Существо предложения:</w:t>
            </w:r>
            <w:r w:rsidRPr="00BD4E0F">
              <w:tab/>
            </w:r>
            <w:r w:rsidRPr="00BD4E0F">
              <w:tab/>
              <w:t>Информация для Совместного совещания о ходе</w:t>
            </w:r>
            <w:r w:rsidRPr="00BD4E0F">
              <w:br/>
            </w:r>
            <w:r w:rsidRPr="00BD4E0F">
              <w:tab/>
            </w:r>
            <w:r w:rsidRPr="00BD4E0F">
              <w:tab/>
            </w:r>
            <w:r w:rsidRPr="00BD4E0F">
              <w:tab/>
            </w:r>
            <w:r w:rsidRPr="00BD4E0F">
              <w:tab/>
            </w:r>
            <w:r w:rsidRPr="00BD4E0F">
              <w:tab/>
            </w:r>
            <w:r w:rsidRPr="00BD4E0F">
              <w:tab/>
              <w:t>работы по теме «телематика».</w:t>
            </w:r>
          </w:p>
          <w:p w:rsidR="00233693" w:rsidRPr="00BD4E0F" w:rsidRDefault="00233693" w:rsidP="00233693">
            <w:pPr>
              <w:pStyle w:val="SingleTxtG"/>
              <w:ind w:left="1700" w:right="1138" w:hanging="562"/>
            </w:pPr>
            <w:r w:rsidRPr="00BD4E0F">
              <w:t>–</w:t>
            </w:r>
            <w:r w:rsidRPr="00BD4E0F">
              <w:tab/>
              <w:t xml:space="preserve">Как указано в пункте 58 доклада о работе последней сессии Совместного </w:t>
            </w:r>
            <w:r w:rsidRPr="00F34621">
              <w:rPr>
                <w:spacing w:val="-4"/>
              </w:rPr>
              <w:t xml:space="preserve">совещания (OTIF/RID/RC/2019-A (ECE/TRANS/WP.15/AC.1/154)), неофициальная </w:t>
            </w:r>
            <w:r w:rsidRPr="00BD4E0F">
              <w:t>рабочая группа провела совещание 6 и 7 июня 2019 года в Тегернзе.</w:t>
            </w:r>
          </w:p>
          <w:p w:rsidR="00233693" w:rsidRPr="00BD4E0F" w:rsidRDefault="00233693" w:rsidP="00233693">
            <w:pPr>
              <w:pStyle w:val="SingleTxtG"/>
              <w:ind w:left="1700" w:right="1138" w:hanging="562"/>
            </w:pPr>
            <w:r w:rsidRPr="00BD4E0F">
              <w:t>–</w:t>
            </w:r>
            <w:r w:rsidRPr="00BD4E0F">
              <w:tab/>
              <w:t>Неофициальная рабочая группа завершила работу над проектом текста руководящих положений, касающихся применения пункта 5.4.0.2 МПОГ/ДОПОГ/ВОПОГ, с учетом замечаний, полученных в ходе последней сессии Совместного совещания.</w:t>
            </w:r>
          </w:p>
          <w:p w:rsidR="00233693" w:rsidRPr="00BD4E0F" w:rsidRDefault="00233693" w:rsidP="003666C7">
            <w:pPr>
              <w:pStyle w:val="SingleTxtG"/>
              <w:spacing w:after="0"/>
              <w:ind w:left="1700" w:right="1138" w:hanging="562"/>
            </w:pPr>
            <w:r w:rsidRPr="00BD4E0F">
              <w:t>–</w:t>
            </w:r>
            <w:r w:rsidRPr="00BD4E0F">
              <w:tab/>
              <w:t>Было принято решение о том, что текст руководящих положений должен быть представлен в качестве официального документа на осенней сессии 2019 года. Доклад рабочей группы будет в дальнейшем представлен в виде неофициального документа.</w:t>
            </w:r>
          </w:p>
        </w:tc>
      </w:tr>
      <w:tr w:rsidR="00233693" w:rsidRPr="00BD4E0F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33693" w:rsidRPr="00BD4E0F" w:rsidRDefault="00233693" w:rsidP="00850215">
            <w:pPr>
              <w:rPr>
                <w:rFonts w:cs="Times New Roman"/>
              </w:rPr>
            </w:pPr>
          </w:p>
        </w:tc>
      </w:tr>
    </w:tbl>
    <w:p w:rsidR="00233693" w:rsidRPr="00BD4E0F" w:rsidRDefault="00233693" w:rsidP="00233693">
      <w:pPr>
        <w:pStyle w:val="HChG"/>
      </w:pPr>
      <w:r w:rsidRPr="00BD4E0F">
        <w:lastRenderedPageBreak/>
        <w:tab/>
      </w:r>
      <w:r w:rsidRPr="00BD4E0F">
        <w:tab/>
      </w:r>
      <w:r w:rsidRPr="00BD4E0F">
        <w:rPr>
          <w:bCs/>
        </w:rPr>
        <w:t>Руководящие положения, касающиеся применения пункта</w:t>
      </w:r>
      <w:r w:rsidRPr="00BD4E0F">
        <w:t xml:space="preserve"> </w:t>
      </w:r>
      <w:r w:rsidRPr="00BD4E0F">
        <w:rPr>
          <w:bCs/>
        </w:rPr>
        <w:t>5.4.0.2</w:t>
      </w:r>
      <w:r w:rsidRPr="00BD4E0F">
        <w:t xml:space="preserve"> </w:t>
      </w:r>
      <w:r w:rsidRPr="00BD4E0F">
        <w:rPr>
          <w:bCs/>
        </w:rPr>
        <w:t>МПОГ/ДОПОГ/ВОПОГ</w:t>
      </w:r>
    </w:p>
    <w:p w:rsidR="00233693" w:rsidRPr="00BD4E0F" w:rsidRDefault="00233693" w:rsidP="00233693">
      <w:pPr>
        <w:pStyle w:val="HChG"/>
      </w:pPr>
      <w:r w:rsidRPr="00BD4E0F">
        <w:tab/>
      </w:r>
      <w:r w:rsidRPr="00BD4E0F">
        <w:tab/>
      </w:r>
      <w:r w:rsidRPr="00BD4E0F">
        <w:rPr>
          <w:bCs/>
        </w:rPr>
        <w:t>Введение</w:t>
      </w:r>
    </w:p>
    <w:p w:rsidR="00233693" w:rsidRPr="00BD4E0F" w:rsidRDefault="00233693" w:rsidP="00233693">
      <w:pPr>
        <w:pStyle w:val="SingleTxtG"/>
      </w:pPr>
      <w:r w:rsidRPr="00BD4E0F">
        <w:t>1.</w:t>
      </w:r>
      <w:r w:rsidRPr="00BD4E0F">
        <w:tab/>
        <w:t>В пункте 5.4.0.2 МПОГ/ДОПОГ/ВОПОГ разрешается электронный обмен данными для выполнения требований главы 5.4 в отношении документации при условии, что процедуры, используемые для сбора, хранения и обработки электронных данных, по крайней мере в той же степени, что и документация, выполненная на бумаге, удовлетворяют юридическим требованиям в отношении доказательной ценности и наличия данных в ходе перевозки.</w:t>
      </w:r>
    </w:p>
    <w:p w:rsidR="00233693" w:rsidRPr="00BD4E0F" w:rsidRDefault="00233693" w:rsidP="00233693">
      <w:pPr>
        <w:pStyle w:val="SingleTxtG"/>
      </w:pPr>
      <w:r w:rsidRPr="00BD4E0F">
        <w:t>2.</w:t>
      </w:r>
      <w:r w:rsidRPr="00BD4E0F">
        <w:tab/>
        <w:t>Однако дополнительного определения степени этого соответствия в МПОГ/ДОПОГ/ВОПОГ не указывается. Для достижения цели обеспечения наличия данных, безопасности и доказательной ценности необходимо внедрить веб-сервисы, интерфейсы и коммуникационную архитектуру, поддерживающие обмен данными.</w:t>
      </w:r>
    </w:p>
    <w:p w:rsidR="00233693" w:rsidRPr="00BD4E0F" w:rsidRDefault="00233693" w:rsidP="00233693">
      <w:pPr>
        <w:pStyle w:val="SingleTxtG"/>
      </w:pPr>
      <w:r w:rsidRPr="00BD4E0F">
        <w:t>3.</w:t>
      </w:r>
      <w:r w:rsidRPr="00BD4E0F">
        <w:tab/>
        <w:t>Настоящие Руководящие положения основаны на результатах деятельности рабочей группы по телематике, утвержденных Совместным совещанием, однако не все Договаривающиеся стороны ДОПОГ и/или ВОПОГ и/или Договаривающиеся государства МПОГ начали осуществлять настоящие Руководящие положения. Договаривающиеся стороны ДОПОГ и/или ВОПОГ и/или Договаривающиеся государства МПОГ, желающие использовать настоящие Руководящие положения, могут делать это на добровольной основе. Однако, взяв на себя обязательство использовать их, Договаривающаяся сторона/Договаривающееся государство должны быть последовательными и использовать их в полном объеме.</w:t>
      </w:r>
    </w:p>
    <w:p w:rsidR="00233693" w:rsidRPr="00BD4E0F" w:rsidRDefault="00233693" w:rsidP="00233693">
      <w:pPr>
        <w:pStyle w:val="HChG"/>
      </w:pPr>
      <w:r w:rsidRPr="00BD4E0F">
        <w:tab/>
      </w:r>
      <w:r w:rsidRPr="00BD4E0F">
        <w:tab/>
      </w:r>
      <w:r w:rsidRPr="00BD4E0F">
        <w:rPr>
          <w:bCs/>
        </w:rPr>
        <w:t>Раздел 1 – Сфера применения и определения</w:t>
      </w:r>
    </w:p>
    <w:p w:rsidR="00233693" w:rsidRPr="00BD4E0F" w:rsidRDefault="00233693" w:rsidP="00233693">
      <w:pPr>
        <w:pStyle w:val="SingleTxtG"/>
      </w:pPr>
      <w:r w:rsidRPr="00BD4E0F">
        <w:t>4.</w:t>
      </w:r>
      <w:r w:rsidRPr="00BD4E0F">
        <w:tab/>
        <w:t>Положения пункта 5.4.0.2 МПОГ/ДОПОГ/ВОПОГ считаются выполненными в случае соблюдения условий, изложенных в приложениях. Для целей настоящих Руководящих положений электронный транспортный документ представляет собой электронную документацию с изложением информации, указываемой в транспортном документе в соответствии с разделом 5.4.1 МПОГ/ДОПОГ/ВОПОГ.</w:t>
      </w:r>
    </w:p>
    <w:p w:rsidR="00233693" w:rsidRPr="00BD4E0F" w:rsidRDefault="00233693" w:rsidP="00233693">
      <w:pPr>
        <w:pStyle w:val="SingleTxtG"/>
      </w:pPr>
      <w:r w:rsidRPr="00BD4E0F">
        <w:t>5.</w:t>
      </w:r>
      <w:r w:rsidRPr="00BD4E0F">
        <w:tab/>
        <w:t>Договаривающиеся стороны ДОПОГ и/или ВОПОГ и/или Договаривающиеся государства МПОГ, использующие настоящие Руководящие положения, далее именуются «участниками».</w:t>
      </w:r>
    </w:p>
    <w:p w:rsidR="00233693" w:rsidRPr="00BD4E0F" w:rsidRDefault="00233693" w:rsidP="00233693">
      <w:pPr>
        <w:pStyle w:val="SingleTxtG"/>
      </w:pPr>
      <w:r w:rsidRPr="00BD4E0F">
        <w:t>6.</w:t>
      </w:r>
      <w:r w:rsidRPr="00BD4E0F">
        <w:tab/>
        <w:t>Участники принимают решение о том, что они будут применять модель и системную архитектуру, изложенные в приложении А и в технической документации.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>7.</w:t>
      </w:r>
      <w:r w:rsidRPr="00BD4E0F">
        <w:tab/>
        <w:t>Необходимо принимать во внимание следующее:</w:t>
      </w:r>
    </w:p>
    <w:p w:rsidR="00233693" w:rsidRPr="00BD4E0F" w:rsidRDefault="00233693" w:rsidP="00233693">
      <w:pPr>
        <w:pStyle w:val="SingleTxtG"/>
      </w:pPr>
      <w:r w:rsidRPr="00BD4E0F">
        <w:tab/>
      </w:r>
      <w:r w:rsidRPr="00BD4E0F">
        <w:tab/>
        <w:t>а)</w:t>
      </w:r>
      <w:r w:rsidRPr="00BD4E0F">
        <w:tab/>
        <w:t>системная архитектура, изложенная в приложении A, основана на концепции двух видов сервисных систем, которые называются «доверенная сторона</w:t>
      </w:r>
      <w:r w:rsidR="00F379DD">
        <w:t> </w:t>
      </w:r>
      <w:r w:rsidRPr="00BD4E0F">
        <w:t>1» (ДС1) и «доверенная сторона 2» (ДС2). Эта модель предусматривает несколько ДС1 и ДС2;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b)</w:t>
      </w:r>
      <w:r w:rsidRPr="00BD4E0F">
        <w:tab/>
        <w:t>ДС2 хранит данные, требуемые в соответствии с разделом 5.4.1 МПОГ/ДОПОГ/ВОПОГ. ДС2 может управляться перевозчиком или третьей стороной – поставщиком услуг перевозчику;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с)</w:t>
      </w:r>
      <w:r w:rsidRPr="00BD4E0F">
        <w:tab/>
        <w:t>ДС1 по запросу предоставляет услуги для обмена этими данными, полученными от ДС2, с органами власти и аварийно-спасательными службами;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d)</w:t>
      </w:r>
      <w:r w:rsidRPr="00BD4E0F">
        <w:tab/>
        <w:t>кроме того, по запросу ДС1 передает данные, полученные от ДС2, другим ДС1;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e)</w:t>
      </w:r>
      <w:r w:rsidRPr="00BD4E0F">
        <w:tab/>
        <w:t xml:space="preserve">«Информация о перевозке </w:t>
      </w:r>
      <w:proofErr w:type="spellStart"/>
      <w:r w:rsidRPr="00BD4E0F">
        <w:t>eDG</w:t>
      </w:r>
      <w:proofErr w:type="spellEnd"/>
      <w:r w:rsidRPr="00BD4E0F">
        <w:t xml:space="preserve">» – это сокращение, означающее технические элементы, которые представляют собой описание формата обмена на </w:t>
      </w:r>
      <w:r w:rsidRPr="00BD4E0F">
        <w:lastRenderedPageBreak/>
        <w:t>основе модели унифицированного языка моделирования (UML), определения расширенной схемы языка разметки (XSD), языка описания веб-услуг (WSDL).</w:t>
      </w:r>
    </w:p>
    <w:p w:rsidR="00233693" w:rsidRPr="00BD4E0F" w:rsidRDefault="00233693" w:rsidP="00233693">
      <w:pPr>
        <w:pStyle w:val="HChG"/>
      </w:pPr>
      <w:r w:rsidRPr="00BD4E0F">
        <w:tab/>
      </w:r>
      <w:r w:rsidRPr="00BD4E0F">
        <w:tab/>
      </w:r>
      <w:r w:rsidRPr="00BD4E0F">
        <w:rPr>
          <w:bCs/>
        </w:rPr>
        <w:t>Раздел 2 – Обязанности участников</w:t>
      </w:r>
    </w:p>
    <w:p w:rsidR="00233693" w:rsidRPr="00BD4E0F" w:rsidRDefault="00233693" w:rsidP="00233693">
      <w:pPr>
        <w:pStyle w:val="SingleTxtG"/>
      </w:pPr>
      <w:r w:rsidRPr="00BD4E0F">
        <w:t>8.</w:t>
      </w:r>
      <w:r w:rsidRPr="00BD4E0F">
        <w:tab/>
        <w:t>Участник уведомляет секретариат ЕЭК ООН/ОТИФ о том, что он использует настоящие Руководящие положения. Он также уведомляет ДС1 (если таковые имеются), назначенные в соответствии с приложением А.</w:t>
      </w:r>
    </w:p>
    <w:p w:rsidR="00233693" w:rsidRPr="00BD4E0F" w:rsidRDefault="00233693" w:rsidP="00233693">
      <w:pPr>
        <w:pStyle w:val="SingleTxtG"/>
      </w:pPr>
      <w:r w:rsidRPr="00BD4E0F">
        <w:t>9.</w:t>
      </w:r>
      <w:r w:rsidRPr="00BD4E0F">
        <w:tab/>
        <w:t>Участники принимают электронную информацию о перевозке в соответствии с настоящими Руководящими положениями и приложением А к ним.</w:t>
      </w:r>
    </w:p>
    <w:p w:rsidR="00233693" w:rsidRPr="00BD4E0F" w:rsidRDefault="00233693" w:rsidP="00233693">
      <w:pPr>
        <w:pStyle w:val="HChG"/>
        <w:rPr>
          <w:i/>
          <w:iCs/>
        </w:rPr>
      </w:pPr>
      <w:r w:rsidRPr="00BD4E0F">
        <w:tab/>
      </w:r>
      <w:r w:rsidRPr="00BD4E0F">
        <w:tab/>
      </w:r>
      <w:r w:rsidRPr="00BD4E0F">
        <w:rPr>
          <w:bCs/>
        </w:rPr>
        <w:t>Раздел 3 – Публикация Руководящих положений и</w:t>
      </w:r>
      <w:r w:rsidR="00F379DD">
        <w:rPr>
          <w:bCs/>
        </w:rPr>
        <w:t> </w:t>
      </w:r>
      <w:r w:rsidRPr="00BD4E0F">
        <w:rPr>
          <w:bCs/>
        </w:rPr>
        <w:t>списка участников</w:t>
      </w:r>
    </w:p>
    <w:p w:rsidR="00233693" w:rsidRPr="00BD4E0F" w:rsidRDefault="00233693" w:rsidP="00233693">
      <w:pPr>
        <w:pStyle w:val="SingleTxtG"/>
      </w:pPr>
      <w:r w:rsidRPr="00BD4E0F">
        <w:t>10.</w:t>
      </w:r>
      <w:r w:rsidRPr="00BD4E0F">
        <w:tab/>
        <w:t>ЕЭК ООН и ОТИФ опубликуют список участников и ДС1, уведомленных участниками.</w:t>
      </w:r>
      <w:bookmarkStart w:id="1" w:name="_GoBack11"/>
      <w:bookmarkEnd w:id="1"/>
    </w:p>
    <w:p w:rsidR="00233693" w:rsidRPr="00BD4E0F" w:rsidRDefault="00233693" w:rsidP="00233693">
      <w:pPr>
        <w:pStyle w:val="SingleTxtG"/>
      </w:pPr>
      <w:r w:rsidRPr="00BD4E0F">
        <w:t>11.</w:t>
      </w:r>
      <w:r w:rsidRPr="00BD4E0F">
        <w:tab/>
        <w:t xml:space="preserve">Руководящие положения будут размещены на веб-сайтах ЕЭК ООН и ОТИФ, равно как и справочные файлы UML, XSD и WSDL под названием «Информация о перевозке </w:t>
      </w:r>
      <w:proofErr w:type="spellStart"/>
      <w:r w:rsidRPr="00BD4E0F">
        <w:t>eDG</w:t>
      </w:r>
      <w:proofErr w:type="spellEnd"/>
      <w:r w:rsidRPr="00BD4E0F">
        <w:t>».</w:t>
      </w:r>
    </w:p>
    <w:p w:rsidR="00233693" w:rsidRPr="00BD4E0F" w:rsidRDefault="00233693" w:rsidP="00233693">
      <w:pPr>
        <w:pStyle w:val="HChG"/>
        <w:rPr>
          <w:u w:val="single"/>
        </w:rPr>
      </w:pPr>
      <w:r w:rsidRPr="00BD4E0F">
        <w:tab/>
      </w:r>
      <w:r w:rsidRPr="00BD4E0F">
        <w:tab/>
      </w:r>
      <w:r w:rsidRPr="00BD4E0F">
        <w:rPr>
          <w:bCs/>
        </w:rPr>
        <w:t>Раздел 4 – Безопасность данных и техническое обслуживание</w:t>
      </w:r>
    </w:p>
    <w:p w:rsidR="00233693" w:rsidRPr="00BD4E0F" w:rsidRDefault="00233693" w:rsidP="00233693">
      <w:pPr>
        <w:pStyle w:val="SingleTxtG"/>
      </w:pPr>
      <w:r w:rsidRPr="00BD4E0F">
        <w:t>12.</w:t>
      </w:r>
      <w:r w:rsidRPr="00BD4E0F">
        <w:tab/>
        <w:t>ДС1 должны принимать соответствующие технические и организационные меры для обеспечения безопасности данных. Они не должны использовать конфиденциальные данные в иных целях (например, неправомерное использование путем глубинного анализа данных), кроме описанных в настоящих Руководящих положениях.</w:t>
      </w:r>
    </w:p>
    <w:p w:rsidR="00233693" w:rsidRPr="00BD4E0F" w:rsidRDefault="00233693" w:rsidP="00233693">
      <w:pPr>
        <w:pStyle w:val="SingleTxtG"/>
      </w:pPr>
      <w:r w:rsidRPr="00BD4E0F">
        <w:t>13.</w:t>
      </w:r>
      <w:r w:rsidRPr="00BD4E0F">
        <w:tab/>
        <w:t>ДС1 несут ответственность за повседневное обслуживание и ведение системы и сотрудничают в рамках технической рабочей группы, которая будет оказывать им поддержку в этой работе. Обслуживание включает также технические обновления, связанные с поправками к МПОГ/ДОПОГ/ВОПОГ.</w:t>
      </w:r>
    </w:p>
    <w:p w:rsidR="00233693" w:rsidRPr="00BD4E0F" w:rsidRDefault="00233693" w:rsidP="00233693">
      <w:pPr>
        <w:pStyle w:val="SingleTxtG"/>
        <w:rPr>
          <w:u w:val="single"/>
        </w:rPr>
      </w:pPr>
      <w:proofErr w:type="gramStart"/>
      <w:r w:rsidRPr="00BD4E0F">
        <w:t>14.</w:t>
      </w:r>
      <w:r w:rsidRPr="00BD4E0F">
        <w:tab/>
        <w:t>В</w:t>
      </w:r>
      <w:proofErr w:type="gramEnd"/>
      <w:r w:rsidRPr="00BD4E0F">
        <w:t xml:space="preserve"> случае серьезных проблем в плане коммуникации любые технические изменения «Информации о перевозке </w:t>
      </w:r>
      <w:proofErr w:type="spellStart"/>
      <w:r w:rsidRPr="00BD4E0F">
        <w:t>eDG</w:t>
      </w:r>
      <w:proofErr w:type="spellEnd"/>
      <w:r w:rsidRPr="00BD4E0F">
        <w:t>» (ограниченные справочными файлами UML, XSD, WSDL), которые необходимы для функционирования системы и согласованы технической рабочей группой, принимаются немедленно.</w:t>
      </w:r>
    </w:p>
    <w:p w:rsidR="00233693" w:rsidRPr="00BD4E0F" w:rsidRDefault="00233693" w:rsidP="00233693">
      <w:pPr>
        <w:pStyle w:val="SingleTxtG"/>
      </w:pPr>
      <w:r w:rsidRPr="00BD4E0F">
        <w:t>15.</w:t>
      </w:r>
      <w:r w:rsidRPr="00BD4E0F">
        <w:tab/>
        <w:t xml:space="preserve">Техническая рабочая группа должна информировать все ДС1 об обновлении «Информации о перевозке </w:t>
      </w:r>
      <w:proofErr w:type="spellStart"/>
      <w:r w:rsidRPr="00BD4E0F">
        <w:t>eDG</w:t>
      </w:r>
      <w:proofErr w:type="spellEnd"/>
      <w:r w:rsidRPr="00BD4E0F">
        <w:t>» и дате подачи заявки и представлять их в секретариат ЕЭК ООН/ОТИФ для публикации на веб-сайтах ЕЭК ООН и ОТИФ.</w:t>
      </w:r>
    </w:p>
    <w:p w:rsidR="00233693" w:rsidRPr="00BD4E0F" w:rsidRDefault="00233693" w:rsidP="00233693">
      <w:pPr>
        <w:pStyle w:val="HChG"/>
      </w:pPr>
      <w:r w:rsidRPr="00BD4E0F">
        <w:tab/>
      </w:r>
      <w:r w:rsidRPr="00BD4E0F">
        <w:tab/>
      </w:r>
      <w:r w:rsidRPr="00BD4E0F">
        <w:rPr>
          <w:bCs/>
        </w:rPr>
        <w:t>Раздел 5 – Принципы, касающиеся внесения поправок в Руководящие положения</w:t>
      </w:r>
    </w:p>
    <w:p w:rsidR="00233693" w:rsidRPr="00BD4E0F" w:rsidRDefault="00233693" w:rsidP="00233693">
      <w:pPr>
        <w:pStyle w:val="SingleTxtG"/>
      </w:pPr>
      <w:r w:rsidRPr="00BD4E0F">
        <w:t>16.</w:t>
      </w:r>
      <w:r w:rsidRPr="00BD4E0F">
        <w:tab/>
        <w:t>Поправки к Руководящим положениям принимаются участниками либо в рамках письменной процедуры на основе консенсуса, либо на совещании в соответствии с правилами, которые определяются этим совещанием. Поправки могут также предлагаться другими Договаривающимися сторонами/Договаривающимися государствами.</w:t>
      </w:r>
    </w:p>
    <w:p w:rsidR="00233693" w:rsidRPr="00BD4E0F" w:rsidRDefault="00233693" w:rsidP="00233693">
      <w:pPr>
        <w:pStyle w:val="SingleTxtG"/>
      </w:pPr>
      <w:r w:rsidRPr="00BD4E0F">
        <w:t>17.</w:t>
      </w:r>
      <w:r w:rsidRPr="00BD4E0F">
        <w:tab/>
        <w:t>Поправки к системной архитектуре могут предлагаться только технической рабочей группой и должны утверждаться Совместным совещанием.</w:t>
      </w:r>
    </w:p>
    <w:p w:rsidR="00233693" w:rsidRPr="00BD4E0F" w:rsidRDefault="00233693" w:rsidP="00233693">
      <w:pPr>
        <w:ind w:left="567" w:hanging="567"/>
        <w:rPr>
          <w:rFonts w:cs="Arial"/>
        </w:rPr>
      </w:pPr>
    </w:p>
    <w:p w:rsidR="00233693" w:rsidRPr="00BD4E0F" w:rsidRDefault="00233693" w:rsidP="00233693">
      <w:pPr>
        <w:pStyle w:val="HChG"/>
      </w:pPr>
      <w:r w:rsidRPr="00BD4E0F">
        <w:rPr>
          <w:bCs/>
        </w:rPr>
        <w:lastRenderedPageBreak/>
        <w:t>Приложение А</w:t>
      </w:r>
    </w:p>
    <w:p w:rsidR="00233693" w:rsidRPr="00BD4E0F" w:rsidRDefault="00233693" w:rsidP="00986A3C">
      <w:pPr>
        <w:pStyle w:val="H1G"/>
      </w:pPr>
      <w:r w:rsidRPr="00BD4E0F">
        <w:tab/>
        <w:t>1.</w:t>
      </w:r>
      <w:r w:rsidRPr="00BD4E0F">
        <w:tab/>
        <w:t>Принципы коммуникации между различными ДС1 и ДС2 и компетентными властями в отношении транспортных документов</w:t>
      </w:r>
    </w:p>
    <w:p w:rsidR="00233693" w:rsidRPr="00BD4E0F" w:rsidRDefault="00233693" w:rsidP="00986A3C">
      <w:pPr>
        <w:pStyle w:val="SingleTxtG"/>
      </w:pPr>
      <w:r w:rsidRPr="00BD4E0F">
        <w:tab/>
      </w:r>
      <w:r w:rsidRPr="00BD4E0F">
        <w:tab/>
        <w:t>а)</w:t>
      </w:r>
      <w:r w:rsidRPr="00BD4E0F">
        <w:tab/>
        <w:t>ДС1 может управляться государственным или частным оператором. Оператор ДС1 не должен участвовать (в частности, в качестве грузоотправителя, перевозчика, грузополучателя, компании, занимающейся погрузкой, упаковкой, наполнением, оператора контейнера-цистерны/переносной цистерны или разгрузчика) в перевозке опасных грузов. Оператор ДС1 должен действовать в соответствии с условиями сертификации, определенными в подпункте b). Доступ к информации, обеспечиваемый ДС1, должен быть бесплатным для других ДС1 и органов власти. В</w:t>
      </w:r>
      <w:r w:rsidR="00986A3C" w:rsidRPr="00BD4E0F">
        <w:t> </w:t>
      </w:r>
      <w:r w:rsidRPr="00BD4E0F">
        <w:t>каждом участнике может существовать одна или более ДС1. Участник не обязан создавать ДС1, поскольку он может принять решение использовать функции/услуги, предоставляемые иностранной (иностранными) ДС1. Принимаются также ДС1 без зарегистрированных ДС2.</w:t>
      </w:r>
    </w:p>
    <w:p w:rsidR="00233693" w:rsidRPr="00BD4E0F" w:rsidRDefault="00233693" w:rsidP="00233693">
      <w:pPr>
        <w:pStyle w:val="SingleTxtG"/>
      </w:pPr>
      <w:r w:rsidRPr="00BD4E0F">
        <w:tab/>
      </w:r>
      <w:r w:rsidRPr="00BD4E0F">
        <w:tab/>
        <w:t>b)</w:t>
      </w:r>
      <w:r w:rsidRPr="00BD4E0F">
        <w:tab/>
        <w:t>Аттестованные образования ДС1 («сертификация ДС1»):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</w:r>
      <w:r w:rsidRPr="00BD4E0F">
        <w:tab/>
        <w:t>i)</w:t>
      </w:r>
      <w:r w:rsidRPr="00BD4E0F">
        <w:tab/>
        <w:t xml:space="preserve">Австрия, Франция, Германия и Италия уже определили первоначальный перечень возможных ДС1 (в настоящее время к ним относятся </w:t>
      </w:r>
      <w:proofErr w:type="spellStart"/>
      <w:r w:rsidRPr="00BD4E0F">
        <w:t>DiGiDO</w:t>
      </w:r>
      <w:proofErr w:type="spellEnd"/>
      <w:r w:rsidRPr="00BD4E0F">
        <w:t xml:space="preserve"> в Австрии, </w:t>
      </w:r>
      <w:proofErr w:type="spellStart"/>
      <w:r w:rsidRPr="00BD4E0F">
        <w:t>NeoGLS</w:t>
      </w:r>
      <w:proofErr w:type="spellEnd"/>
      <w:r w:rsidRPr="00BD4E0F">
        <w:t xml:space="preserve"> и </w:t>
      </w:r>
      <w:proofErr w:type="spellStart"/>
      <w:r w:rsidRPr="00BD4E0F">
        <w:t>Novacom</w:t>
      </w:r>
      <w:proofErr w:type="spellEnd"/>
      <w:r w:rsidRPr="00BD4E0F">
        <w:t xml:space="preserve"> </w:t>
      </w:r>
      <w:proofErr w:type="spellStart"/>
      <w:r w:rsidRPr="00BD4E0F">
        <w:t>Services</w:t>
      </w:r>
      <w:proofErr w:type="spellEnd"/>
      <w:r w:rsidRPr="00BD4E0F">
        <w:t xml:space="preserve"> во Франции, GBK в Германии и Министерство транспорта Италии и </w:t>
      </w:r>
      <w:proofErr w:type="spellStart"/>
      <w:r w:rsidRPr="00BD4E0F">
        <w:t>UIRNet</w:t>
      </w:r>
      <w:proofErr w:type="spellEnd"/>
      <w:r w:rsidRPr="00BD4E0F">
        <w:t xml:space="preserve"> в Италии).</w:t>
      </w:r>
    </w:p>
    <w:p w:rsidR="00233693" w:rsidRPr="00BD4E0F" w:rsidRDefault="00233693" w:rsidP="00233693">
      <w:pPr>
        <w:pStyle w:val="SingleTxtG"/>
      </w:pPr>
      <w:r w:rsidRPr="00BD4E0F">
        <w:tab/>
      </w:r>
      <w:r w:rsidRPr="00BD4E0F">
        <w:tab/>
      </w:r>
      <w:r w:rsidRPr="00BD4E0F">
        <w:tab/>
        <w:t>Участники могут предлагать кандидатуры дополнительных ДС1.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</w:r>
      <w:proofErr w:type="spellStart"/>
      <w:r w:rsidRPr="00BD4E0F">
        <w:t>ii</w:t>
      </w:r>
      <w:proofErr w:type="spellEnd"/>
      <w:r w:rsidRPr="00BD4E0F">
        <w:t>)</w:t>
      </w:r>
      <w:r w:rsidRPr="00BD4E0F">
        <w:tab/>
        <w:t>В отношении будущих операций этот список аттестованных образований ДС1 (доверенный список ДС1), включая всю соответствующую информацию для целей идентификации, должен быть сдан на хранение в ЕЭК ООН для автомобильного транспорта и внутреннего судоходства и в ОТИФ для железнодорожного транспорта; ЕЭК ООН/ОТИФ следует также вести этот список и публиковать выдержки из него в объеме, необходимом для системы. Следовательно, эти учреждения берут на себя функции управляющего доверенного списка.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t>iii</w:t>
      </w:r>
      <w:proofErr w:type="spellEnd"/>
      <w:r w:rsidRPr="00BD4E0F">
        <w:t>)</w:t>
      </w:r>
      <w:r w:rsidRPr="00BD4E0F">
        <w:tab/>
        <w:t>Управляющие доверенного списка направляют информацию, в том числе обновленную, о доверенном списке ДС1 всем аттестованным образованиям ДС1 (т.</w:t>
      </w:r>
      <w:r w:rsidR="00963F3C">
        <w:rPr>
          <w:lang w:val="en-US"/>
        </w:rPr>
        <w:t> </w:t>
      </w:r>
      <w:r w:rsidRPr="00BD4E0F">
        <w:t>е. последние будут осведомлены о других аттестованных образованиях ДС1).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t>iv</w:t>
      </w:r>
      <w:proofErr w:type="spellEnd"/>
      <w:r w:rsidRPr="00BD4E0F">
        <w:t>)</w:t>
      </w:r>
      <w:r w:rsidRPr="00BD4E0F">
        <w:tab/>
        <w:t>Более подробные требования, например, в отношении согласованного сертификата и политики безопасности, которые должны применять ДС1, будут уточнены в будущем. С тем чтобы заложить прочные основы для определения этих требований</w:t>
      </w:r>
      <w:r w:rsidR="00F379DD">
        <w:t>,</w:t>
      </w:r>
      <w:r w:rsidRPr="00BD4E0F">
        <w:t xml:space="preserve"> вышеупомянутым компаниям/образованиям предстоит разработать соответствующие правила и представить доклады. Эти требования в отношении признания затем могут быть обсуждены и подтверждены участниками. Они должны будут применяться в отношении заинтересованных компаний.</w:t>
      </w:r>
    </w:p>
    <w:p w:rsidR="00233693" w:rsidRPr="00BD4E0F" w:rsidRDefault="00233693" w:rsidP="00233693">
      <w:pPr>
        <w:pStyle w:val="SingleTxtG"/>
      </w:pPr>
      <w:r w:rsidRPr="00BD4E0F">
        <w:tab/>
      </w:r>
      <w:r w:rsidRPr="00BD4E0F">
        <w:tab/>
        <w:t>с)</w:t>
      </w:r>
      <w:r w:rsidRPr="00BD4E0F">
        <w:tab/>
        <w:t>Применяются следующие «Правила»: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  <w:t>i)</w:t>
      </w:r>
      <w:r w:rsidRPr="00BD4E0F">
        <w:tab/>
        <w:t xml:space="preserve">Участник может выдвинуть кандидатуру только той ДС1, которая учреждена в его стране. Все аттестованные образования ДС1 должны поддерживать все спецификации обмена данными «Информации о перевозке </w:t>
      </w:r>
      <w:proofErr w:type="spellStart"/>
      <w:r w:rsidRPr="00BD4E0F">
        <w:t>eDG</w:t>
      </w:r>
      <w:proofErr w:type="spellEnd"/>
      <w:r w:rsidRPr="00BD4E0F">
        <w:t>».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</w:r>
      <w:proofErr w:type="spellStart"/>
      <w:r w:rsidRPr="00BD4E0F">
        <w:t>ii</w:t>
      </w:r>
      <w:proofErr w:type="spellEnd"/>
      <w:r w:rsidRPr="00BD4E0F">
        <w:t>)</w:t>
      </w:r>
      <w:r w:rsidRPr="00BD4E0F">
        <w:tab/>
        <w:t>ДС1 должны принимать заявки от других ДС1.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lastRenderedPageBreak/>
        <w:t>iii</w:t>
      </w:r>
      <w:proofErr w:type="spellEnd"/>
      <w:r w:rsidRPr="00BD4E0F">
        <w:t>)</w:t>
      </w:r>
      <w:r w:rsidRPr="00BD4E0F">
        <w:tab/>
        <w:t>ДС1 должны принимать все заявки о регистрации ДС2, если они соответствуют Руководящим положениям и договорным обязательствам ДС1.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t>iv</w:t>
      </w:r>
      <w:proofErr w:type="spellEnd"/>
      <w:r w:rsidRPr="00BD4E0F">
        <w:t>)</w:t>
      </w:r>
      <w:r w:rsidRPr="00BD4E0F">
        <w:tab/>
        <w:t>ДС1 может взимать плату за услуги, которые она предоставляет ДС2. ДС1 вправе по своему усмотрению определять ценовую политику, придерживаясь при этом недискриминационного подхода.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  <w:t>v)</w:t>
      </w:r>
      <w:r w:rsidRPr="00BD4E0F">
        <w:tab/>
        <w:t>ДС1 должны принимать заявки на регистрацию органов власти, перечисленных в перечне, предусмотренном в подпункте d).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t>vi</w:t>
      </w:r>
      <w:proofErr w:type="spellEnd"/>
      <w:r w:rsidRPr="00BD4E0F">
        <w:t>)</w:t>
      </w:r>
      <w:r w:rsidRPr="00BD4E0F">
        <w:tab/>
        <w:t>ДС1 должны принимать заявки от зарегистрированных у них компетентных органов.</w:t>
      </w:r>
    </w:p>
    <w:p w:rsidR="00233693" w:rsidRPr="00BD4E0F" w:rsidRDefault="00233693" w:rsidP="00233693">
      <w:pPr>
        <w:pStyle w:val="SingleTxtG"/>
        <w:ind w:left="2268"/>
      </w:pPr>
      <w:proofErr w:type="spellStart"/>
      <w:r w:rsidRPr="00BD4E0F">
        <w:t>vii</w:t>
      </w:r>
      <w:proofErr w:type="spellEnd"/>
      <w:r w:rsidRPr="00BD4E0F">
        <w:t>)</w:t>
      </w:r>
      <w:r w:rsidRPr="00BD4E0F">
        <w:tab/>
        <w:t>После включения новых ДС1 в доверенный список они должны зарегистрироваться во всех существующих ДС1 с предоставлением всех обязательных контактных данных.</w:t>
      </w:r>
    </w:p>
    <w:p w:rsidR="00233693" w:rsidRPr="00BD4E0F" w:rsidRDefault="00233693" w:rsidP="00233693">
      <w:pPr>
        <w:pStyle w:val="SingleTxtG"/>
      </w:pPr>
      <w:r w:rsidRPr="00BD4E0F">
        <w:tab/>
      </w:r>
      <w:r w:rsidRPr="00BD4E0F">
        <w:tab/>
        <w:t>d)</w:t>
      </w:r>
      <w:r w:rsidRPr="00BD4E0F">
        <w:tab/>
        <w:t>Национальная процедура для определения органов власти, имеющих право направлять запросы: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  <w:t>i)</w:t>
      </w:r>
      <w:r w:rsidRPr="00BD4E0F">
        <w:tab/>
        <w:t>Каждый участник готовит свой собственный перечень органов власти (например, правоохранительные органы, аварийно-спасательные службы), которые имеют право направлять запросы в адрес ДС1. Участник должен также обеспечить включение в него соответствующего сертификата органов власти, как это предусмотрено в пункте 2 b). Только те органы власти, которые перечислены в этом перечне, имеют право регистрироваться при ДС1.</w:t>
      </w:r>
    </w:p>
    <w:p w:rsidR="00233693" w:rsidRPr="00BD4E0F" w:rsidRDefault="00233693" w:rsidP="00233693">
      <w:pPr>
        <w:pStyle w:val="SingleTxtG"/>
        <w:ind w:left="2268" w:hanging="1134"/>
      </w:pPr>
      <w:r w:rsidRPr="00BD4E0F">
        <w:tab/>
      </w:r>
      <w:proofErr w:type="spellStart"/>
      <w:r w:rsidRPr="00BD4E0F">
        <w:t>ii</w:t>
      </w:r>
      <w:proofErr w:type="spellEnd"/>
      <w:r w:rsidRPr="00BD4E0F">
        <w:t>)</w:t>
      </w:r>
      <w:r w:rsidRPr="00BD4E0F">
        <w:tab/>
        <w:t>Участник отвечает за обновление и ведение этого перечня.</w:t>
      </w:r>
    </w:p>
    <w:p w:rsidR="00233693" w:rsidRPr="00BD4E0F" w:rsidRDefault="00233693" w:rsidP="00233693">
      <w:pPr>
        <w:pStyle w:val="H1G"/>
      </w:pPr>
      <w:r w:rsidRPr="00BD4E0F">
        <w:tab/>
        <w:t>2.</w:t>
      </w:r>
      <w:r w:rsidRPr="00BD4E0F">
        <w:tab/>
      </w:r>
      <w:r w:rsidRPr="00BD4E0F">
        <w:rPr>
          <w:bCs/>
        </w:rPr>
        <w:t>Требования к ДС1 в отношении их функционирования</w:t>
      </w:r>
    </w:p>
    <w:p w:rsidR="00233693" w:rsidRPr="00BD4E0F" w:rsidRDefault="00233693" w:rsidP="00233693">
      <w:pPr>
        <w:pStyle w:val="SingleTxtG"/>
        <w:ind w:firstLine="567"/>
        <w:rPr>
          <w:rFonts w:cs="Arial"/>
          <w:b/>
          <w:szCs w:val="22"/>
        </w:rPr>
      </w:pPr>
      <w:r w:rsidRPr="00BD4E0F">
        <w:t>a)</w:t>
      </w:r>
      <w:r w:rsidRPr="00BD4E0F">
        <w:tab/>
      </w:r>
      <w:r w:rsidRPr="00BD4E0F">
        <w:rPr>
          <w:b/>
          <w:bCs/>
        </w:rPr>
        <w:t>Услуги ДС1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  <w:t>i)</w:t>
      </w:r>
      <w:r w:rsidRPr="00BD4E0F">
        <w:tab/>
        <w:t>Услуги ДС1 и ДС2 описаны с использованием WSDL. Доступные извне услуги, как правило, описаны с указанием их параметров и вводимых значений.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</w:r>
      <w:proofErr w:type="spellStart"/>
      <w:r w:rsidRPr="00BD4E0F">
        <w:t>ii</w:t>
      </w:r>
      <w:proofErr w:type="spellEnd"/>
      <w:r w:rsidRPr="00BD4E0F">
        <w:t>)</w:t>
      </w:r>
      <w:r w:rsidRPr="00BD4E0F">
        <w:tab/>
        <w:t>Услуга ДС1 «</w:t>
      </w:r>
      <w:proofErr w:type="spellStart"/>
      <w:r w:rsidRPr="00BD4E0F">
        <w:t>getDGTDocument</w:t>
      </w:r>
      <w:proofErr w:type="spellEnd"/>
      <w:r w:rsidRPr="00BD4E0F">
        <w:t>» позволяет получить конкретный транспортный документ у конкретной ДС2. Параметры для определения ДС2 и конкретного транспортного документа приводятся в пункте 3 а). Эта услуга доступна только для аварийно-спасательных служб и правоохранительных органов (см. пункт 1 d)). Орган власти запрашивает информацию от ДС1 только по транспортным средствам, находящимся на его территории. Причина обращения должна быть указана с использованием установленного перечня (например, аварийно-спасательные службы, правоохранительные органы).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proofErr w:type="spellStart"/>
      <w:r w:rsidRPr="00BD4E0F">
        <w:t>iii</w:t>
      </w:r>
      <w:proofErr w:type="spellEnd"/>
      <w:r w:rsidRPr="00BD4E0F">
        <w:t>)</w:t>
      </w:r>
      <w:r w:rsidRPr="00BD4E0F">
        <w:tab/>
        <w:t>Для выполнения требований пункта 5.4.4.1 каждый доступ должен регистрироваться на период не менее трех месяцев.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proofErr w:type="spellStart"/>
      <w:r w:rsidRPr="00BD4E0F">
        <w:t>iv</w:t>
      </w:r>
      <w:proofErr w:type="spellEnd"/>
      <w:r w:rsidRPr="00BD4E0F">
        <w:t>)</w:t>
      </w:r>
      <w:r w:rsidRPr="00BD4E0F">
        <w:tab/>
        <w:t>ДС1 должна хранить данные о начале и окончании перевозки, как это изложено в пункте 3 a), с тем чтобы набор данных ДС2 о каждой перевозке мог быть передан по запросу правоохранительным органам или аварийно-спасательным службам.</w:t>
      </w:r>
    </w:p>
    <w:p w:rsidR="00233693" w:rsidRPr="00BD4E0F" w:rsidRDefault="00233693" w:rsidP="00233693">
      <w:pPr>
        <w:pStyle w:val="SingleTxtG"/>
        <w:ind w:firstLine="567"/>
      </w:pPr>
      <w:r w:rsidRPr="00BD4E0F">
        <w:t>b)</w:t>
      </w:r>
      <w:r w:rsidRPr="00BD4E0F">
        <w:tab/>
        <w:t>Сертификаты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  <w:t>i)</w:t>
      </w:r>
      <w:r w:rsidRPr="00BD4E0F">
        <w:tab/>
        <w:t xml:space="preserve">ДС1 должны использовать протокол HTTPS. ДС1 должны иметь статический адрес сетевого протокола IP и сертификат X509 V3, которые будут включены в доверенный список. Аутентификация осуществляется путем проверки подлинности как IP-адреса, так и сертификата. Защита данных обеспечивается с помощью криптографического протокола TLS. Сертификаты выдаются в соответствии с национальными правилами </w:t>
      </w:r>
      <w:r w:rsidRPr="00BD4E0F">
        <w:lastRenderedPageBreak/>
        <w:t>страны участника. Обмен сертификатами должен осуществляться непосредственно по защищенным каналам.</w:t>
      </w:r>
    </w:p>
    <w:p w:rsidR="00233693" w:rsidRPr="00BD4E0F" w:rsidRDefault="00233693" w:rsidP="00233693">
      <w:pPr>
        <w:pStyle w:val="SingleTxtG"/>
        <w:ind w:firstLine="567"/>
      </w:pPr>
      <w:r w:rsidRPr="00BD4E0F">
        <w:t>c)</w:t>
      </w:r>
      <w:r w:rsidRPr="00BD4E0F">
        <w:tab/>
        <w:t>Регистрация органов власти и ДС2 при ДС1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  <w:t>i)</w:t>
      </w:r>
      <w:r w:rsidRPr="00BD4E0F">
        <w:tab/>
        <w:t>Для обеспечения машинной коммуникации ДС1 определяет процедуру регистрации, которая может осуществляться вручную или автоматически.</w:t>
      </w:r>
    </w:p>
    <w:p w:rsidR="00233693" w:rsidRPr="00BD4E0F" w:rsidRDefault="00233693" w:rsidP="00233693">
      <w:pPr>
        <w:pStyle w:val="SingleTxtG"/>
        <w:ind w:left="2268"/>
      </w:pPr>
      <w:r w:rsidRPr="00BD4E0F">
        <w:t>В том случае, если процедура осуществляется автоматически, она должна основываться на методе, включенном в описание упомянутой в пункте 1) c) i) веб-услуги. В частности:</w:t>
      </w:r>
    </w:p>
    <w:p w:rsidR="00233693" w:rsidRPr="00BD4E0F" w:rsidRDefault="00233693" w:rsidP="00BD4E0F">
      <w:pPr>
        <w:pStyle w:val="SingleTxtG"/>
        <w:tabs>
          <w:tab w:val="left" w:pos="2520"/>
        </w:tabs>
        <w:ind w:left="2520" w:hanging="270"/>
        <w:rPr>
          <w:rFonts w:cs="Arial"/>
          <w:szCs w:val="22"/>
        </w:rPr>
      </w:pPr>
      <w:r w:rsidRPr="00BD4E0F">
        <w:rPr>
          <w:szCs w:val="22"/>
        </w:rPr>
        <w:t>•</w:t>
      </w:r>
      <w:r w:rsidRPr="00BD4E0F">
        <w:tab/>
        <w:t>кандидатуры ДС2 обязаны использовать команду «sendTP2RegistrationRequest» и следующий минимальный набор данных: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URL: точка входа ДС2 для ДС1;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открытый ключ сертификата ДС2;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наименование и адрес ДС2 (улица, почтовый индекс, населенный пункт);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Fonts w:cs="Arial"/>
          <w:szCs w:val="22"/>
        </w:rPr>
      </w:pPr>
      <w:r w:rsidRPr="00BD4E0F">
        <w:t>–</w:t>
      </w:r>
      <w:r w:rsidRPr="00BD4E0F">
        <w:tab/>
        <w:t>контактное лицо, почтовый адрес и номер т</w:t>
      </w:r>
      <w:r w:rsidR="00963F3C">
        <w:t xml:space="preserve">елефона ответственного лица; </w:t>
      </w:r>
    </w:p>
    <w:p w:rsidR="00233693" w:rsidRPr="00BD4E0F" w:rsidRDefault="00233693" w:rsidP="00BD4E0F">
      <w:pPr>
        <w:pStyle w:val="SingleTxtG"/>
        <w:tabs>
          <w:tab w:val="left" w:pos="2520"/>
        </w:tabs>
        <w:ind w:left="2520" w:hanging="270"/>
        <w:rPr>
          <w:rFonts w:cs="Arial"/>
          <w:szCs w:val="22"/>
        </w:rPr>
      </w:pPr>
      <w:r w:rsidRPr="00BD4E0F">
        <w:rPr>
          <w:szCs w:val="22"/>
        </w:rPr>
        <w:t>•</w:t>
      </w:r>
      <w:r w:rsidRPr="00BD4E0F">
        <w:tab/>
        <w:t>государственные органы обязаны использовать команду «</w:t>
      </w:r>
      <w:proofErr w:type="spellStart"/>
      <w:r w:rsidRPr="00BD4E0F">
        <w:t>sendPublicServiceRegistrationRequest</w:t>
      </w:r>
      <w:proofErr w:type="spellEnd"/>
      <w:r w:rsidRPr="00BD4E0F">
        <w:t>» и следующий минимальный набор данных: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открытый ключ сертификата государственных органов;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наименование и адрес государственного органа (улица, почтовый индекс, населенный пункт);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контактное лицо, почтовый адрес и номер телефона ответственного лица;</w:t>
      </w:r>
    </w:p>
    <w:p w:rsidR="00233693" w:rsidRPr="00BD4E0F" w:rsidRDefault="00233693" w:rsidP="00233693">
      <w:pPr>
        <w:pStyle w:val="SingleTxtG"/>
        <w:spacing w:before="120"/>
        <w:ind w:left="3024" w:right="1138" w:hanging="432"/>
        <w:rPr>
          <w:rStyle w:val="Hyperlink"/>
          <w:color w:val="auto"/>
        </w:rPr>
      </w:pPr>
      <w:r w:rsidRPr="00BD4E0F">
        <w:t>–</w:t>
      </w:r>
      <w:r w:rsidRPr="00BD4E0F">
        <w:tab/>
        <w:t>тип субъекта: компетентный орган (например, аварийно-спасательные службы, правоохранительные органы и т.</w:t>
      </w:r>
      <w:r w:rsidR="00F379DD">
        <w:t xml:space="preserve"> </w:t>
      </w:r>
      <w:r w:rsidRPr="00BD4E0F">
        <w:t>д.).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</w:r>
      <w:proofErr w:type="spellStart"/>
      <w:r w:rsidRPr="00BD4E0F">
        <w:t>ii</w:t>
      </w:r>
      <w:proofErr w:type="spellEnd"/>
      <w:r w:rsidRPr="00BD4E0F">
        <w:t>)</w:t>
      </w:r>
      <w:r w:rsidRPr="00BD4E0F">
        <w:tab/>
        <w:t>ДС1 обязана указать процедуру регистрации для ДС2.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proofErr w:type="spellStart"/>
      <w:proofErr w:type="gramStart"/>
      <w:r w:rsidRPr="00BD4E0F">
        <w:t>iii</w:t>
      </w:r>
      <w:proofErr w:type="spellEnd"/>
      <w:r w:rsidRPr="00BD4E0F">
        <w:t>)</w:t>
      </w:r>
      <w:r w:rsidRPr="00BD4E0F">
        <w:tab/>
        <w:t>В</w:t>
      </w:r>
      <w:proofErr w:type="gramEnd"/>
      <w:r w:rsidRPr="00BD4E0F">
        <w:t xml:space="preserve"> том случае, если образование, обращающееся с просьбой о регистрации, представляет собой орган власти, его наименование и сертификат должны быть в перечне, приводимом в пункте 1 d), при этом подтверждение может производиться автоматически или вручную.</w:t>
      </w:r>
      <w:bookmarkStart w:id="2" w:name="_Hlk11835520"/>
      <w:bookmarkEnd w:id="2"/>
    </w:p>
    <w:p w:rsidR="00233693" w:rsidRPr="00BD4E0F" w:rsidRDefault="00233693" w:rsidP="00BD4E0F">
      <w:pPr>
        <w:pStyle w:val="SingleTxtG"/>
        <w:ind w:left="2250"/>
        <w:rPr>
          <w:rFonts w:cs="Arial"/>
          <w:szCs w:val="22"/>
        </w:rPr>
      </w:pPr>
      <w:r w:rsidRPr="00BD4E0F">
        <w:t>В том случае, если образованием, обращающимся с просьбой о регистрации, является ДС2, возможны два варианта:</w:t>
      </w:r>
    </w:p>
    <w:p w:rsidR="00233693" w:rsidRPr="00BD4E0F" w:rsidRDefault="00233693" w:rsidP="00BD4E0F">
      <w:pPr>
        <w:pStyle w:val="SingleTxtG"/>
        <w:tabs>
          <w:tab w:val="left" w:pos="2520"/>
        </w:tabs>
        <w:ind w:left="2520" w:hanging="270"/>
        <w:rPr>
          <w:rFonts w:cs="Arial"/>
          <w:szCs w:val="22"/>
        </w:rPr>
      </w:pPr>
      <w:r w:rsidRPr="00BD4E0F">
        <w:rPr>
          <w:szCs w:val="22"/>
        </w:rPr>
        <w:t>•</w:t>
      </w:r>
      <w:r w:rsidRPr="00BD4E0F">
        <w:tab/>
        <w:t>официальный представитель ДС2 направляет несущее цифровую подпись заявление с указанием открытого ключа, которое подтверждается офлайн, или</w:t>
      </w:r>
    </w:p>
    <w:p w:rsidR="00233693" w:rsidRPr="00BD4E0F" w:rsidRDefault="00233693" w:rsidP="00BD4E0F">
      <w:pPr>
        <w:pStyle w:val="SingleTxtG"/>
        <w:tabs>
          <w:tab w:val="left" w:pos="2520"/>
        </w:tabs>
        <w:ind w:left="2520" w:hanging="270"/>
        <w:rPr>
          <w:rFonts w:cs="Arial"/>
          <w:szCs w:val="22"/>
        </w:rPr>
      </w:pPr>
      <w:r w:rsidRPr="00BD4E0F">
        <w:rPr>
          <w:szCs w:val="22"/>
        </w:rPr>
        <w:t>•</w:t>
      </w:r>
      <w:r w:rsidRPr="00BD4E0F">
        <w:tab/>
        <w:t>если ДС1 доверяет подписавшему сертификат лицу на основе национального законодательства, публичных реестров или конкретных соглашений, то в этом случае подтверждение производится автоматически.</w:t>
      </w:r>
    </w:p>
    <w:p w:rsidR="00233693" w:rsidRPr="00BD4E0F" w:rsidRDefault="00233693" w:rsidP="00233693">
      <w:pPr>
        <w:pStyle w:val="H1G"/>
        <w:pageBreakBefore/>
        <w:ind w:left="1138" w:right="1138" w:hanging="1138"/>
      </w:pPr>
      <w:r w:rsidRPr="00BD4E0F">
        <w:lastRenderedPageBreak/>
        <w:tab/>
        <w:t>3.</w:t>
      </w:r>
      <w:r w:rsidRPr="00BD4E0F">
        <w:tab/>
      </w:r>
      <w:r w:rsidRPr="00BD4E0F">
        <w:rPr>
          <w:bCs/>
        </w:rPr>
        <w:t>Создание и наличие наборов данных для использования ДС2, ДС1 и органами власти/аварийно-спасательными службами</w:t>
      </w:r>
    </w:p>
    <w:p w:rsidR="00233693" w:rsidRPr="00BD4E0F" w:rsidRDefault="00233693" w:rsidP="00233693">
      <w:pPr>
        <w:pStyle w:val="SingleTxtG"/>
        <w:ind w:firstLine="567"/>
        <w:rPr>
          <w:rFonts w:cs="Arial"/>
          <w:szCs w:val="22"/>
        </w:rPr>
      </w:pPr>
      <w:r w:rsidRPr="00BD4E0F">
        <w:t>а)</w:t>
      </w:r>
      <w:r w:rsidRPr="00BD4E0F">
        <w:tab/>
        <w:t>ДС1 должен быть препровожден следующий набор данных, касающийся каждой перевозки: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r w:rsidRPr="00BD4E0F">
        <w:t>i)</w:t>
      </w:r>
      <w:r w:rsidRPr="00BD4E0F">
        <w:tab/>
        <w:t>ДОПОГ: код(ы) страны (согласно Венской конвенции) и регистрационный(</w:t>
      </w:r>
      <w:proofErr w:type="spellStart"/>
      <w:r w:rsidRPr="00BD4E0F">
        <w:t>ые</w:t>
      </w:r>
      <w:proofErr w:type="spellEnd"/>
      <w:r w:rsidRPr="00BD4E0F">
        <w:t>) номер(а) и идентификационный(</w:t>
      </w:r>
      <w:proofErr w:type="spellStart"/>
      <w:r w:rsidRPr="00BD4E0F">
        <w:t>ые</w:t>
      </w:r>
      <w:proofErr w:type="spellEnd"/>
      <w:r w:rsidRPr="00BD4E0F">
        <w:t>) номер(а) транспортного средства-тягача и прицепа(</w:t>
      </w:r>
      <w:proofErr w:type="spellStart"/>
      <w:r w:rsidRPr="00BD4E0F">
        <w:t>ов</w:t>
      </w:r>
      <w:proofErr w:type="spellEnd"/>
      <w:r w:rsidRPr="00BD4E0F">
        <w:t>);</w:t>
      </w:r>
    </w:p>
    <w:p w:rsidR="00233693" w:rsidRPr="00BD4E0F" w:rsidRDefault="00233693" w:rsidP="00233693">
      <w:pPr>
        <w:pStyle w:val="SingleTxtG"/>
        <w:ind w:left="2268"/>
      </w:pPr>
      <w:r w:rsidRPr="00BD4E0F">
        <w:t>ВОПОГ: номер ЕИН;</w:t>
      </w:r>
    </w:p>
    <w:p w:rsidR="00233693" w:rsidRPr="00BD4E0F" w:rsidRDefault="00233693" w:rsidP="00233693">
      <w:pPr>
        <w:pStyle w:val="SingleTxtG"/>
        <w:ind w:left="2268"/>
        <w:rPr>
          <w:b/>
          <w:bCs/>
        </w:rPr>
      </w:pPr>
      <w:r w:rsidRPr="00BD4E0F">
        <w:t>МПОГ: индивидуальный номер транспортного средства</w:t>
      </w:r>
      <w:r w:rsidR="00E61353">
        <w:rPr>
          <w:rStyle w:val="FootnoteReference"/>
        </w:rPr>
        <w:footnoteReference w:id="3"/>
      </w:r>
      <w:r w:rsidR="00F379DD">
        <w:t>;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proofErr w:type="spellStart"/>
      <w:r w:rsidRPr="00BD4E0F">
        <w:t>ii</w:t>
      </w:r>
      <w:proofErr w:type="spellEnd"/>
      <w:r w:rsidRPr="00BD4E0F">
        <w:t>)</w:t>
      </w:r>
      <w:r w:rsidRPr="00BD4E0F">
        <w:tab/>
        <w:t>код BIC для контейнеров (если имеется или предусмотрен);</w:t>
      </w:r>
    </w:p>
    <w:p w:rsidR="00233693" w:rsidRPr="00BD4E0F" w:rsidRDefault="00233693" w:rsidP="00233693">
      <w:pPr>
        <w:pStyle w:val="SingleTxtG"/>
        <w:ind w:left="2268"/>
        <w:rPr>
          <w:rFonts w:cs="Arial"/>
          <w:szCs w:val="22"/>
        </w:rPr>
      </w:pPr>
      <w:proofErr w:type="spellStart"/>
      <w:r w:rsidRPr="00BD4E0F">
        <w:t>iii</w:t>
      </w:r>
      <w:proofErr w:type="spellEnd"/>
      <w:r w:rsidRPr="00BD4E0F">
        <w:t>)</w:t>
      </w:r>
      <w:r w:rsidRPr="00BD4E0F">
        <w:tab/>
        <w:t>статус: начало/окончание перевозки</w:t>
      </w:r>
      <w:r w:rsidR="00963F3C">
        <w:t>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b)</w:t>
      </w:r>
      <w:r w:rsidRPr="00BD4E0F">
        <w:tab/>
        <w:t>Операция между ДС2 и образованием ДС1:</w:t>
      </w:r>
    </w:p>
    <w:p w:rsidR="00233693" w:rsidRPr="00BD4E0F" w:rsidRDefault="00233693" w:rsidP="00233693">
      <w:pPr>
        <w:pStyle w:val="SingleTxtG"/>
        <w:ind w:left="2268" w:hanging="1134"/>
        <w:rPr>
          <w:rFonts w:cs="Arial"/>
          <w:szCs w:val="22"/>
        </w:rPr>
      </w:pPr>
      <w:r w:rsidRPr="00BD4E0F">
        <w:tab/>
        <w:t>i)</w:t>
      </w:r>
      <w:r w:rsidRPr="00BD4E0F">
        <w:tab/>
        <w:t>по каждой перевозке ДС2 должна вза</w:t>
      </w:r>
      <w:r w:rsidR="00963F3C">
        <w:t>имодействовать лишь с одной ДС1.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с)</w:t>
      </w:r>
      <w:r w:rsidRPr="00BD4E0F">
        <w:tab/>
        <w:t>Информация в транспортном документе, переданная ДС2 в адрес ДС1, должна быть заверена цифровой подписью.</w:t>
      </w:r>
    </w:p>
    <w:p w:rsidR="00233693" w:rsidRPr="00BD4E0F" w:rsidRDefault="00233693" w:rsidP="00233693">
      <w:pPr>
        <w:pStyle w:val="H1G"/>
        <w:rPr>
          <w:rFonts w:cs="Arial"/>
          <w:b w:val="0"/>
          <w:szCs w:val="24"/>
        </w:rPr>
      </w:pPr>
      <w:r w:rsidRPr="00BD4E0F">
        <w:tab/>
        <w:t>4.</w:t>
      </w:r>
      <w:r w:rsidRPr="00BD4E0F">
        <w:tab/>
      </w:r>
      <w:r w:rsidRPr="00BD4E0F">
        <w:rPr>
          <w:bCs/>
        </w:rPr>
        <w:t xml:space="preserve">Требования, применяемые на переходном этапе </w:t>
      </w:r>
    </w:p>
    <w:p w:rsidR="00233693" w:rsidRPr="00BD4E0F" w:rsidRDefault="00233693" w:rsidP="00233693">
      <w:pPr>
        <w:pStyle w:val="SingleTxtG"/>
        <w:ind w:firstLine="567"/>
      </w:pPr>
      <w:r w:rsidRPr="00BD4E0F">
        <w:t>До тех пор, пока имеются аварийно-спасательные службы и соответствующие органы власти, которые не подключены к системе ДС1/ДС2, необходима также бортовая информация.</w:t>
      </w:r>
    </w:p>
    <w:p w:rsidR="00233693" w:rsidRPr="00BD4E0F" w:rsidRDefault="008E28C0" w:rsidP="00233693">
      <w:pPr>
        <w:pStyle w:val="SingleTxtG"/>
      </w:pPr>
      <w:r w:rsidRPr="00BD4E0F">
        <w:tab/>
      </w:r>
      <w:r w:rsidRPr="00BD4E0F">
        <w:tab/>
      </w:r>
      <w:r w:rsidR="00233693" w:rsidRPr="00BD4E0F">
        <w:t>Дополнительные требования, касающиеся хранения данных и вывода данных на борту транспортных средств/поездов/судов внутреннего плавания</w:t>
      </w:r>
      <w:r w:rsidR="00F379DD">
        <w:t>: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а)</w:t>
      </w:r>
      <w:r w:rsidRPr="00BD4E0F">
        <w:tab/>
        <w:t>Средства хранения данных, используемые на терминалах бортовых данных, должны быть пригодны для постоянного хранения всей соответствующей информации об опасных грузах в соответствии с разделом 5.4.1 МПОГ/ДОПОГ/ВОПОГ в ходе перевозки. С этой целью для всех терминалов данных (например, планшеты, сканеры, смартфоны, бортовые устройства) должны использоваться стабильные носители информации (в настоящее время EEPROM или флэш-память). Средства хранения данных, установленные на терминалах данных, обеспечиваются защитой от нагрузок, обычно возникающих во время перевозки.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</w:r>
      <w:proofErr w:type="gramStart"/>
      <w:r w:rsidRPr="00BD4E0F">
        <w:t>b)</w:t>
      </w:r>
      <w:r w:rsidRPr="00BD4E0F">
        <w:tab/>
        <w:t>В</w:t>
      </w:r>
      <w:proofErr w:type="gramEnd"/>
      <w:r w:rsidRPr="00BD4E0F">
        <w:t xml:space="preserve"> случае перевозки автомобильным и железнодорожным транспортом необходимо будет использовать переносной терминал данных, а в случае перевозки по внутренним водным путям – переносной или стационарно установленный на борту терминал данных. В тех случаях, когда перевозятся только от одного до трех различных наименований опасных грузов (номеров ООН) в цистернах или навалом/насыпью в транспортных средствах, на которые распространяются требования в отношении маркировки в соответствии с пунктом 5.3.2.1.2 или </w:t>
      </w:r>
      <w:r w:rsidRPr="00BD4E0F">
        <w:lastRenderedPageBreak/>
        <w:t>пунктом</w:t>
      </w:r>
      <w:r w:rsidR="008E28C0" w:rsidRPr="00BD4E0F">
        <w:t> </w:t>
      </w:r>
      <w:r w:rsidRPr="00BD4E0F">
        <w:t>5.3.2.1.4 ДОПОГ, для автомобильной перевозки разрешается использовать также стационарно установленный терминал данных.</w:t>
      </w:r>
    </w:p>
    <w:p w:rsidR="00233693" w:rsidRPr="00BD4E0F" w:rsidRDefault="00233693" w:rsidP="00233693">
      <w:pPr>
        <w:pStyle w:val="SingleTxtG"/>
        <w:ind w:firstLine="567"/>
      </w:pPr>
      <w:r w:rsidRPr="00BD4E0F">
        <w:t>Терминал данных должен быть сконструирован таким образом, чтобы избежать потери данных в случае перебоев с энергоснабжением. Устройства аккумулирования электроэнергии должны обеспечивать энергоснабжение на протяжении всей перевозки или же подзаряжаться в ходе перевозки с помощью бортового оборудования.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с)</w:t>
      </w:r>
      <w:r w:rsidRPr="00BD4E0F">
        <w:tab/>
        <w:t>Данные должны отображаться на экране, эквивалентном бумажному документу с точки зрения величины и удобочитаемости знаков (визуальное представление без требований к форматированию (например, формат PDF), размером не менее 10 дюймов или же в оптимизированном и структурированном виде, позволяющем демонстрировать на соответствующем экране (минимум 3,5 дюйма) все необходимые данные о веществе для соответствующего опасного груза) при различных условиях освещения. Читающее устройство должно быть простым и интуитивным и обеспечивать инспекторам/представителям аварийно-спасательных служб неограниченный доступ к любой соответствующей информации об опасном грузе.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  <w:t>d)</w:t>
      </w:r>
      <w:r w:rsidRPr="00BD4E0F">
        <w:tab/>
        <w:t>Водители транспортных средств/машинисты/капитаны судов должны уметь пользоваться терминалом данных и оказывать необходимую помощь правоохранительным органам или аварийно-спасательным службам. Например, они должны по требованию ознакомить проводящих осмотр сотрудников с тем, как пользоваться таким терминалом данных, или сопровождать их во время осмотра, имея при себе такой терминал. Это относится и к чрезвычайным ситуациям, когда это возможно.</w:t>
      </w:r>
    </w:p>
    <w:p w:rsidR="00233693" w:rsidRPr="00BD4E0F" w:rsidRDefault="00233693" w:rsidP="00233693">
      <w:pPr>
        <w:pStyle w:val="SingleTxtG"/>
        <w:rPr>
          <w:rFonts w:cs="Arial"/>
          <w:szCs w:val="22"/>
        </w:rPr>
      </w:pPr>
      <w:r w:rsidRPr="00BD4E0F">
        <w:tab/>
      </w:r>
      <w:r w:rsidRPr="00BD4E0F">
        <w:tab/>
      </w:r>
      <w:proofErr w:type="gramStart"/>
      <w:r w:rsidRPr="00BD4E0F">
        <w:t>e)</w:t>
      </w:r>
      <w:r w:rsidRPr="00BD4E0F">
        <w:tab/>
        <w:t>В</w:t>
      </w:r>
      <w:proofErr w:type="gramEnd"/>
      <w:r w:rsidRPr="00BD4E0F">
        <w:t xml:space="preserve"> случае отсутствия мобильной связи надлежит признать возможность задержки в синхронизации бортовых данных и набора данных в ДС2.</w:t>
      </w:r>
    </w:p>
    <w:p w:rsidR="00233693" w:rsidRPr="00BD4E0F" w:rsidRDefault="00233693" w:rsidP="00233693">
      <w:pPr>
        <w:pStyle w:val="H1G"/>
        <w:rPr>
          <w:rFonts w:cs="Arial"/>
          <w:szCs w:val="24"/>
        </w:rPr>
      </w:pPr>
      <w:r w:rsidRPr="00BD4E0F">
        <w:tab/>
        <w:t>5.</w:t>
      </w:r>
      <w:r w:rsidRPr="00BD4E0F">
        <w:tab/>
      </w:r>
      <w:r w:rsidRPr="00BD4E0F">
        <w:rPr>
          <w:bCs/>
        </w:rPr>
        <w:t>Переходные требования, касающиеся автомобильного транспорта</w:t>
      </w:r>
    </w:p>
    <w:p w:rsidR="00233693" w:rsidRPr="00BD4E0F" w:rsidRDefault="00233693" w:rsidP="00233693">
      <w:pPr>
        <w:pStyle w:val="SingleTxtG"/>
        <w:ind w:firstLine="567"/>
      </w:pPr>
      <w:r w:rsidRPr="00BD4E0F">
        <w:t>В кабине водителя должны иметься инструкции о том, как получить доступ к электронным данным об опасных грузах в случае утраты водителем способности выполнять свои обязанности.</w:t>
      </w:r>
    </w:p>
    <w:p w:rsidR="00233693" w:rsidRPr="00BD4E0F" w:rsidRDefault="00233693" w:rsidP="00233693">
      <w:pPr>
        <w:pStyle w:val="SingleTxtG"/>
        <w:ind w:firstLine="567"/>
      </w:pPr>
      <w:r w:rsidRPr="00BD4E0F">
        <w:t>С передней и задней сторон на транспортное средство должен быть размещен маркировочный знак, указывающий на использование электронного транспортного документа. Если в силу конструкции или по иным очевидным причинам такой маркировочный знак невозможно разместить на задней стороне транспортного средства, он может быть прикреплен к обеим дверям кабины водителя. В зависимости от вида использования транспортного средства этот маркировочный знак может быть съемным (могут использоваться складные или магнитные маркировочные знаки) или постоянно прикрепленным (стационарным). Данный знак представляет собой изображение (пиктограмму в соответствии с приложением В к настоящим Руководящим положениям).</w:t>
      </w:r>
    </w:p>
    <w:p w:rsidR="00233693" w:rsidRPr="00BD4E0F" w:rsidRDefault="00233693" w:rsidP="008E28C0">
      <w:pPr>
        <w:pStyle w:val="HChG"/>
        <w:pageBreakBefore/>
        <w:ind w:left="1138" w:right="1138" w:hanging="1138"/>
      </w:pPr>
      <w:r w:rsidRPr="00BD4E0F">
        <w:rPr>
          <w:bCs/>
        </w:rPr>
        <w:lastRenderedPageBreak/>
        <w:t>Приложение В</w:t>
      </w:r>
    </w:p>
    <w:p w:rsidR="00233693" w:rsidRPr="00BD4E0F" w:rsidRDefault="00233693" w:rsidP="008E28C0">
      <w:pPr>
        <w:pStyle w:val="SingleTxtG"/>
        <w:spacing w:after="0"/>
        <w:ind w:left="1138" w:right="1138"/>
        <w:rPr>
          <w:rFonts w:cs="Arial"/>
          <w:szCs w:val="22"/>
        </w:rPr>
      </w:pPr>
      <w:r w:rsidRPr="00BD4E0F">
        <w:t>Пиктограмма «e», указывающая на использование электронного транспортного документа на опасные грузы (e DGTD).</w:t>
      </w:r>
    </w:p>
    <w:p w:rsidR="00233693" w:rsidRPr="00BD4E0F" w:rsidRDefault="00233693" w:rsidP="00233693">
      <w:pPr>
        <w:rPr>
          <w:rFonts w:cs="Arial"/>
        </w:rPr>
      </w:pPr>
      <w:r w:rsidRPr="00BD4E0F">
        <w:rPr>
          <w:rFonts w:cs="Arial"/>
          <w:noProof/>
          <w:lang w:val="en-US"/>
        </w:rPr>
        <w:drawing>
          <wp:anchor distT="0" distB="0" distL="0" distR="0" simplePos="0" relativeHeight="251659264" behindDoc="0" locked="0" layoutInCell="1" allowOverlap="1" wp14:anchorId="6829E362" wp14:editId="2A05071C">
            <wp:simplePos x="0" y="0"/>
            <wp:positionH relativeFrom="column">
              <wp:posOffset>1449070</wp:posOffset>
            </wp:positionH>
            <wp:positionV relativeFrom="paragraph">
              <wp:posOffset>346710</wp:posOffset>
            </wp:positionV>
            <wp:extent cx="2994025" cy="3113405"/>
            <wp:effectExtent l="0" t="0" r="0" b="0"/>
            <wp:wrapSquare wrapText="largest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693" w:rsidRPr="00BD4E0F" w:rsidRDefault="00233693" w:rsidP="00233693">
      <w:pPr>
        <w:rPr>
          <w:rFonts w:cs="Arial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u w:val="single"/>
        </w:rPr>
      </w:pPr>
    </w:p>
    <w:p w:rsidR="00233693" w:rsidRPr="00BD4E0F" w:rsidRDefault="00233693" w:rsidP="00233693">
      <w:pPr>
        <w:rPr>
          <w:rFonts w:cs="Arial"/>
          <w:bCs/>
        </w:rPr>
      </w:pPr>
    </w:p>
    <w:p w:rsidR="00233693" w:rsidRPr="00BD4E0F" w:rsidRDefault="00233693" w:rsidP="00233693">
      <w:pPr>
        <w:spacing w:before="240"/>
        <w:ind w:left="1134" w:right="1134"/>
        <w:jc w:val="center"/>
        <w:rPr>
          <w:rFonts w:cs="Arial"/>
          <w:u w:val="single"/>
        </w:rPr>
      </w:pPr>
      <w:r w:rsidRPr="00BD4E0F">
        <w:rPr>
          <w:rFonts w:cs="Arial"/>
        </w:rPr>
        <w:tab/>
      </w:r>
      <w:r w:rsidRPr="00BD4E0F">
        <w:rPr>
          <w:rFonts w:cs="Arial"/>
          <w:u w:val="single"/>
        </w:rPr>
        <w:tab/>
      </w:r>
      <w:r w:rsidRPr="00BD4E0F">
        <w:rPr>
          <w:rFonts w:cs="Arial"/>
          <w:u w:val="single"/>
        </w:rPr>
        <w:tab/>
      </w:r>
      <w:r w:rsidRPr="00BD4E0F">
        <w:rPr>
          <w:rFonts w:cs="Arial"/>
          <w:u w:val="single"/>
        </w:rPr>
        <w:tab/>
      </w:r>
    </w:p>
    <w:p w:rsidR="00E12C5F" w:rsidRPr="00BD4E0F" w:rsidRDefault="00E12C5F" w:rsidP="00D9145B"/>
    <w:sectPr w:rsidR="00E12C5F" w:rsidRPr="00BD4E0F" w:rsidSect="0023369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6A2" w:rsidRPr="00A312BC" w:rsidRDefault="00B316A2" w:rsidP="00A312BC"/>
  </w:endnote>
  <w:endnote w:type="continuationSeparator" w:id="0">
    <w:p w:rsidR="00B316A2" w:rsidRPr="00A312BC" w:rsidRDefault="00B316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93" w:rsidRPr="00233693" w:rsidRDefault="00233693">
    <w:pPr>
      <w:pStyle w:val="Footer"/>
    </w:pPr>
    <w:r w:rsidRPr="00233693">
      <w:rPr>
        <w:b/>
        <w:sz w:val="18"/>
      </w:rPr>
      <w:fldChar w:fldCharType="begin"/>
    </w:r>
    <w:r w:rsidRPr="00233693">
      <w:rPr>
        <w:b/>
        <w:sz w:val="18"/>
      </w:rPr>
      <w:instrText xml:space="preserve"> PAGE  \* MERGEFORMAT </w:instrText>
    </w:r>
    <w:r w:rsidRPr="00233693">
      <w:rPr>
        <w:b/>
        <w:sz w:val="18"/>
      </w:rPr>
      <w:fldChar w:fldCharType="separate"/>
    </w:r>
    <w:r w:rsidR="00802FE0">
      <w:rPr>
        <w:b/>
        <w:noProof/>
        <w:sz w:val="18"/>
      </w:rPr>
      <w:t>8</w:t>
    </w:r>
    <w:r w:rsidRPr="00233693">
      <w:rPr>
        <w:b/>
        <w:sz w:val="18"/>
      </w:rPr>
      <w:fldChar w:fldCharType="end"/>
    </w:r>
    <w:r>
      <w:rPr>
        <w:b/>
        <w:sz w:val="18"/>
      </w:rPr>
      <w:tab/>
    </w:r>
    <w:r>
      <w:t>GE.19-10553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93" w:rsidRPr="00233693" w:rsidRDefault="00233693" w:rsidP="00233693">
    <w:pPr>
      <w:pStyle w:val="Footer"/>
      <w:tabs>
        <w:tab w:val="clear" w:pos="9639"/>
        <w:tab w:val="right" w:pos="9638"/>
      </w:tabs>
      <w:rPr>
        <w:b/>
        <w:sz w:val="18"/>
      </w:rPr>
    </w:pPr>
    <w:r>
      <w:t>GE.19-10553</w:t>
    </w:r>
    <w:r>
      <w:tab/>
    </w:r>
    <w:r w:rsidRPr="00233693">
      <w:rPr>
        <w:b/>
        <w:sz w:val="18"/>
      </w:rPr>
      <w:fldChar w:fldCharType="begin"/>
    </w:r>
    <w:r w:rsidRPr="00233693">
      <w:rPr>
        <w:b/>
        <w:sz w:val="18"/>
      </w:rPr>
      <w:instrText xml:space="preserve"> PAGE  \* MERGEFORMAT </w:instrText>
    </w:r>
    <w:r w:rsidRPr="00233693">
      <w:rPr>
        <w:b/>
        <w:sz w:val="18"/>
      </w:rPr>
      <w:fldChar w:fldCharType="separate"/>
    </w:r>
    <w:r w:rsidR="00802FE0">
      <w:rPr>
        <w:b/>
        <w:noProof/>
        <w:sz w:val="18"/>
      </w:rPr>
      <w:t>9</w:t>
    </w:r>
    <w:r w:rsidRPr="002336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33693" w:rsidRDefault="00233693" w:rsidP="00233693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117D">
      <w:t>19-</w:t>
    </w:r>
    <w:proofErr w:type="gramStart"/>
    <w:r w:rsidR="00B1117D">
      <w:t>10553  (</w:t>
    </w:r>
    <w:proofErr w:type="gramEnd"/>
    <w:r w:rsidR="00B1117D">
      <w:t>R)  230719  24</w:t>
    </w:r>
    <w:r>
      <w:t>0719</w:t>
    </w:r>
    <w:r>
      <w:br/>
    </w:r>
    <w:r w:rsidRPr="00233693">
      <w:rPr>
        <w:rFonts w:ascii="C39T30Lfz" w:hAnsi="C39T30Lfz"/>
        <w:kern w:val="14"/>
        <w:sz w:val="56"/>
      </w:rPr>
      <w:t></w:t>
    </w:r>
    <w:r w:rsidRPr="00233693">
      <w:rPr>
        <w:rFonts w:ascii="C39T30Lfz" w:hAnsi="C39T30Lfz"/>
        <w:kern w:val="14"/>
        <w:sz w:val="56"/>
      </w:rPr>
      <w:t></w:t>
    </w:r>
    <w:r w:rsidRPr="00233693">
      <w:rPr>
        <w:rFonts w:ascii="C39T30Lfz" w:hAnsi="C39T30Lfz"/>
        <w:kern w:val="14"/>
        <w:sz w:val="56"/>
      </w:rPr>
      <w:t></w:t>
    </w:r>
    <w:r w:rsidRPr="00233693">
      <w:rPr>
        <w:rFonts w:ascii="C39T30Lfz" w:hAnsi="C39T30Lfz"/>
        <w:kern w:val="14"/>
        <w:sz w:val="56"/>
      </w:rPr>
      <w:t></w:t>
    </w:r>
    <w:r w:rsidRPr="00233693">
      <w:rPr>
        <w:rFonts w:ascii="C39T30Lfz" w:hAnsi="C39T30Lfz"/>
        <w:kern w:val="14"/>
        <w:sz w:val="56"/>
      </w:rPr>
      <w:t></w:t>
    </w:r>
    <w:r w:rsidRPr="00233693">
      <w:rPr>
        <w:rFonts w:ascii="C39T30Lfz" w:hAnsi="C39T30Lfz"/>
        <w:kern w:val="14"/>
        <w:sz w:val="56"/>
      </w:rPr>
      <w:t></w:t>
    </w:r>
    <w:r w:rsidRPr="00233693">
      <w:rPr>
        <w:rFonts w:ascii="C39T30Lfz" w:hAnsi="C39T30Lfz"/>
        <w:kern w:val="14"/>
        <w:sz w:val="56"/>
      </w:rPr>
      <w:t></w:t>
    </w:r>
    <w:r w:rsidRPr="00233693">
      <w:rPr>
        <w:rFonts w:ascii="C39T30Lfz" w:hAnsi="C39T30Lfz"/>
        <w:kern w:val="14"/>
        <w:sz w:val="56"/>
      </w:rPr>
      <w:t></w:t>
    </w:r>
    <w:r w:rsidRPr="00233693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9/4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9/4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6A2" w:rsidRPr="001075E9" w:rsidRDefault="00B316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316A2" w:rsidRDefault="00B316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33693" w:rsidRPr="00C35073" w:rsidRDefault="00233693" w:rsidP="00233693">
      <w:pPr>
        <w:pStyle w:val="FootnoteText"/>
        <w:rPr>
          <w:sz w:val="20"/>
        </w:rPr>
      </w:pPr>
      <w:r>
        <w:rPr>
          <w:sz w:val="20"/>
        </w:rPr>
        <w:tab/>
      </w:r>
      <w:r w:rsidRPr="00233693">
        <w:rPr>
          <w:sz w:val="20"/>
        </w:rPr>
        <w:t>*</w:t>
      </w:r>
      <w:r>
        <w:tab/>
        <w:t xml:space="preserve">В соответствии с программой работы </w:t>
      </w:r>
      <w:r w:rsidRPr="00233693">
        <w:t>Комитета</w:t>
      </w:r>
      <w:r>
        <w:t xml:space="preserve"> по внутреннему транспорту на 2018–2019 годы (ECE/TRANS/2018/21/Add.1, направление деятельности 9 (9.2)).</w:t>
      </w:r>
    </w:p>
  </w:footnote>
  <w:footnote w:id="2">
    <w:p w:rsidR="00233693" w:rsidRPr="00C35073" w:rsidRDefault="00233693" w:rsidP="00233693">
      <w:pPr>
        <w:pStyle w:val="FootnoteText"/>
        <w:rPr>
          <w:sz w:val="20"/>
        </w:rPr>
      </w:pPr>
      <w:r>
        <w:rPr>
          <w:sz w:val="20"/>
        </w:rPr>
        <w:tab/>
      </w:r>
      <w:r w:rsidRPr="00233693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OTIF/RID/RC/2019/44.</w:t>
      </w:r>
    </w:p>
  </w:footnote>
  <w:footnote w:id="3">
    <w:p w:rsidR="00E61353" w:rsidRPr="00E61353" w:rsidRDefault="00E61353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60263F">
        <w:t xml:space="preserve">Индивидуальный номер транспортного средства в соответствии с Едиными техническими </w:t>
      </w:r>
      <w:r>
        <w:t>предписаниями</w:t>
      </w:r>
      <w:r w:rsidRPr="0060263F">
        <w:t xml:space="preserve">, применимыми к номерам транспортных средств и связанной алфавитной маркировке кузова: Маркировка железнодорожных транспортных средств (Маркировка ЕТП </w:t>
      </w:r>
      <w:r>
        <w:t>2015 года) Единых правовых норм АПТУ (Приложение F к КОТИФ 1999 года) (см. </w:t>
      </w:r>
      <w:hyperlink r:id="rId1" w:history="1">
        <w:r w:rsidRPr="001D4E74">
          <w:rPr>
            <w:rStyle w:val="Hyperlink"/>
            <w:color w:val="auto"/>
          </w:rPr>
          <w:t>www.otif.org</w:t>
        </w:r>
      </w:hyperlink>
      <w:r w:rsidRPr="001D4E74">
        <w:t>),</w:t>
      </w:r>
      <w:r>
        <w:t xml:space="preserve"> и Европейский номер транспортного средства в соответствии с решением 2007/756/EC Комиссии</w:t>
      </w:r>
      <w:r w:rsidRPr="00B23B3E">
        <w:rPr>
          <w:szCs w:val="18"/>
        </w:rPr>
        <w:t>,</w:t>
      </w:r>
      <w:r w:rsidRPr="00B23B3E">
        <w:rPr>
          <w:color w:val="000000"/>
          <w:szCs w:val="18"/>
          <w:shd w:val="clear" w:color="auto" w:fill="FFFFFF"/>
        </w:rPr>
        <w:t> утверждающ</w:t>
      </w:r>
      <w:r>
        <w:rPr>
          <w:color w:val="000000"/>
          <w:szCs w:val="18"/>
          <w:shd w:val="clear" w:color="auto" w:fill="FFFFFF"/>
        </w:rPr>
        <w:t>им</w:t>
      </w:r>
      <w:r w:rsidRPr="00B23B3E">
        <w:rPr>
          <w:color w:val="000000"/>
          <w:szCs w:val="18"/>
          <w:shd w:val="clear" w:color="auto" w:fill="FFFFFF"/>
        </w:rPr>
        <w:t xml:space="preserve"> общие требования к национальному реестру транспортных средств</w:t>
      </w:r>
      <w:r w:rsidRPr="00B23B3E">
        <w:rPr>
          <w:szCs w:val="18"/>
        </w:rPr>
        <w:t>, предусмотренно</w:t>
      </w:r>
      <w:r>
        <w:rPr>
          <w:szCs w:val="18"/>
        </w:rPr>
        <w:t>му</w:t>
      </w:r>
      <w:r w:rsidRPr="00B23B3E">
        <w:rPr>
          <w:szCs w:val="18"/>
        </w:rPr>
        <w:t xml:space="preserve"> в пунктах 4 и 5 статьи 14 директив 96/48/EC</w:t>
      </w:r>
      <w:r>
        <w:t xml:space="preserve"> и 2001/16/EC</w:t>
      </w:r>
      <w:r w:rsidRPr="00DD1C4F">
        <w:rPr>
          <w:strike/>
        </w:rPr>
        <w:t xml:space="preserve">, а также </w:t>
      </w:r>
      <w:r w:rsidRPr="00B23B3E">
        <w:rPr>
          <w:strike/>
        </w:rPr>
        <w:t xml:space="preserve">согласно подразделу </w:t>
      </w:r>
      <w:r>
        <w:rPr>
          <w:strike/>
        </w:rPr>
        <w:t>4.2.2.3</w:t>
      </w:r>
      <w:r w:rsidRPr="00C8300B">
        <w:rPr>
          <w:strike/>
        </w:rPr>
        <w:t xml:space="preserve"> </w:t>
      </w:r>
      <w:r>
        <w:rPr>
          <w:strike/>
        </w:rPr>
        <w:t xml:space="preserve">и Приложению P Резолюции Европейской Комиссии 2011/314/EU от 12 мая 2011 года касательно технической спецификации для </w:t>
      </w:r>
      <w:proofErr w:type="spellStart"/>
      <w:r>
        <w:rPr>
          <w:strike/>
        </w:rPr>
        <w:t>интероперабельности</w:t>
      </w:r>
      <w:proofErr w:type="spellEnd"/>
      <w:r>
        <w:rPr>
          <w:strike/>
        </w:rPr>
        <w:t xml:space="preserve"> к части «Эксплуатация транспорта и управление транспортом» на единой трансъевропейской сети железнодорожных дорог</w:t>
      </w:r>
      <w:r w:rsidRPr="00C8300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93" w:rsidRPr="00233693" w:rsidRDefault="00BC4BE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802FE0">
      <w:t>ECE/TRANS/WP.15/AC.1/2019/44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693" w:rsidRPr="00233693" w:rsidRDefault="00BC4BEA" w:rsidP="002336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802FE0">
      <w:t>ECE/TRANS/WP.15/AC.1/2019/44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A2"/>
    <w:rsid w:val="00005512"/>
    <w:rsid w:val="00016C1A"/>
    <w:rsid w:val="00025ED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4FFC"/>
    <w:rsid w:val="00196389"/>
    <w:rsid w:val="001B3EF6"/>
    <w:rsid w:val="001C7A89"/>
    <w:rsid w:val="001D4E74"/>
    <w:rsid w:val="0023369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66C7"/>
    <w:rsid w:val="00381C24"/>
    <w:rsid w:val="003859DC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46748"/>
    <w:rsid w:val="00680D03"/>
    <w:rsid w:val="00681A10"/>
    <w:rsid w:val="006A1ED8"/>
    <w:rsid w:val="006C2031"/>
    <w:rsid w:val="006D461A"/>
    <w:rsid w:val="006D711B"/>
    <w:rsid w:val="006F35EE"/>
    <w:rsid w:val="007021FF"/>
    <w:rsid w:val="00712895"/>
    <w:rsid w:val="00734ACB"/>
    <w:rsid w:val="00757357"/>
    <w:rsid w:val="00792497"/>
    <w:rsid w:val="007E4259"/>
    <w:rsid w:val="00802FE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28C0"/>
    <w:rsid w:val="008F7609"/>
    <w:rsid w:val="00906890"/>
    <w:rsid w:val="00911BE4"/>
    <w:rsid w:val="00951972"/>
    <w:rsid w:val="009608F3"/>
    <w:rsid w:val="00963F3C"/>
    <w:rsid w:val="00986A3C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1117D"/>
    <w:rsid w:val="00B316A2"/>
    <w:rsid w:val="00B36DF7"/>
    <w:rsid w:val="00B539E7"/>
    <w:rsid w:val="00B54EBA"/>
    <w:rsid w:val="00B62458"/>
    <w:rsid w:val="00B85AFE"/>
    <w:rsid w:val="00BC18B2"/>
    <w:rsid w:val="00BC4BEA"/>
    <w:rsid w:val="00BD33EE"/>
    <w:rsid w:val="00BD4E0F"/>
    <w:rsid w:val="00BE1CC7"/>
    <w:rsid w:val="00C106D6"/>
    <w:rsid w:val="00C119AE"/>
    <w:rsid w:val="00C35DBC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61353"/>
    <w:rsid w:val="00E73F76"/>
    <w:rsid w:val="00EA2C9F"/>
    <w:rsid w:val="00EA420E"/>
    <w:rsid w:val="00ED0BDA"/>
    <w:rsid w:val="00EE142A"/>
    <w:rsid w:val="00EF1360"/>
    <w:rsid w:val="00EF3220"/>
    <w:rsid w:val="00F2523A"/>
    <w:rsid w:val="00F34621"/>
    <w:rsid w:val="00F379DD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B35994-4C3C-4CC0-ADBA-573FCAD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233693"/>
    <w:rPr>
      <w:lang w:val="ru-RU" w:eastAsia="en-US"/>
    </w:rPr>
  </w:style>
  <w:style w:type="paragraph" w:customStyle="1" w:styleId="ParNoG">
    <w:name w:val="_ParNo_G"/>
    <w:basedOn w:val="SingleTxtG"/>
    <w:qFormat/>
    <w:rsid w:val="00233693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qFormat/>
    <w:rsid w:val="00233693"/>
    <w:rPr>
      <w:b/>
      <w:sz w:val="24"/>
      <w:lang w:val="ru-RU" w:eastAsia="ru-RU"/>
    </w:rPr>
  </w:style>
  <w:style w:type="character" w:customStyle="1" w:styleId="HChGChar">
    <w:name w:val="_ H _Ch_G Char"/>
    <w:link w:val="HChG"/>
    <w:qFormat/>
    <w:rsid w:val="00233693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if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2908</Words>
  <Characters>16581</Characters>
  <Application>Microsoft Office Word</Application>
  <DocSecurity>0</DocSecurity>
  <Lines>138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ECE/TRANS/WP.15/AC.1/2019/44</vt:lpstr>
      <vt:lpstr>ECE/TRANS/WP.15/AC.1/2019/44</vt:lpstr>
      <vt:lpstr>A/</vt:lpstr>
    </vt:vector>
  </TitlesOfParts>
  <Company>DCM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ECE/TRANS/WP.15/AC.1/2019/44</dc:title>
  <dc:subject/>
  <dc:creator>Tatiana SHARKINA</dc:creator>
  <cp:keywords/>
  <cp:lastModifiedBy>Christine Barrio-Champeau</cp:lastModifiedBy>
  <cp:revision>2</cp:revision>
  <cp:lastPrinted>2019-07-24T08:43:00Z</cp:lastPrinted>
  <dcterms:created xsi:type="dcterms:W3CDTF">2019-07-24T09:36:00Z</dcterms:created>
  <dcterms:modified xsi:type="dcterms:W3CDTF">2019-07-24T09:36:00Z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