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A2A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A2AFE" w:rsidP="008A2AFE">
            <w:pPr>
              <w:jc w:val="right"/>
            </w:pPr>
            <w:r w:rsidRPr="008A2AFE">
              <w:rPr>
                <w:sz w:val="40"/>
              </w:rPr>
              <w:t>ECE</w:t>
            </w:r>
            <w:r>
              <w:t>/TRANS/WP.15/AC.1/2019/33</w:t>
            </w:r>
          </w:p>
        </w:tc>
      </w:tr>
      <w:tr w:rsidR="002D5AAC" w:rsidRPr="00A34BB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A2AF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A2AFE" w:rsidRDefault="008A2AFE" w:rsidP="008A2A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2019</w:t>
            </w:r>
          </w:p>
          <w:p w:rsidR="008A2AFE" w:rsidRDefault="008A2AFE" w:rsidP="008A2A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A2AFE" w:rsidRPr="008D53B6" w:rsidRDefault="008A2AFE" w:rsidP="008A2A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2AF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A2AFE" w:rsidRPr="006F599A" w:rsidRDefault="008A2AFE" w:rsidP="008A2AFE">
      <w:pPr>
        <w:spacing w:before="120"/>
        <w:rPr>
          <w:sz w:val="28"/>
          <w:szCs w:val="28"/>
        </w:rPr>
      </w:pPr>
      <w:r w:rsidRPr="006F599A">
        <w:rPr>
          <w:sz w:val="28"/>
          <w:szCs w:val="28"/>
        </w:rPr>
        <w:t>Комитет по внутреннему транспорту</w:t>
      </w:r>
    </w:p>
    <w:p w:rsidR="008A2AFE" w:rsidRPr="006F599A" w:rsidRDefault="008A2AFE" w:rsidP="008A2AFE">
      <w:pPr>
        <w:spacing w:before="120"/>
        <w:rPr>
          <w:b/>
          <w:sz w:val="24"/>
          <w:szCs w:val="24"/>
        </w:rPr>
      </w:pPr>
      <w:r w:rsidRPr="006F599A">
        <w:rPr>
          <w:b/>
          <w:bCs/>
          <w:sz w:val="24"/>
          <w:szCs w:val="24"/>
        </w:rPr>
        <w:t>Рабочая группа по перевозкам опасных грузов</w:t>
      </w:r>
    </w:p>
    <w:p w:rsidR="008A2AFE" w:rsidRPr="006F599A" w:rsidRDefault="008A2AFE" w:rsidP="00A34BB2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:rsidR="008A2AFE" w:rsidRPr="006F599A" w:rsidRDefault="008A2AFE" w:rsidP="008A2AFE">
      <w:r>
        <w:t>Женева, 17–27 сентября 2019 года</w:t>
      </w:r>
    </w:p>
    <w:p w:rsidR="008A2AFE" w:rsidRPr="006F599A" w:rsidRDefault="008A2AFE" w:rsidP="008A2AFE">
      <w:r>
        <w:t>Пункт 5 b) предварительной повестки дня</w:t>
      </w:r>
    </w:p>
    <w:p w:rsidR="008A2AFE" w:rsidRPr="006F599A" w:rsidRDefault="008A2AFE" w:rsidP="008A2AFE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</w:p>
    <w:p w:rsidR="00E12C5F" w:rsidRDefault="008A2AFE" w:rsidP="008A2AFE">
      <w:r>
        <w:rPr>
          <w:b/>
          <w:bCs/>
        </w:rPr>
        <w:t>новые предложения</w:t>
      </w:r>
    </w:p>
    <w:p w:rsidR="008A2AFE" w:rsidRPr="006F599A" w:rsidRDefault="008A2AFE" w:rsidP="008A2AFE">
      <w:pPr>
        <w:pStyle w:val="HChG"/>
        <w:rPr>
          <w:b w:val="0"/>
        </w:rPr>
      </w:pPr>
      <w:r>
        <w:rPr>
          <w:bCs/>
        </w:rPr>
        <w:tab/>
      </w:r>
      <w:r>
        <w:rPr>
          <w:bCs/>
        </w:rPr>
        <w:tab/>
        <w:t>Согласование специального положения 593 с разделом 5.5.3</w:t>
      </w:r>
    </w:p>
    <w:p w:rsidR="008A2AFE" w:rsidRDefault="008A2AFE" w:rsidP="008A2AFE">
      <w:pPr>
        <w:pStyle w:val="H1G"/>
      </w:pPr>
      <w:r>
        <w:tab/>
      </w:r>
      <w:r>
        <w:tab/>
        <w:t>Передано правительством Испании</w:t>
      </w:r>
      <w:r w:rsidRPr="008A2AF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8A2AFE">
        <w:rPr>
          <w:b w:val="0"/>
          <w:sz w:val="20"/>
          <w:lang w:val="en-US"/>
        </w:rPr>
        <w:t xml:space="preserve"> </w:t>
      </w:r>
      <w:r w:rsidRPr="008A2AFE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8A2AFE" w:rsidRPr="008A2AFE" w:rsidTr="00BF214E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8A2AFE" w:rsidRPr="008A2AFE" w:rsidRDefault="008A2AF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A2AFE">
              <w:rPr>
                <w:rFonts w:cs="Times New Roman"/>
              </w:rPr>
              <w:tab/>
            </w:r>
            <w:r w:rsidRPr="008A2AF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A2AFE" w:rsidRPr="008A2AFE" w:rsidTr="00BF214E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8A2AFE" w:rsidRDefault="008A2AFE" w:rsidP="00BF214E">
            <w:pPr>
              <w:pStyle w:val="SingleTxtG"/>
              <w:tabs>
                <w:tab w:val="left" w:pos="3537"/>
              </w:tabs>
              <w:ind w:left="3537" w:hanging="2403"/>
            </w:pPr>
            <w:r w:rsidRPr="008A2AFE">
              <w:rPr>
                <w:b/>
                <w:bCs/>
              </w:rPr>
              <w:t>Существо предложения:</w:t>
            </w:r>
            <w:r w:rsidRPr="008A2AFE">
              <w:t xml:space="preserve"> </w:t>
            </w:r>
            <w:r w:rsidRPr="008A2AFE">
              <w:tab/>
              <w:t>СП 593 не согласуется с разделом 5.5.3 и должно быть изменено для обеспечения совместимости.</w:t>
            </w:r>
          </w:p>
          <w:p w:rsidR="008A2AFE" w:rsidRPr="008A2AFE" w:rsidRDefault="008A2AFE" w:rsidP="00BF214E">
            <w:pPr>
              <w:pStyle w:val="SingleTxtG"/>
              <w:tabs>
                <w:tab w:val="left" w:pos="3537"/>
              </w:tabs>
            </w:pPr>
            <w:r w:rsidRPr="008A2AFE">
              <w:rPr>
                <w:b/>
                <w:bCs/>
              </w:rPr>
              <w:t>Предлагаемое решение:</w:t>
            </w:r>
            <w:r w:rsidRPr="008A2AFE">
              <w:t xml:space="preserve"> </w:t>
            </w:r>
            <w:r w:rsidRPr="008A2AFE">
              <w:tab/>
              <w:t>Изменить формулировку СП 593.</w:t>
            </w:r>
          </w:p>
        </w:tc>
      </w:tr>
      <w:tr w:rsidR="008A2AFE" w:rsidRPr="008A2AFE" w:rsidTr="00BF214E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8A2AFE" w:rsidRPr="008A2AFE" w:rsidRDefault="008A2AFE" w:rsidP="00850215">
            <w:pPr>
              <w:rPr>
                <w:rFonts w:cs="Times New Roman"/>
              </w:rPr>
            </w:pPr>
          </w:p>
        </w:tc>
      </w:tr>
    </w:tbl>
    <w:p w:rsidR="00BF214E" w:rsidRPr="006F599A" w:rsidRDefault="00BF214E" w:rsidP="00BF214E">
      <w:pPr>
        <w:pStyle w:val="HChG"/>
      </w:pPr>
      <w:r>
        <w:rPr>
          <w:bCs/>
        </w:rPr>
        <w:tab/>
      </w:r>
      <w:r>
        <w:rPr>
          <w:bCs/>
        </w:rPr>
        <w:tab/>
        <w:t>Введение</w:t>
      </w:r>
    </w:p>
    <w:p w:rsidR="00BF214E" w:rsidRPr="006F599A" w:rsidRDefault="00BF214E" w:rsidP="00BF214E">
      <w:pPr>
        <w:pStyle w:val="SingleTxtG"/>
      </w:pPr>
      <w:r>
        <w:t>1.</w:t>
      </w:r>
      <w:r>
        <w:tab/>
        <w:t xml:space="preserve">СП 593 применяется к № ООН 1913 НЕОН ОХЛАЖДЕННЫЙ ЖИДКИЙ, № ООН 1951 АРГОН ОХЛАЖДЕННЫЙ ЖИДКИЙ, № ООН 1963 ГЕЛИЙ ОХЛАЖДЕННЫЙ ЖИДКИЙ, № ООН 1970 КРИПТОН ОХЛАЖДЕННЫЙ ЖИДКИЙ, № ООН 1977 АЗОТ ОХЛАЖДЕННЫЙ ЖИДКИЙ, № ООН 3136 ТРИФТОРМЕТАН ОХЛАЖДЕННЫЙ ЖИДКИЙ и № ООН 3158 ГАЗ ОХЛАЖДЕННЫЙ ЖИДКИЙ, Н.У.К. </w:t>
      </w:r>
    </w:p>
    <w:p w:rsidR="00BF214E" w:rsidRPr="006F599A" w:rsidRDefault="00BF214E" w:rsidP="00BF214E">
      <w:pPr>
        <w:pStyle w:val="SingleTxtG"/>
      </w:pPr>
      <w:r>
        <w:t>2.</w:t>
      </w:r>
      <w:r>
        <w:tab/>
        <w:t xml:space="preserve">Существующий текст СП 593 гласит: «Этот газ, предназначенный для охлаждения, например, медицинских или биологических образцов, если он содержится в сосудах с двойными стенками, соответствующих положениям инструкции по упаковке Р203 (6) (требования к открытым криогенным сосудам), </w:t>
      </w:r>
      <w:r>
        <w:lastRenderedPageBreak/>
        <w:t>изложенной в подразделе 4.1.4.1, не подпадает под действие требований ДОПОГ, за исключением случаев, предусмотренных в разделе 5.5.3.».</w:t>
      </w:r>
    </w:p>
    <w:p w:rsidR="00BF214E" w:rsidRPr="006F599A" w:rsidRDefault="00BF214E" w:rsidP="00BF214E">
      <w:pPr>
        <w:pStyle w:val="SingleTxtG"/>
      </w:pPr>
      <w:r>
        <w:t>3.</w:t>
      </w:r>
      <w:r>
        <w:tab/>
        <w:t>Между тем в пункте 5.5.3.2.1 говорится: «Транспортные средства и контейнеры, содержащие вещества, используемые для целей охлаждения или кондиционирования (кроме фумигации) во время перевозки, не подпадают под действие каких-либо других положений ДОПОГ, кроме положений настоящего раздела.». В разделе 5.5.3 не содержится никаких конкретных требований в отношении сосудов с двойной стенкой.</w:t>
      </w:r>
    </w:p>
    <w:p w:rsidR="00BF214E" w:rsidRPr="006F599A" w:rsidRDefault="00BF214E" w:rsidP="00BF214E">
      <w:pPr>
        <w:pStyle w:val="HChG"/>
        <w:rPr>
          <w:rFonts w:eastAsiaTheme="minorEastAsia"/>
        </w:rPr>
      </w:pPr>
      <w:r>
        <w:tab/>
      </w:r>
      <w:r>
        <w:tab/>
        <w:t>Анализ</w:t>
      </w:r>
    </w:p>
    <w:p w:rsidR="00BF214E" w:rsidRPr="006F599A" w:rsidRDefault="00BF214E" w:rsidP="00BF214E">
      <w:pPr>
        <w:pStyle w:val="SingleTxtG"/>
      </w:pPr>
      <w:r>
        <w:t>4.</w:t>
      </w:r>
      <w:r>
        <w:tab/>
        <w:t xml:space="preserve">СП 593, как представляется, не в полной мере совместимо с разделом 5.5.3, поскольку оно содержит дополнительные требования, не включенные в раздел 5.5.3. </w:t>
      </w:r>
    </w:p>
    <w:p w:rsidR="00BF214E" w:rsidRPr="006F599A" w:rsidRDefault="00BF214E" w:rsidP="00BF214E">
      <w:pPr>
        <w:pStyle w:val="SingleTxtG"/>
      </w:pPr>
      <w:r>
        <w:t>5.</w:t>
      </w:r>
      <w:r>
        <w:tab/>
        <w:t>Формулировка СП 593, по-видимому, не была изменена с целью учета поправок, внесенных в раздел 5.5.3, и представляется необходимым обновить этот текст.</w:t>
      </w:r>
    </w:p>
    <w:p w:rsidR="00BF214E" w:rsidRDefault="00BF214E" w:rsidP="00BF214E">
      <w:pPr>
        <w:pStyle w:val="SingleTxtG"/>
      </w:pPr>
      <w:r>
        <w:t>6.</w:t>
      </w:r>
      <w:r>
        <w:tab/>
        <w:t xml:space="preserve">Не все номера ООН, к которым применяется СП 593, четко указаны в разделе 5.5.3. Раздел 5.5.3 не содержит полного перечня, в нем лишь приводятся примеры. Кроме того, цель, для которой следует применять СП 593, полностью подпадает под сферу применения раздела 5.5.3. </w:t>
      </w:r>
    </w:p>
    <w:p w:rsidR="00BF214E" w:rsidRPr="006F599A" w:rsidRDefault="00BF214E" w:rsidP="00BF214E">
      <w:pPr>
        <w:pStyle w:val="SingleTxtG"/>
      </w:pPr>
      <w:r>
        <w:t>7.</w:t>
      </w:r>
      <w:r>
        <w:tab/>
        <w:t>Таким образом, СП 593 следует изменить, с тем чтобы включить в него лишь прямую ссылку на раздел 5.5.3. Кроме того, Испания предлагает изменить первоначальную формулировку СП 593, чтобы привести ее в соответствие с формулировкой, используемой в разделе 5.5.3.</w:t>
      </w:r>
    </w:p>
    <w:p w:rsidR="00BF214E" w:rsidRDefault="00BF214E" w:rsidP="00BF214E">
      <w:pPr>
        <w:pStyle w:val="HChG"/>
        <w:rPr>
          <w:rFonts w:eastAsiaTheme="minorEastAsia"/>
        </w:rPr>
      </w:pPr>
      <w:r>
        <w:tab/>
      </w:r>
      <w:r>
        <w:tab/>
        <w:t>Предложение</w:t>
      </w:r>
    </w:p>
    <w:p w:rsidR="00BF214E" w:rsidRPr="005077F4" w:rsidRDefault="00BF214E" w:rsidP="00BF214E">
      <w:pPr>
        <w:pStyle w:val="SingleTxtG"/>
        <w:rPr>
          <w:rFonts w:eastAsiaTheme="minorEastAsia"/>
        </w:rPr>
      </w:pPr>
      <w:r>
        <w:t>8.</w:t>
      </w:r>
      <w:r>
        <w:tab/>
        <w:t xml:space="preserve">Испания предлагает изменить СП 593, исключив часть существующего текста (новый текст </w:t>
      </w:r>
      <w:r>
        <w:rPr>
          <w:u w:val="single"/>
        </w:rPr>
        <w:t>подчеркнут</w:t>
      </w:r>
      <w:r>
        <w:t xml:space="preserve">, а исключенный текст </w:t>
      </w:r>
      <w:r>
        <w:rPr>
          <w:strike/>
        </w:rPr>
        <w:t>зачеркнут</w:t>
      </w:r>
      <w:r>
        <w:t>):</w:t>
      </w:r>
    </w:p>
    <w:p w:rsidR="008A2AFE" w:rsidRDefault="00BF214E" w:rsidP="00BF214E">
      <w:pPr>
        <w:pStyle w:val="SingleTxtG"/>
      </w:pPr>
      <w:r>
        <w:t xml:space="preserve">«Этот газ, </w:t>
      </w:r>
      <w:r>
        <w:rPr>
          <w:u w:val="single"/>
        </w:rPr>
        <w:t>когда он используется для целей</w:t>
      </w:r>
      <w:r>
        <w:t xml:space="preserve"> </w:t>
      </w:r>
      <w:r>
        <w:rPr>
          <w:strike/>
        </w:rPr>
        <w:t>предназначенный для</w:t>
      </w:r>
      <w:r>
        <w:t xml:space="preserve"> охлаждения </w:t>
      </w:r>
      <w:r>
        <w:rPr>
          <w:u w:val="single"/>
        </w:rPr>
        <w:t>или кондиционирования</w:t>
      </w:r>
      <w:r>
        <w:t xml:space="preserve">, например, медицинских или биологических образцов, </w:t>
      </w:r>
      <w:r>
        <w:rPr>
          <w:strike/>
        </w:rPr>
        <w:t>если он содержится в сосудах с двойными стенками, соответствующих положениям инструкции по упаковке Р203 (6) (требования к открытым криогенным сосудам), изложенной в подразделе 4.1.4.1,</w:t>
      </w:r>
      <w:r>
        <w:t xml:space="preserve"> не подпадает под действие требований ДОПОГ, за исключением случаев, предусмотренных в разделе 5.5.3.».</w:t>
      </w:r>
    </w:p>
    <w:p w:rsidR="008A2AFE" w:rsidRPr="00BF214E" w:rsidRDefault="00BF214E" w:rsidP="00BF214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2AFE" w:rsidRPr="00BF214E" w:rsidSect="008A2A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C51" w:rsidRPr="00A312BC" w:rsidRDefault="00CE3C51" w:rsidP="00A312BC"/>
  </w:endnote>
  <w:endnote w:type="continuationSeparator" w:id="0">
    <w:p w:rsidR="00CE3C51" w:rsidRPr="00A312BC" w:rsidRDefault="00CE3C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FE" w:rsidRPr="008A2AFE" w:rsidRDefault="008A2AFE">
    <w:pPr>
      <w:pStyle w:val="Footer"/>
    </w:pPr>
    <w:r w:rsidRPr="008A2AFE">
      <w:rPr>
        <w:b/>
        <w:sz w:val="18"/>
      </w:rPr>
      <w:fldChar w:fldCharType="begin"/>
    </w:r>
    <w:r w:rsidRPr="008A2AFE">
      <w:rPr>
        <w:b/>
        <w:sz w:val="18"/>
      </w:rPr>
      <w:instrText xml:space="preserve"> PAGE  \* MERGEFORMAT </w:instrText>
    </w:r>
    <w:r w:rsidRPr="008A2AFE">
      <w:rPr>
        <w:b/>
        <w:sz w:val="18"/>
      </w:rPr>
      <w:fldChar w:fldCharType="separate"/>
    </w:r>
    <w:r w:rsidR="007854D6">
      <w:rPr>
        <w:b/>
        <w:noProof/>
        <w:sz w:val="18"/>
      </w:rPr>
      <w:t>2</w:t>
    </w:r>
    <w:r w:rsidRPr="008A2AFE">
      <w:rPr>
        <w:b/>
        <w:sz w:val="18"/>
      </w:rPr>
      <w:fldChar w:fldCharType="end"/>
    </w:r>
    <w:r>
      <w:rPr>
        <w:b/>
        <w:sz w:val="18"/>
      </w:rPr>
      <w:tab/>
    </w:r>
    <w:r>
      <w:t>GE.19-10105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FE" w:rsidRPr="008A2AFE" w:rsidRDefault="008A2AFE" w:rsidP="008A2AFE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GE.19-10105</w:t>
    </w:r>
    <w:r>
      <w:tab/>
    </w:r>
    <w:r w:rsidRPr="008A2AFE">
      <w:rPr>
        <w:b/>
        <w:sz w:val="18"/>
      </w:rPr>
      <w:fldChar w:fldCharType="begin"/>
    </w:r>
    <w:r w:rsidRPr="008A2AFE">
      <w:rPr>
        <w:b/>
        <w:sz w:val="18"/>
      </w:rPr>
      <w:instrText xml:space="preserve"> PAGE  \* MERGEFORMAT </w:instrText>
    </w:r>
    <w:r w:rsidRPr="008A2AF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A2A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A2AFE" w:rsidRDefault="008A2AFE" w:rsidP="008A2AF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19-10105  (R)</w:t>
    </w:r>
    <w:r w:rsidR="00BF214E">
      <w:rPr>
        <w:lang w:val="en-US"/>
      </w:rPr>
      <w:t xml:space="preserve">  250619  250619</w:t>
    </w:r>
    <w:r>
      <w:br/>
    </w:r>
    <w:r w:rsidRPr="008A2AFE">
      <w:rPr>
        <w:rFonts w:ascii="C39T30Lfz" w:hAnsi="C39T30Lfz"/>
        <w:kern w:val="14"/>
        <w:sz w:val="56"/>
      </w:rPr>
      <w:t></w:t>
    </w:r>
    <w:r w:rsidRPr="008A2AFE">
      <w:rPr>
        <w:rFonts w:ascii="C39T30Lfz" w:hAnsi="C39T30Lfz"/>
        <w:kern w:val="14"/>
        <w:sz w:val="56"/>
      </w:rPr>
      <w:t></w:t>
    </w:r>
    <w:r w:rsidRPr="008A2AFE">
      <w:rPr>
        <w:rFonts w:ascii="C39T30Lfz" w:hAnsi="C39T30Lfz"/>
        <w:kern w:val="14"/>
        <w:sz w:val="56"/>
      </w:rPr>
      <w:t></w:t>
    </w:r>
    <w:r w:rsidRPr="008A2AFE">
      <w:rPr>
        <w:rFonts w:ascii="C39T30Lfz" w:hAnsi="C39T30Lfz"/>
        <w:kern w:val="14"/>
        <w:sz w:val="56"/>
      </w:rPr>
      <w:t></w:t>
    </w:r>
    <w:r w:rsidRPr="008A2AFE">
      <w:rPr>
        <w:rFonts w:ascii="C39T30Lfz" w:hAnsi="C39T30Lfz"/>
        <w:kern w:val="14"/>
        <w:sz w:val="56"/>
      </w:rPr>
      <w:t></w:t>
    </w:r>
    <w:r w:rsidRPr="008A2AFE">
      <w:rPr>
        <w:rFonts w:ascii="C39T30Lfz" w:hAnsi="C39T30Lfz"/>
        <w:kern w:val="14"/>
        <w:sz w:val="56"/>
      </w:rPr>
      <w:t></w:t>
    </w:r>
    <w:r w:rsidRPr="008A2AFE">
      <w:rPr>
        <w:rFonts w:ascii="C39T30Lfz" w:hAnsi="C39T30Lfz"/>
        <w:kern w:val="14"/>
        <w:sz w:val="56"/>
      </w:rPr>
      <w:t></w:t>
    </w:r>
    <w:r w:rsidRPr="008A2AFE">
      <w:rPr>
        <w:rFonts w:ascii="C39T30Lfz" w:hAnsi="C39T30Lfz"/>
        <w:kern w:val="14"/>
        <w:sz w:val="56"/>
      </w:rPr>
      <w:t></w:t>
    </w:r>
    <w:r w:rsidRPr="008A2AF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3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3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C51" w:rsidRPr="001075E9" w:rsidRDefault="00CE3C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3C51" w:rsidRDefault="00CE3C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A2AFE" w:rsidRPr="008A2AFE" w:rsidRDefault="008A2AFE">
      <w:pPr>
        <w:pStyle w:val="FootnoteText"/>
        <w:rPr>
          <w:sz w:val="20"/>
        </w:rPr>
      </w:pPr>
      <w:r>
        <w:tab/>
      </w:r>
      <w:r w:rsidRPr="008A2AFE">
        <w:rPr>
          <w:rStyle w:val="FootnoteReference"/>
          <w:sz w:val="20"/>
          <w:vertAlign w:val="baseline"/>
        </w:rPr>
        <w:t>*</w:t>
      </w:r>
      <w:r w:rsidRPr="008A2AFE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8A2AFE" w:rsidRPr="008A2AFE" w:rsidRDefault="008A2AFE">
      <w:pPr>
        <w:pStyle w:val="FootnoteText"/>
        <w:rPr>
          <w:sz w:val="20"/>
        </w:rPr>
      </w:pPr>
      <w:r>
        <w:tab/>
      </w:r>
      <w:r w:rsidRPr="008A2AFE">
        <w:rPr>
          <w:rStyle w:val="FootnoteReference"/>
          <w:sz w:val="20"/>
          <w:vertAlign w:val="baseline"/>
        </w:rPr>
        <w:t>**</w:t>
      </w:r>
      <w:r w:rsidRPr="008A2AFE">
        <w:rPr>
          <w:rStyle w:val="FootnoteReference"/>
          <w:vertAlign w:val="baseline"/>
        </w:rPr>
        <w:tab/>
      </w:r>
      <w:r w:rsidRPr="008A2AFE">
        <w:t>Распространено Межправительственной организацией по международным железнодорожным перевозкам (ОТИФ) под условным обозначением OTIF/RID/RC/2019/33.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FE" w:rsidRPr="008A2AFE" w:rsidRDefault="007854D6">
    <w:pPr>
      <w:pStyle w:val="Header"/>
    </w:pPr>
    <w:fldSimple w:instr=" TITLE  \* MERGEFORMAT ">
      <w:r>
        <w:t>ECE/TRANS/WP.15/AC.1/2019/33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FE" w:rsidRPr="008A2AFE" w:rsidRDefault="007854D6" w:rsidP="008A2AFE">
    <w:pPr>
      <w:pStyle w:val="Header"/>
      <w:jc w:val="right"/>
    </w:pPr>
    <w:fldSimple w:instr=" TITLE  \* MERGEFORMAT ">
      <w:r>
        <w:t>ECE/TRANS/WP.15/AC.1/2019/33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5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6C0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07EA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54D6"/>
    <w:rsid w:val="00792497"/>
    <w:rsid w:val="00806737"/>
    <w:rsid w:val="00825F8D"/>
    <w:rsid w:val="00834B71"/>
    <w:rsid w:val="0086445C"/>
    <w:rsid w:val="00894693"/>
    <w:rsid w:val="008A08D7"/>
    <w:rsid w:val="008A2AFE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4BB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214E"/>
    <w:rsid w:val="00C106D6"/>
    <w:rsid w:val="00C119AE"/>
    <w:rsid w:val="00C60F0C"/>
    <w:rsid w:val="00C71E84"/>
    <w:rsid w:val="00C805C9"/>
    <w:rsid w:val="00C92939"/>
    <w:rsid w:val="00CA1679"/>
    <w:rsid w:val="00CB151C"/>
    <w:rsid w:val="00CE3C51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56F3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29996A0-DB76-46D9-89A9-8D0F64D2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8A2AFE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8A2AF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ECE/TRANS/WP.15/AC.1/2019/33</vt:lpstr>
      <vt:lpstr>ECE/TRANS/WP.15/AC.1/2019/33</vt:lpstr>
      <vt:lpstr>A/</vt:lpstr>
    </vt:vector>
  </TitlesOfParts>
  <Company>DCM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ECE/TRANS/WP.15/AC.1/2019/33</dc:title>
  <dc:subject/>
  <dc:creator>Marina KOROTKOVA</dc:creator>
  <cp:keywords/>
  <cp:lastModifiedBy>Christine Barrio-Champeau</cp:lastModifiedBy>
  <cp:revision>2</cp:revision>
  <cp:lastPrinted>2019-06-25T12:38:00Z</cp:lastPrinted>
  <dcterms:created xsi:type="dcterms:W3CDTF">2019-07-25T08:30:00Z</dcterms:created>
  <dcterms:modified xsi:type="dcterms:W3CDTF">2019-07-25T08:30:00Z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