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9E6CB7" w:rsidRPr="00D47EEA" w:rsidRDefault="00A95400" w:rsidP="00A95400">
            <w:pPr>
              <w:jc w:val="right"/>
            </w:pPr>
            <w:r w:rsidRPr="00A95400">
              <w:rPr>
                <w:sz w:val="40"/>
              </w:rPr>
              <w:t>ECE</w:t>
            </w:r>
            <w:r>
              <w:t>/TRANS/WP.15/AC.1/2019/31</w:t>
            </w:r>
          </w:p>
        </w:tc>
      </w:tr>
      <w:tr w:rsidR="009E6CB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63DC0CA" wp14:editId="6A19E849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2B700D" w:rsidRDefault="002B700D" w:rsidP="00A95400">
            <w:pPr>
              <w:spacing w:before="240" w:line="240" w:lineRule="exact"/>
            </w:pPr>
            <w:r>
              <w:t>Distr.: General</w:t>
            </w:r>
          </w:p>
          <w:p w:rsidR="009E6CB7" w:rsidRDefault="002B700D" w:rsidP="002B700D">
            <w:pPr>
              <w:spacing w:line="240" w:lineRule="exact"/>
            </w:pPr>
            <w:r>
              <w:t>19</w:t>
            </w:r>
            <w:r w:rsidR="00A95400">
              <w:t xml:space="preserve"> June 2019</w:t>
            </w:r>
          </w:p>
          <w:p w:rsidR="00A95400" w:rsidRDefault="00A95400" w:rsidP="00A95400">
            <w:pPr>
              <w:spacing w:line="240" w:lineRule="exact"/>
            </w:pPr>
          </w:p>
          <w:p w:rsidR="00A95400" w:rsidRDefault="00A95400" w:rsidP="00A95400">
            <w:pPr>
              <w:spacing w:line="240" w:lineRule="exact"/>
            </w:pPr>
            <w:r>
              <w:t>Original: English</w:t>
            </w:r>
          </w:p>
        </w:tc>
      </w:tr>
    </w:tbl>
    <w:p w:rsidR="007960EF" w:rsidRPr="00960236" w:rsidRDefault="007960EF" w:rsidP="00C411EB">
      <w:pPr>
        <w:spacing w:before="120"/>
        <w:rPr>
          <w:b/>
          <w:sz w:val="28"/>
          <w:szCs w:val="28"/>
        </w:rPr>
      </w:pPr>
      <w:r w:rsidRPr="00960236">
        <w:rPr>
          <w:b/>
          <w:sz w:val="28"/>
          <w:szCs w:val="28"/>
        </w:rPr>
        <w:t>Economic Commission for Europe</w:t>
      </w:r>
    </w:p>
    <w:p w:rsidR="007960EF" w:rsidRPr="00960236" w:rsidRDefault="007960EF" w:rsidP="00C411EB">
      <w:pPr>
        <w:spacing w:before="120"/>
        <w:rPr>
          <w:sz w:val="28"/>
          <w:szCs w:val="28"/>
        </w:rPr>
      </w:pPr>
      <w:r w:rsidRPr="00960236">
        <w:rPr>
          <w:sz w:val="28"/>
          <w:szCs w:val="28"/>
        </w:rPr>
        <w:t>Inland Transport Committee</w:t>
      </w:r>
    </w:p>
    <w:p w:rsidR="007960EF" w:rsidRPr="00960236" w:rsidRDefault="007960EF" w:rsidP="00C411EB">
      <w:pPr>
        <w:spacing w:before="120"/>
        <w:rPr>
          <w:b/>
          <w:sz w:val="24"/>
          <w:szCs w:val="24"/>
        </w:rPr>
      </w:pPr>
      <w:r w:rsidRPr="00960236">
        <w:rPr>
          <w:b/>
          <w:sz w:val="24"/>
          <w:szCs w:val="24"/>
        </w:rPr>
        <w:t>Working Party on the Transport of Dangerous Goods</w:t>
      </w:r>
    </w:p>
    <w:p w:rsidR="007960EF" w:rsidRPr="00960236" w:rsidRDefault="007960EF" w:rsidP="00C411EB">
      <w:pPr>
        <w:spacing w:before="120"/>
        <w:rPr>
          <w:b/>
        </w:rPr>
      </w:pPr>
      <w:r w:rsidRPr="00960236">
        <w:rPr>
          <w:b/>
        </w:rPr>
        <w:t>Joint Meeting of the RID Committee of Experts and the</w:t>
      </w:r>
      <w:r>
        <w:rPr>
          <w:b/>
        </w:rPr>
        <w:br/>
      </w:r>
      <w:r w:rsidRPr="00960236">
        <w:rPr>
          <w:b/>
        </w:rPr>
        <w:t>Working Party on the Transport of Dangerous Goods</w:t>
      </w:r>
    </w:p>
    <w:p w:rsidR="007960EF" w:rsidRDefault="007960EF" w:rsidP="007960EF">
      <w:r>
        <w:t>Item 4 of the provisional agenda</w:t>
      </w:r>
      <w:r>
        <w:br/>
      </w:r>
      <w:r>
        <w:rPr>
          <w:b/>
          <w:bCs/>
          <w:szCs w:val="22"/>
        </w:rPr>
        <w:t xml:space="preserve">Harmonization with the United Nations Recommendations </w:t>
      </w:r>
      <w:r>
        <w:rPr>
          <w:b/>
          <w:bCs/>
          <w:szCs w:val="22"/>
        </w:rPr>
        <w:br/>
        <w:t>on the Transport of Dangerous Goods</w:t>
      </w:r>
    </w:p>
    <w:p w:rsidR="007960EF" w:rsidRDefault="007960EF" w:rsidP="007960EF">
      <w:pPr>
        <w:pStyle w:val="HChG"/>
      </w:pPr>
      <w:r>
        <w:tab/>
      </w:r>
      <w:r>
        <w:tab/>
        <w:t>Use of the term "conveyance"</w:t>
      </w:r>
    </w:p>
    <w:p w:rsidR="007960EF" w:rsidRDefault="007960EF" w:rsidP="007960EF">
      <w:pPr>
        <w:pStyle w:val="H1G"/>
        <w:rPr>
          <w:sz w:val="20"/>
          <w:vertAlign w:val="superscript"/>
        </w:rPr>
      </w:pPr>
      <w:r>
        <w:tab/>
      </w:r>
      <w:r>
        <w:tab/>
        <w:t>T</w:t>
      </w:r>
      <w:r w:rsidRPr="007960EF">
        <w:t>ransmitted by the Secretariat of OTIF</w:t>
      </w:r>
      <w:bookmarkStart w:id="0" w:name="_GoBack"/>
      <w:bookmarkEnd w:id="0"/>
      <w:r w:rsidRPr="007960EF">
        <w:rPr>
          <w:rStyle w:val="FootnoteReference"/>
          <w:sz w:val="20"/>
        </w:rPr>
        <w:footnoteReference w:customMarkFollows="1" w:id="2"/>
        <w:t>*</w:t>
      </w:r>
      <w:r w:rsidRPr="007960EF">
        <w:rPr>
          <w:sz w:val="20"/>
          <w:vertAlign w:val="superscript"/>
        </w:rPr>
        <w:t xml:space="preserve">, </w:t>
      </w:r>
      <w:r w:rsidRPr="007960EF">
        <w:rPr>
          <w:rStyle w:val="FootnoteReference"/>
          <w:sz w:val="20"/>
        </w:rPr>
        <w:footnoteReference w:customMarkFollows="1" w:id="3"/>
        <w:t>*</w:t>
      </w:r>
      <w:r>
        <w:rPr>
          <w:rStyle w:val="FootnoteReference"/>
          <w:sz w:val="20"/>
        </w:rPr>
        <w:t>*</w:t>
      </w:r>
    </w:p>
    <w:p w:rsidR="007960EF" w:rsidRDefault="007960EF" w:rsidP="007960EF">
      <w:pPr>
        <w:pStyle w:val="HChG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Introduction</w:t>
      </w:r>
    </w:p>
    <w:p w:rsidR="007960EF" w:rsidRPr="001B5CB0" w:rsidRDefault="007960EF" w:rsidP="007960EF">
      <w:pPr>
        <w:pStyle w:val="SingleTxtG"/>
        <w:rPr>
          <w:snapToGrid w:val="0"/>
        </w:rPr>
      </w:pPr>
      <w:r w:rsidRPr="002B700D">
        <w:rPr>
          <w:snapToGrid w:val="0"/>
        </w:rPr>
        <w:t>1.</w:t>
      </w:r>
      <w:r w:rsidRPr="002B700D">
        <w:rPr>
          <w:snapToGrid w:val="0"/>
        </w:rPr>
        <w:tab/>
      </w:r>
      <w:r w:rsidRPr="002B700D">
        <w:t xml:space="preserve">In the amended wording of 5.1.5.3.2, the ad hoc working group on the harmonisation of RID/ADR/ADN with the UN Recommendations on the Transport of Dangerous Goods decided to use the term </w:t>
      </w:r>
      <w:r w:rsidR="002B700D" w:rsidRPr="002B700D">
        <w:t>defined</w:t>
      </w:r>
      <w:r w:rsidRPr="002B700D">
        <w:t xml:space="preserve"> in the UN Model Regulations and the IAEA provisions ("conveyance") instead of the terms "wagon/vehicle" originally proposed by the Secretariat (see document OTIF/RID/RC/2019/</w:t>
      </w:r>
      <w:r w:rsidR="002B700D" w:rsidRPr="002B700D">
        <w:t>22</w:t>
      </w:r>
      <w:r w:rsidRPr="002B700D">
        <w:t>– ECE/TRANS/WP.15/AC.1/2019/</w:t>
      </w:r>
      <w:r w:rsidR="002B700D" w:rsidRPr="002B700D">
        <w:t>22</w:t>
      </w:r>
      <w:r w:rsidRPr="002B700D">
        <w:t xml:space="preserve"> paragraph 56 and OTIF/RID/RC/2019/</w:t>
      </w:r>
      <w:r w:rsidR="002B700D" w:rsidRPr="002B700D">
        <w:t>22</w:t>
      </w:r>
      <w:r w:rsidRPr="002B700D">
        <w:t>/Add.1 – ECE/TRANS/WP.15/AC.1/2019/</w:t>
      </w:r>
      <w:r w:rsidR="002B700D" w:rsidRPr="002B700D">
        <w:t>22</w:t>
      </w:r>
      <w:r w:rsidRPr="002B700D">
        <w:t>/Add.1).</w:t>
      </w:r>
    </w:p>
    <w:p w:rsidR="007960EF" w:rsidRDefault="007960EF" w:rsidP="007960EF">
      <w:pPr>
        <w:pStyle w:val="SingleTxtG"/>
      </w:pPr>
      <w:r>
        <w:t>2.</w:t>
      </w:r>
      <w:r>
        <w:tab/>
        <w:t>RID/ADR 1.2.1 defines the term "conveyance" as follows:</w:t>
      </w:r>
    </w:p>
    <w:p w:rsidR="007960EF" w:rsidRDefault="007960EF" w:rsidP="007960EF">
      <w:pPr>
        <w:pStyle w:val="SingleTxtG"/>
      </w:pPr>
      <w:r>
        <w:t xml:space="preserve">"For carriage by road or by rail, a </w:t>
      </w:r>
      <w:r>
        <w:rPr>
          <w:i/>
          <w:iCs/>
        </w:rPr>
        <w:t>road vehicle</w:t>
      </w:r>
      <w:r>
        <w:t xml:space="preserve"> or a </w:t>
      </w:r>
      <w:r>
        <w:rPr>
          <w:i/>
          <w:iCs/>
        </w:rPr>
        <w:t>wagon</w:t>
      </w:r>
      <w:r>
        <w:t>."</w:t>
      </w:r>
    </w:p>
    <w:p w:rsidR="007960EF" w:rsidRDefault="007960EF" w:rsidP="007960EF">
      <w:pPr>
        <w:pStyle w:val="SingleTxtG"/>
      </w:pPr>
      <w:r>
        <w:t>ADN 1.2.1 defines the term "conveyance" as follows:</w:t>
      </w:r>
    </w:p>
    <w:p w:rsidR="007960EF" w:rsidRDefault="007960EF" w:rsidP="007960EF">
      <w:pPr>
        <w:pStyle w:val="SingleTxtG"/>
      </w:pPr>
      <w:r>
        <w:t>"With respect to the carriage by inland waterway, any vessel, hold or defined deck area of any vessel; for carriage by road or by rail, it means a vehicle or a wagon."</w:t>
      </w:r>
    </w:p>
    <w:p w:rsidR="007960EF" w:rsidRDefault="007960EF" w:rsidP="007960EF">
      <w:pPr>
        <w:pStyle w:val="SingleTxtG"/>
      </w:pPr>
      <w:r>
        <w:t>3.</w:t>
      </w:r>
      <w:r>
        <w:tab/>
        <w:t>It was noted that in the current texts that have been carried over into RID/ADR from the IAEA provisions, the term "wagon" or "vehicle" was used instead of the term "conveyance" defined in 1.2.1.</w:t>
      </w:r>
    </w:p>
    <w:p w:rsidR="007960EF" w:rsidRDefault="007960EF" w:rsidP="007960EF">
      <w:pPr>
        <w:pStyle w:val="SingleTxtG"/>
      </w:pPr>
      <w:r>
        <w:t>4.</w:t>
      </w:r>
      <w:r>
        <w:tab/>
        <w:t>This concerns the following parts of RID/ADR:</w:t>
      </w:r>
    </w:p>
    <w:p w:rsidR="007960EF" w:rsidRDefault="007960EF" w:rsidP="007960EF">
      <w:pPr>
        <w:ind w:left="1701" w:firstLine="1"/>
      </w:pPr>
      <w:r>
        <w:t>–</w:t>
      </w:r>
      <w:r>
        <w:tab/>
        <w:t>1.2.1, definition of "exclusive use",</w:t>
      </w:r>
    </w:p>
    <w:p w:rsidR="007960EF" w:rsidRDefault="007960EF" w:rsidP="007960EF">
      <w:pPr>
        <w:ind w:left="1701" w:firstLine="1"/>
      </w:pPr>
      <w:r>
        <w:t>–</w:t>
      </w:r>
      <w:r>
        <w:tab/>
        <w:t>1.6.6.3,</w:t>
      </w:r>
    </w:p>
    <w:p w:rsidR="007960EF" w:rsidRDefault="007960EF" w:rsidP="007960EF">
      <w:pPr>
        <w:ind w:left="1701" w:firstLine="1"/>
      </w:pPr>
      <w:r>
        <w:t>–</w:t>
      </w:r>
      <w:r>
        <w:tab/>
        <w:t>1.7.1.2, second subparagraph,</w:t>
      </w:r>
    </w:p>
    <w:p w:rsidR="007960EF" w:rsidRDefault="007960EF" w:rsidP="007960EF">
      <w:pPr>
        <w:ind w:left="1701" w:firstLine="1"/>
      </w:pPr>
      <w:r>
        <w:t>–</w:t>
      </w:r>
      <w:r>
        <w:tab/>
        <w:t>4.1.9.1.4,</w:t>
      </w:r>
    </w:p>
    <w:p w:rsidR="007960EF" w:rsidRDefault="007960EF" w:rsidP="007960EF">
      <w:pPr>
        <w:ind w:left="1701" w:firstLine="1"/>
      </w:pPr>
      <w:r>
        <w:t>–</w:t>
      </w:r>
      <w:r>
        <w:tab/>
        <w:t>4.1.9.2.4 (a), (b) and (c),</w:t>
      </w:r>
    </w:p>
    <w:p w:rsidR="007960EF" w:rsidRDefault="007960EF" w:rsidP="007960EF">
      <w:pPr>
        <w:ind w:left="1701" w:firstLine="1"/>
      </w:pPr>
      <w:r>
        <w:lastRenderedPageBreak/>
        <w:t>–</w:t>
      </w:r>
      <w:r>
        <w:tab/>
        <w:t>5.1.5.1.2 (c),</w:t>
      </w:r>
    </w:p>
    <w:p w:rsidR="007960EF" w:rsidRDefault="007960EF" w:rsidP="007960EF">
      <w:pPr>
        <w:ind w:left="1701" w:firstLine="1"/>
      </w:pPr>
      <w:r>
        <w:t>–</w:t>
      </w:r>
      <w:r>
        <w:tab/>
        <w:t>5.1.5.3.2,</w:t>
      </w:r>
    </w:p>
    <w:p w:rsidR="007960EF" w:rsidRDefault="007960EF" w:rsidP="007960EF">
      <w:pPr>
        <w:ind w:left="1701" w:firstLine="1"/>
      </w:pPr>
      <w:r>
        <w:t>–</w:t>
      </w:r>
      <w:r>
        <w:tab/>
        <w:t>5.1.5.3.3,</w:t>
      </w:r>
    </w:p>
    <w:p w:rsidR="007960EF" w:rsidRDefault="007960EF" w:rsidP="007960EF">
      <w:pPr>
        <w:ind w:left="1701" w:firstLine="1"/>
      </w:pPr>
      <w:r>
        <w:t>–</w:t>
      </w:r>
      <w:r>
        <w:tab/>
        <w:t>5.4.1.2.5.1 (h) (four times),</w:t>
      </w:r>
    </w:p>
    <w:p w:rsidR="007960EF" w:rsidRDefault="007960EF" w:rsidP="007960EF">
      <w:pPr>
        <w:ind w:left="1701" w:firstLine="1"/>
      </w:pPr>
      <w:r>
        <w:t>–</w:t>
      </w:r>
      <w:r>
        <w:tab/>
        <w:t>5.4.1.2.5.2 (b),</w:t>
      </w:r>
    </w:p>
    <w:p w:rsidR="007960EF" w:rsidRDefault="007960EF" w:rsidP="007960EF">
      <w:pPr>
        <w:ind w:left="1701" w:firstLine="1"/>
      </w:pPr>
      <w:r>
        <w:t>–</w:t>
      </w:r>
      <w:r>
        <w:tab/>
        <w:t>6.4.2.1,</w:t>
      </w:r>
    </w:p>
    <w:p w:rsidR="007960EF" w:rsidRDefault="007960EF" w:rsidP="007960EF">
      <w:pPr>
        <w:ind w:left="1701" w:firstLine="1"/>
      </w:pPr>
      <w:r>
        <w:t>–</w:t>
      </w:r>
      <w:r>
        <w:tab/>
        <w:t>6.4.23.2 (b),</w:t>
      </w:r>
    </w:p>
    <w:p w:rsidR="007960EF" w:rsidRDefault="007960EF" w:rsidP="007960EF">
      <w:pPr>
        <w:ind w:left="1701" w:firstLine="1"/>
      </w:pPr>
      <w:r>
        <w:t>–</w:t>
      </w:r>
      <w:r>
        <w:tab/>
        <w:t>6.4.23.4 (g),</w:t>
      </w:r>
    </w:p>
    <w:p w:rsidR="007960EF" w:rsidRDefault="007960EF" w:rsidP="007960EF">
      <w:pPr>
        <w:ind w:left="1701" w:firstLine="1"/>
      </w:pPr>
      <w:r>
        <w:t>–</w:t>
      </w:r>
      <w:r>
        <w:tab/>
        <w:t>6.4.23.15 (e),</w:t>
      </w:r>
    </w:p>
    <w:p w:rsidR="007960EF" w:rsidRDefault="007960EF" w:rsidP="007960EF">
      <w:pPr>
        <w:ind w:left="1701" w:firstLine="1"/>
      </w:pPr>
      <w:r>
        <w:t>–</w:t>
      </w:r>
      <w:r>
        <w:tab/>
        <w:t>6.4.23.16 (e),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(2), first sentence,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(2), Table C (twice),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(3.3), (a) (twice),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(3.3), (b) (twice),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(3.3), (c),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(3.3), Table D (three times),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33, Table E (three times),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(4.2) (twice),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(4.3) (e),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(5.1) (twice),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(5.3),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(5.4) and</w:t>
      </w:r>
    </w:p>
    <w:p w:rsidR="007960EF" w:rsidRDefault="007960EF" w:rsidP="007960EF">
      <w:pPr>
        <w:ind w:left="1701" w:firstLine="1"/>
      </w:pPr>
      <w:r>
        <w:t>–</w:t>
      </w:r>
      <w:r>
        <w:tab/>
        <w:t>7.5.11 special provision CW/CV 33 (5.5).</w:t>
      </w:r>
    </w:p>
    <w:p w:rsidR="007960EF" w:rsidRDefault="007960EF" w:rsidP="007960EF">
      <w:pPr>
        <w:pStyle w:val="SingleTxtG"/>
        <w:spacing w:before="120"/>
      </w:pPr>
      <w:r>
        <w:t>5.</w:t>
      </w:r>
      <w:r>
        <w:tab/>
        <w:t>In the above-mentioned places, ADN uses various terms: "Conveyance", "vessel", "vessel, vehicle, wagon", "vessel or CTU", "vehicle or wagon", "compartment of a vessel, or in another conveyance", "conveyance, hold or compartment of a vessel".</w:t>
      </w:r>
    </w:p>
    <w:p w:rsidR="007960EF" w:rsidRPr="004F6EA5" w:rsidRDefault="007960EF" w:rsidP="007960EF">
      <w:pPr>
        <w:pStyle w:val="H1G"/>
      </w:pPr>
      <w:r>
        <w:tab/>
      </w:r>
      <w:r>
        <w:tab/>
        <w:t>Proposal</w:t>
      </w:r>
    </w:p>
    <w:p w:rsidR="007960EF" w:rsidRDefault="007960EF" w:rsidP="007960EF">
      <w:pPr>
        <w:pStyle w:val="SingleTxtG"/>
        <w:rPr>
          <w:snapToGrid w:val="0"/>
        </w:rPr>
      </w:pPr>
      <w:r>
        <w:t>6.</w:t>
      </w:r>
      <w:r>
        <w:tab/>
      </w:r>
      <w:proofErr w:type="gramStart"/>
      <w:r>
        <w:t>In order to</w:t>
      </w:r>
      <w:proofErr w:type="gramEnd"/>
      <w:r>
        <w:t xml:space="preserve"> make the texts consistent, it is proposed to revoke the decision concerning 5.1.5.3.2 of the ad hoc working group on the harmonisation of RID/ADR/ADN with the UN Recommendations on the Transport of Dangerous Goods and for RID/ADR to amend "each conveyance" to read "each wagon/each vehicle".</w:t>
      </w:r>
    </w:p>
    <w:p w:rsidR="007960EF" w:rsidRDefault="007960EF" w:rsidP="007960EF">
      <w:pPr>
        <w:pStyle w:val="SingleTxtG"/>
        <w:rPr>
          <w:snapToGrid w:val="0"/>
        </w:rPr>
      </w:pPr>
      <w:r>
        <w:rPr>
          <w:snapToGrid w:val="0"/>
        </w:rPr>
        <w:t>7.</w:t>
      </w:r>
      <w:r>
        <w:rPr>
          <w:snapToGrid w:val="0"/>
        </w:rPr>
        <w:tab/>
        <w:t>The decision as to which term should be used in ADN is a matter for the ADN Safety Committee.</w:t>
      </w:r>
    </w:p>
    <w:p w:rsidR="007960EF" w:rsidRPr="007960EF" w:rsidRDefault="007960EF" w:rsidP="007960E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60EF" w:rsidRPr="007960EF" w:rsidSect="00A9540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400" w:rsidRDefault="00A95400"/>
  </w:endnote>
  <w:endnote w:type="continuationSeparator" w:id="0">
    <w:p w:rsidR="00A95400" w:rsidRDefault="00A95400"/>
  </w:endnote>
  <w:endnote w:type="continuationNotice" w:id="1">
    <w:p w:rsidR="00A95400" w:rsidRDefault="00A954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00" w:rsidRPr="00A95400" w:rsidRDefault="00A95400" w:rsidP="00A95400">
    <w:pPr>
      <w:pStyle w:val="Footer"/>
      <w:tabs>
        <w:tab w:val="right" w:pos="9638"/>
      </w:tabs>
      <w:rPr>
        <w:sz w:val="18"/>
      </w:rPr>
    </w:pPr>
    <w:r w:rsidRPr="00A95400">
      <w:rPr>
        <w:b/>
        <w:sz w:val="18"/>
      </w:rPr>
      <w:fldChar w:fldCharType="begin"/>
    </w:r>
    <w:r w:rsidRPr="00A95400">
      <w:rPr>
        <w:b/>
        <w:sz w:val="18"/>
      </w:rPr>
      <w:instrText xml:space="preserve"> PAGE  \* MERGEFORMAT </w:instrText>
    </w:r>
    <w:r w:rsidRPr="00A95400">
      <w:rPr>
        <w:b/>
        <w:sz w:val="18"/>
      </w:rPr>
      <w:fldChar w:fldCharType="separate"/>
    </w:r>
    <w:r w:rsidRPr="00A95400">
      <w:rPr>
        <w:b/>
        <w:noProof/>
        <w:sz w:val="18"/>
      </w:rPr>
      <w:t>2</w:t>
    </w:r>
    <w:r w:rsidRPr="00A95400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00" w:rsidRPr="00A95400" w:rsidRDefault="00A95400" w:rsidP="00A95400">
    <w:pPr>
      <w:pStyle w:val="Footer"/>
      <w:tabs>
        <w:tab w:val="right" w:pos="9638"/>
      </w:tabs>
      <w:rPr>
        <w:b/>
        <w:sz w:val="18"/>
      </w:rPr>
    </w:pPr>
    <w:r>
      <w:tab/>
    </w:r>
    <w:r w:rsidRPr="00A95400">
      <w:rPr>
        <w:b/>
        <w:sz w:val="18"/>
      </w:rPr>
      <w:fldChar w:fldCharType="begin"/>
    </w:r>
    <w:r w:rsidRPr="00A95400">
      <w:rPr>
        <w:b/>
        <w:sz w:val="18"/>
      </w:rPr>
      <w:instrText xml:space="preserve"> PAGE  \* MERGEFORMAT </w:instrText>
    </w:r>
    <w:r w:rsidRPr="00A95400">
      <w:rPr>
        <w:b/>
        <w:sz w:val="18"/>
      </w:rPr>
      <w:fldChar w:fldCharType="separate"/>
    </w:r>
    <w:r w:rsidRPr="00A95400">
      <w:rPr>
        <w:b/>
        <w:noProof/>
        <w:sz w:val="18"/>
      </w:rPr>
      <w:t>3</w:t>
    </w:r>
    <w:r w:rsidRPr="00A9540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400" w:rsidRPr="000B175B" w:rsidRDefault="00A9540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95400" w:rsidRPr="00FC68B7" w:rsidRDefault="00A9540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95400" w:rsidRDefault="00A95400"/>
  </w:footnote>
  <w:footnote w:id="2">
    <w:p w:rsidR="007960EF" w:rsidRDefault="007960EF" w:rsidP="007960EF">
      <w:pPr>
        <w:pStyle w:val="FootnoteText"/>
      </w:pPr>
      <w:r>
        <w:tab/>
      </w:r>
      <w:r w:rsidRPr="007960EF">
        <w:rPr>
          <w:rStyle w:val="FootnoteReference"/>
          <w:sz w:val="20"/>
        </w:rPr>
        <w:t>*</w:t>
      </w:r>
      <w:r>
        <w:t xml:space="preserve"> </w:t>
      </w:r>
      <w:r>
        <w:tab/>
      </w:r>
      <w:r>
        <w:rPr>
          <w:color w:val="000000"/>
          <w:lang w:eastAsia="en-GB"/>
        </w:rPr>
        <w:t>In accordance with the programme of work of the Inland Transport Committee for 2018-2019, (ECE/TRANS/WP.15/237, annex V, (9.2))</w:t>
      </w:r>
      <w:r>
        <w:t>.</w:t>
      </w:r>
    </w:p>
  </w:footnote>
  <w:footnote w:id="3">
    <w:p w:rsidR="007960EF" w:rsidRDefault="007960EF" w:rsidP="007960EF">
      <w:pPr>
        <w:pStyle w:val="FootnoteText"/>
      </w:pPr>
      <w:r>
        <w:rPr>
          <w:sz w:val="20"/>
        </w:rPr>
        <w:tab/>
      </w:r>
      <w:r>
        <w:rPr>
          <w:rStyle w:val="FootnoteReference"/>
          <w:sz w:val="20"/>
        </w:rPr>
        <w:t>**</w:t>
      </w:r>
      <w:r>
        <w:tab/>
        <w:t>Circulated by the Intergovernmental Organisation for International Carriage by Rail (OTIF) under the symbol OTIF/RID/RC/2019/31.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00" w:rsidRPr="00A95400" w:rsidRDefault="0022028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A95400">
      <w:t>ECE/TRANS/WP.15/AC.1/2019/31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400" w:rsidRPr="00A95400" w:rsidRDefault="00220285" w:rsidP="00A9540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95400">
      <w:t>ECE/TRANS/WP.15/AC.1/2019/31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 w:numId="20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00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20285"/>
    <w:rsid w:val="00232575"/>
    <w:rsid w:val="00247258"/>
    <w:rsid w:val="00257CAC"/>
    <w:rsid w:val="00264441"/>
    <w:rsid w:val="0027237A"/>
    <w:rsid w:val="002974E9"/>
    <w:rsid w:val="002A7F94"/>
    <w:rsid w:val="002B109A"/>
    <w:rsid w:val="002B700D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960EF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D01C0"/>
    <w:rsid w:val="009D6A08"/>
    <w:rsid w:val="009E0A16"/>
    <w:rsid w:val="009E6CB7"/>
    <w:rsid w:val="009E7970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95400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78FAE1"/>
  <w15:docId w15:val="{CDDC606E-8454-4F97-9767-B110231C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"/>
    <w:basedOn w:val="DefaultParagraphFont"/>
    <w:link w:val="FootnoteText"/>
    <w:locked/>
    <w:rsid w:val="007960EF"/>
    <w:rPr>
      <w:sz w:val="18"/>
      <w:lang w:val="en-GB"/>
    </w:rPr>
  </w:style>
  <w:style w:type="character" w:customStyle="1" w:styleId="H1GChar">
    <w:name w:val="_ H_1_G Char"/>
    <w:link w:val="H1G"/>
    <w:locked/>
    <w:rsid w:val="007960EF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18214-11F2-4AA9-BECE-3119406E6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9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ECE/TRANS/WP.15/AC.1/2019/31</vt:lpstr>
      <vt:lpstr/>
    </vt:vector>
  </TitlesOfParts>
  <Company>CSD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ECE/TRANS/WP.15/AC.1/2019/31</dc:title>
  <dc:creator>Christine Barrio-Champeau</dc:creator>
  <cp:lastModifiedBy>Christine Barrio-Champeau</cp:lastModifiedBy>
  <cp:revision>4</cp:revision>
  <cp:lastPrinted>2009-02-18T09:36:00Z</cp:lastPrinted>
  <dcterms:created xsi:type="dcterms:W3CDTF">2019-06-17T13:40:00Z</dcterms:created>
  <dcterms:modified xsi:type="dcterms:W3CDTF">2019-06-19T10:24:00Z</dcterms:modified>
</cp:coreProperties>
</file>