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4" w:tblpY="284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F35BAF" w:rsidRPr="00DB58B5" w14:paraId="11AAE881" w14:textId="77777777" w:rsidTr="00C97039">
        <w:trPr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</w:tcPr>
          <w:p w14:paraId="06BBAD77" w14:textId="77777777" w:rsidR="00F35BAF" w:rsidRPr="00DB58B5" w:rsidRDefault="00F35BAF" w:rsidP="00C34951"/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68FA5B2F" w14:textId="77777777" w:rsidR="00F35BAF" w:rsidRPr="00DB58B5" w:rsidRDefault="00F35BAF" w:rsidP="00C97039">
            <w:pPr>
              <w:spacing w:after="80" w:line="300" w:lineRule="exact"/>
              <w:rPr>
                <w:sz w:val="28"/>
              </w:rPr>
            </w:pPr>
            <w:r w:rsidRPr="00DB58B5">
              <w:rPr>
                <w:sz w:val="28"/>
              </w:rPr>
              <w:t>Nations Unies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vAlign w:val="bottom"/>
          </w:tcPr>
          <w:p w14:paraId="678919AD" w14:textId="77777777" w:rsidR="00F35BAF" w:rsidRPr="00DB58B5" w:rsidRDefault="00C34951" w:rsidP="00C34951">
            <w:pPr>
              <w:jc w:val="right"/>
            </w:pPr>
            <w:r w:rsidRPr="00C34951">
              <w:rPr>
                <w:sz w:val="40"/>
              </w:rPr>
              <w:t>ECE</w:t>
            </w:r>
            <w:r>
              <w:t>/TRANS/WP.15/AC.1/2019/25</w:t>
            </w:r>
          </w:p>
        </w:tc>
      </w:tr>
      <w:tr w:rsidR="00F35BAF" w:rsidRPr="00DB58B5" w14:paraId="323804B2" w14:textId="77777777" w:rsidTr="00C97039">
        <w:trPr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14:paraId="64A64A7E" w14:textId="77777777" w:rsidR="00F35BAF" w:rsidRPr="00DB58B5" w:rsidRDefault="00F35BAF" w:rsidP="00C97039">
            <w:pPr>
              <w:spacing w:before="120"/>
              <w:jc w:val="center"/>
            </w:pPr>
            <w:r>
              <w:rPr>
                <w:noProof/>
                <w:lang w:eastAsia="fr-CH"/>
              </w:rPr>
              <w:drawing>
                <wp:inline distT="0" distB="0" distL="0" distR="0" wp14:anchorId="72E1346F" wp14:editId="44A582C8">
                  <wp:extent cx="714375" cy="590550"/>
                  <wp:effectExtent l="0" t="0" r="9525" b="0"/>
                  <wp:docPr id="1" name="Imag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5A84B55D" w14:textId="77777777" w:rsidR="00F35BAF" w:rsidRPr="00740562" w:rsidRDefault="00F35BAF" w:rsidP="00C97039">
            <w:pPr>
              <w:spacing w:before="120" w:line="420" w:lineRule="exact"/>
              <w:rPr>
                <w:b/>
                <w:sz w:val="40"/>
                <w:szCs w:val="40"/>
              </w:rPr>
            </w:pPr>
            <w:r w:rsidRPr="00FB77FF">
              <w:rPr>
                <w:b/>
                <w:sz w:val="40"/>
                <w:szCs w:val="40"/>
              </w:rPr>
              <w:t>Conseil économique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FB77FF">
              <w:rPr>
                <w:b/>
                <w:sz w:val="40"/>
                <w:szCs w:val="40"/>
              </w:rPr>
              <w:t>et social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14:paraId="302E98B6" w14:textId="77777777" w:rsidR="00F35BAF" w:rsidRDefault="00C34951" w:rsidP="00C97039">
            <w:pPr>
              <w:spacing w:before="240"/>
            </w:pPr>
            <w:r>
              <w:t>Distr. générale</w:t>
            </w:r>
          </w:p>
          <w:p w14:paraId="06A5557D" w14:textId="77777777" w:rsidR="00C34951" w:rsidRDefault="00C34951" w:rsidP="00C34951">
            <w:pPr>
              <w:spacing w:line="240" w:lineRule="exact"/>
            </w:pPr>
            <w:r>
              <w:t>19 juin 2019</w:t>
            </w:r>
          </w:p>
          <w:p w14:paraId="0FCD47F2" w14:textId="77777777" w:rsidR="00C34951" w:rsidRDefault="00C34951" w:rsidP="00C34951">
            <w:pPr>
              <w:spacing w:line="240" w:lineRule="exact"/>
            </w:pPr>
            <w:r>
              <w:t>Français</w:t>
            </w:r>
          </w:p>
          <w:p w14:paraId="514DD6D8" w14:textId="77777777" w:rsidR="00C34951" w:rsidRPr="00DB58B5" w:rsidRDefault="00C34951" w:rsidP="00C34951">
            <w:pPr>
              <w:spacing w:line="240" w:lineRule="exact"/>
            </w:pPr>
            <w:r>
              <w:t>Original : anglais</w:t>
            </w:r>
          </w:p>
        </w:tc>
      </w:tr>
    </w:tbl>
    <w:p w14:paraId="2A18ED8B" w14:textId="77777777" w:rsidR="007F20FA" w:rsidRPr="000312C0" w:rsidRDefault="007F20FA" w:rsidP="007F20FA">
      <w:pPr>
        <w:spacing w:before="120"/>
        <w:rPr>
          <w:b/>
          <w:sz w:val="28"/>
          <w:szCs w:val="28"/>
        </w:rPr>
      </w:pPr>
      <w:r w:rsidRPr="000312C0">
        <w:rPr>
          <w:b/>
          <w:sz w:val="28"/>
          <w:szCs w:val="28"/>
        </w:rPr>
        <w:t>Commission économique pour l</w:t>
      </w:r>
      <w:r w:rsidR="00C26CFF">
        <w:rPr>
          <w:b/>
          <w:sz w:val="28"/>
          <w:szCs w:val="28"/>
        </w:rPr>
        <w:t>’</w:t>
      </w:r>
      <w:r w:rsidRPr="000312C0">
        <w:rPr>
          <w:b/>
          <w:sz w:val="28"/>
          <w:szCs w:val="28"/>
        </w:rPr>
        <w:t>Europe</w:t>
      </w:r>
    </w:p>
    <w:p w14:paraId="195DAEE9" w14:textId="77777777" w:rsidR="007F20FA" w:rsidRDefault="007F20FA" w:rsidP="007F20FA">
      <w:pPr>
        <w:spacing w:before="120"/>
        <w:rPr>
          <w:sz w:val="28"/>
          <w:szCs w:val="28"/>
        </w:rPr>
      </w:pPr>
      <w:r w:rsidRPr="00685843">
        <w:rPr>
          <w:sz w:val="28"/>
          <w:szCs w:val="28"/>
        </w:rPr>
        <w:t>Comité des transports intérieurs</w:t>
      </w:r>
    </w:p>
    <w:p w14:paraId="3A0BEA13" w14:textId="77777777" w:rsidR="00C34951" w:rsidRPr="009E01B8" w:rsidRDefault="00C34951" w:rsidP="00AF0CB5">
      <w:pPr>
        <w:spacing w:before="120"/>
        <w:rPr>
          <w:b/>
          <w:sz w:val="24"/>
          <w:szCs w:val="24"/>
        </w:rPr>
      </w:pPr>
      <w:r w:rsidRPr="009E01B8">
        <w:rPr>
          <w:b/>
          <w:sz w:val="24"/>
          <w:szCs w:val="24"/>
        </w:rPr>
        <w:t>Groupe de travail des transports de marchandises dangereuses</w:t>
      </w:r>
    </w:p>
    <w:p w14:paraId="761FB50A" w14:textId="77777777" w:rsidR="00C34951" w:rsidRDefault="00C34951" w:rsidP="00AF0CB5">
      <w:pPr>
        <w:spacing w:before="120"/>
        <w:rPr>
          <w:b/>
        </w:rPr>
      </w:pPr>
      <w:r w:rsidRPr="00926E87">
        <w:rPr>
          <w:b/>
        </w:rPr>
        <w:t>Réunion commune de la Commission d</w:t>
      </w:r>
      <w:r w:rsidR="00C26CFF">
        <w:rPr>
          <w:b/>
        </w:rPr>
        <w:t>’</w:t>
      </w:r>
      <w:r w:rsidRPr="00926E87">
        <w:rPr>
          <w:b/>
        </w:rPr>
        <w:t>experts du RID</w:t>
      </w:r>
      <w:r>
        <w:rPr>
          <w:b/>
        </w:rPr>
        <w:t xml:space="preserve"> </w:t>
      </w:r>
      <w:r w:rsidRPr="00926E87">
        <w:rPr>
          <w:b/>
        </w:rPr>
        <w:t>et</w:t>
      </w:r>
      <w:r>
        <w:rPr>
          <w:b/>
        </w:rPr>
        <w:t xml:space="preserve"> </w:t>
      </w:r>
      <w:r>
        <w:rPr>
          <w:b/>
        </w:rPr>
        <w:br/>
      </w:r>
      <w:r w:rsidRPr="00926E87">
        <w:rPr>
          <w:b/>
        </w:rPr>
        <w:t>du Groupe de travail</w:t>
      </w:r>
      <w:r>
        <w:rPr>
          <w:b/>
        </w:rPr>
        <w:t xml:space="preserve"> </w:t>
      </w:r>
      <w:r w:rsidRPr="00926E87">
        <w:rPr>
          <w:b/>
        </w:rPr>
        <w:t>des transports de marchandises dangereuses</w:t>
      </w:r>
    </w:p>
    <w:p w14:paraId="39712E2E" w14:textId="77777777" w:rsidR="00C34951" w:rsidRDefault="00C34951" w:rsidP="00AF0CB5">
      <w:pPr>
        <w:spacing w:before="120"/>
      </w:pPr>
      <w:r>
        <w:t xml:space="preserve">Genève, </w:t>
      </w:r>
      <w:r w:rsidRPr="00C34951">
        <w:rPr>
          <w:lang w:val="fr-FR"/>
        </w:rPr>
        <w:t>17-27 septembre 2019</w:t>
      </w:r>
    </w:p>
    <w:p w14:paraId="460563C4" w14:textId="77777777" w:rsidR="00C34951" w:rsidRDefault="00C34951" w:rsidP="00AF0CB5">
      <w:r w:rsidRPr="00B93E72">
        <w:t xml:space="preserve">Point </w:t>
      </w:r>
      <w:r>
        <w:t>2</w:t>
      </w:r>
      <w:r w:rsidRPr="00B93E72">
        <w:t xml:space="preserve"> de l</w:t>
      </w:r>
      <w:r w:rsidR="00C26CFF">
        <w:t>’</w:t>
      </w:r>
      <w:r w:rsidRPr="00B93E72">
        <w:t>ordre du jour provisoire</w:t>
      </w:r>
    </w:p>
    <w:p w14:paraId="57D133DD" w14:textId="77777777" w:rsidR="00C34951" w:rsidRPr="00C34951" w:rsidRDefault="00C34951" w:rsidP="00AF0CB5">
      <w:pPr>
        <w:rPr>
          <w:b/>
        </w:rPr>
      </w:pPr>
      <w:r w:rsidRPr="00C34951">
        <w:rPr>
          <w:b/>
        </w:rPr>
        <w:t>Citernes</w:t>
      </w:r>
    </w:p>
    <w:p w14:paraId="0FBF8113" w14:textId="77777777" w:rsidR="00C34951" w:rsidRPr="00C34951" w:rsidRDefault="00C34951" w:rsidP="00C34951">
      <w:pPr>
        <w:pStyle w:val="HChG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 w:rsidRPr="00C34951">
        <w:rPr>
          <w:lang w:val="fr-FR"/>
        </w:rPr>
        <w:t xml:space="preserve">Citernes : Interprétation des prescriptions relatives </w:t>
      </w:r>
      <w:r>
        <w:rPr>
          <w:lang w:val="fr-FR"/>
        </w:rPr>
        <w:br/>
      </w:r>
      <w:r w:rsidRPr="00C34951">
        <w:rPr>
          <w:lang w:val="fr-FR"/>
        </w:rPr>
        <w:t xml:space="preserve">à la construction applicables aux fonds ouvrants </w:t>
      </w:r>
      <w:r>
        <w:rPr>
          <w:lang w:val="fr-FR"/>
        </w:rPr>
        <w:br/>
      </w:r>
      <w:r w:rsidRPr="00C34951">
        <w:rPr>
          <w:lang w:val="fr-FR"/>
        </w:rPr>
        <w:t>des citernes de transport de déchets sous vide</w:t>
      </w:r>
      <w:r w:rsidRPr="00C34951">
        <w:rPr>
          <w:bCs/>
          <w:lang w:val="fr-FR"/>
        </w:rPr>
        <w:t xml:space="preserve"> </w:t>
      </w:r>
    </w:p>
    <w:p w14:paraId="40C77CEF" w14:textId="77777777" w:rsidR="00C34951" w:rsidRPr="00C34951" w:rsidRDefault="00C34951" w:rsidP="00C34951">
      <w:pPr>
        <w:pStyle w:val="H1G"/>
        <w:rPr>
          <w:lang w:val="fr-FR"/>
        </w:rPr>
      </w:pPr>
      <w:r w:rsidRPr="00C34951">
        <w:rPr>
          <w:lang w:val="fr-FR"/>
        </w:rPr>
        <w:tab/>
      </w:r>
      <w:r w:rsidRPr="00C34951">
        <w:rPr>
          <w:lang w:val="fr-FR"/>
        </w:rPr>
        <w:tab/>
        <w:t>Communication du Gouvernement du Royaume-Uni</w:t>
      </w:r>
      <w:r w:rsidR="00C3265A" w:rsidRPr="00D0246D">
        <w:rPr>
          <w:b w:val="0"/>
          <w:sz w:val="20"/>
        </w:rPr>
        <w:footnoteReference w:id="2"/>
      </w:r>
      <w:r w:rsidR="00C3265A" w:rsidRPr="00D0246D">
        <w:rPr>
          <w:b w:val="0"/>
          <w:sz w:val="20"/>
        </w:rPr>
        <w:t>*</w:t>
      </w:r>
      <w:r w:rsidRPr="00D0246D">
        <w:rPr>
          <w:b w:val="0"/>
          <w:position w:val="6"/>
          <w:sz w:val="20"/>
        </w:rPr>
        <w:t>,</w:t>
      </w:r>
      <w:r w:rsidRPr="00C34951">
        <w:rPr>
          <w:vertAlign w:val="superscript"/>
          <w:lang w:val="fr-FR"/>
        </w:rPr>
        <w:t xml:space="preserve"> </w:t>
      </w:r>
      <w:r w:rsidRPr="00D0246D">
        <w:rPr>
          <w:b w:val="0"/>
          <w:sz w:val="20"/>
        </w:rPr>
        <w:footnoteReference w:customMarkFollows="1" w:id="3"/>
        <w:t>**</w:t>
      </w:r>
    </w:p>
    <w:tbl>
      <w:tblPr>
        <w:tblStyle w:val="TableGrid"/>
        <w:tblW w:w="0" w:type="auto"/>
        <w:jc w:val="center"/>
        <w:tblBorders>
          <w:insideH w:val="none" w:sz="0" w:space="0" w:color="auto"/>
        </w:tblBorders>
        <w:tblLook w:val="05E0" w:firstRow="1" w:lastRow="1" w:firstColumn="1" w:lastColumn="1" w:noHBand="0" w:noVBand="1"/>
      </w:tblPr>
      <w:tblGrid>
        <w:gridCol w:w="9628"/>
      </w:tblGrid>
      <w:tr w:rsidR="00C34951" w14:paraId="5D5BDC7F" w14:textId="77777777">
        <w:trPr>
          <w:jc w:val="center"/>
        </w:trPr>
        <w:tc>
          <w:tcPr>
            <w:tcW w:w="9637" w:type="dxa"/>
            <w:shd w:val="clear" w:color="auto" w:fill="auto"/>
          </w:tcPr>
          <w:p w14:paraId="4010BE28" w14:textId="77777777" w:rsidR="00C34951" w:rsidRDefault="00C34951">
            <w:pPr>
              <w:spacing w:before="240" w:after="120"/>
              <w:ind w:left="255"/>
              <w:rPr>
                <w:i/>
                <w:sz w:val="24"/>
              </w:rPr>
            </w:pPr>
            <w:r>
              <w:rPr>
                <w:i/>
                <w:sz w:val="24"/>
              </w:rPr>
              <w:t>Résumé</w:t>
            </w:r>
          </w:p>
        </w:tc>
      </w:tr>
      <w:tr w:rsidR="00C34951" w14:paraId="7522F132" w14:textId="77777777">
        <w:trPr>
          <w:jc w:val="center"/>
        </w:trPr>
        <w:tc>
          <w:tcPr>
            <w:tcW w:w="9637" w:type="dxa"/>
            <w:shd w:val="clear" w:color="auto" w:fill="auto"/>
          </w:tcPr>
          <w:p w14:paraId="2826D76B" w14:textId="77777777" w:rsidR="00C34951" w:rsidRDefault="00C34951" w:rsidP="00C34951">
            <w:pPr>
              <w:pStyle w:val="SingleTxtG"/>
              <w:ind w:left="3402" w:hanging="2268"/>
            </w:pPr>
            <w:r w:rsidRPr="00C34951">
              <w:rPr>
                <w:b/>
                <w:lang w:val="fr-FR"/>
              </w:rPr>
              <w:t>Résumé analytique </w:t>
            </w:r>
            <w:r w:rsidRPr="00C34951">
              <w:rPr>
                <w:lang w:val="fr-FR"/>
              </w:rPr>
              <w:t>:</w:t>
            </w:r>
            <w:r w:rsidRPr="00C34951">
              <w:rPr>
                <w:b/>
                <w:lang w:val="fr-FR"/>
              </w:rPr>
              <w:t xml:space="preserve"> </w:t>
            </w:r>
            <w:r w:rsidRPr="00C34951">
              <w:rPr>
                <w:lang w:val="fr-FR"/>
              </w:rPr>
              <w:tab/>
              <w:t>Le présent document vise à informer les représentants des orientations concernant l</w:t>
            </w:r>
            <w:r w:rsidR="00C26CFF">
              <w:rPr>
                <w:lang w:val="fr-FR"/>
              </w:rPr>
              <w:t>’</w:t>
            </w:r>
            <w:r w:rsidRPr="00C34951">
              <w:rPr>
                <w:lang w:val="fr-FR"/>
              </w:rPr>
              <w:t>application du paragraphe 6.10.3.5 de l</w:t>
            </w:r>
            <w:r w:rsidR="00C26CFF">
              <w:rPr>
                <w:lang w:val="fr-FR"/>
              </w:rPr>
              <w:t>’</w:t>
            </w:r>
            <w:r w:rsidRPr="00C34951">
              <w:rPr>
                <w:lang w:val="fr-FR"/>
              </w:rPr>
              <w:t>ADR que le Royaume-Uni a l</w:t>
            </w:r>
            <w:r w:rsidR="00C26CFF">
              <w:rPr>
                <w:lang w:val="fr-FR"/>
              </w:rPr>
              <w:t>’</w:t>
            </w:r>
            <w:r w:rsidRPr="00C34951">
              <w:rPr>
                <w:lang w:val="fr-FR"/>
              </w:rPr>
              <w:t>intention de donner aux organismes de contrôle et aux fabricants.</w:t>
            </w:r>
          </w:p>
        </w:tc>
      </w:tr>
      <w:tr w:rsidR="00C34951" w14:paraId="0C780B1C" w14:textId="77777777">
        <w:trPr>
          <w:jc w:val="center"/>
        </w:trPr>
        <w:tc>
          <w:tcPr>
            <w:tcW w:w="9637" w:type="dxa"/>
            <w:shd w:val="clear" w:color="auto" w:fill="auto"/>
          </w:tcPr>
          <w:p w14:paraId="588BF663" w14:textId="77777777" w:rsidR="00C34951" w:rsidRDefault="00C34951" w:rsidP="00C34951">
            <w:pPr>
              <w:pStyle w:val="SingleTxtG"/>
              <w:ind w:left="3402" w:hanging="2268"/>
            </w:pPr>
            <w:r w:rsidRPr="00C34951">
              <w:rPr>
                <w:b/>
                <w:lang w:val="fr-FR"/>
              </w:rPr>
              <w:t>Mesure à prendre </w:t>
            </w:r>
            <w:r w:rsidRPr="00C34951">
              <w:rPr>
                <w:lang w:val="fr-FR"/>
              </w:rPr>
              <w:t>:</w:t>
            </w:r>
            <w:r w:rsidRPr="00C34951">
              <w:rPr>
                <w:b/>
                <w:lang w:val="fr-FR"/>
              </w:rPr>
              <w:tab/>
            </w:r>
            <w:r>
              <w:rPr>
                <w:b/>
                <w:lang w:val="fr-FR"/>
              </w:rPr>
              <w:tab/>
            </w:r>
            <w:r w:rsidRPr="00C34951">
              <w:rPr>
                <w:lang w:val="fr-FR"/>
              </w:rPr>
              <w:t>Le Royaume-Uni apprécierait que son interprétation de l</w:t>
            </w:r>
            <w:r w:rsidR="00C26CFF">
              <w:rPr>
                <w:lang w:val="fr-FR"/>
              </w:rPr>
              <w:t>’</w:t>
            </w:r>
            <w:r w:rsidRPr="00C34951">
              <w:rPr>
                <w:lang w:val="fr-FR"/>
              </w:rPr>
              <w:t>alinéa</w:t>
            </w:r>
            <w:r>
              <w:rPr>
                <w:lang w:val="fr-FR"/>
              </w:rPr>
              <w:t> </w:t>
            </w:r>
            <w:r w:rsidRPr="00C34951">
              <w:rPr>
                <w:lang w:val="fr-FR"/>
              </w:rPr>
              <w:t xml:space="preserve">e) du </w:t>
            </w:r>
            <w:r w:rsidRPr="00C34951">
              <w:rPr>
                <w:bCs/>
                <w:lang w:val="fr-FR"/>
              </w:rPr>
              <w:t xml:space="preserve">paragraphe </w:t>
            </w:r>
            <w:r w:rsidRPr="00C34951">
              <w:rPr>
                <w:lang w:val="fr-FR"/>
              </w:rPr>
              <w:t>6.10.3.5 de l</w:t>
            </w:r>
            <w:r w:rsidR="00C26CFF">
              <w:rPr>
                <w:lang w:val="fr-FR"/>
              </w:rPr>
              <w:t>’</w:t>
            </w:r>
            <w:r w:rsidRPr="00C34951">
              <w:rPr>
                <w:lang w:val="fr-FR"/>
              </w:rPr>
              <w:t>ADR donne lieu à un échange de vues.</w:t>
            </w:r>
          </w:p>
        </w:tc>
      </w:tr>
      <w:tr w:rsidR="00C34951" w14:paraId="1313958E" w14:textId="77777777">
        <w:trPr>
          <w:jc w:val="center"/>
        </w:trPr>
        <w:tc>
          <w:tcPr>
            <w:tcW w:w="9637" w:type="dxa"/>
            <w:shd w:val="clear" w:color="auto" w:fill="auto"/>
          </w:tcPr>
          <w:p w14:paraId="744EEE29" w14:textId="77777777" w:rsidR="00C34951" w:rsidRDefault="00C34951" w:rsidP="00C34951">
            <w:pPr>
              <w:pStyle w:val="SingleTxtG"/>
              <w:ind w:left="3402" w:hanging="2268"/>
            </w:pPr>
            <w:r w:rsidRPr="00C34951">
              <w:rPr>
                <w:b/>
                <w:lang w:val="fr-FR"/>
              </w:rPr>
              <w:t>Documents de référence </w:t>
            </w:r>
            <w:r w:rsidRPr="00C34951">
              <w:rPr>
                <w:lang w:val="fr-FR"/>
              </w:rPr>
              <w:t>:</w:t>
            </w:r>
            <w:r w:rsidRPr="00C34951">
              <w:rPr>
                <w:b/>
                <w:lang w:val="fr-FR"/>
              </w:rPr>
              <w:tab/>
            </w:r>
            <w:r w:rsidRPr="00C34951">
              <w:rPr>
                <w:bCs/>
                <w:lang w:val="fr-FR"/>
              </w:rPr>
              <w:t>Documents</w:t>
            </w:r>
            <w:r w:rsidRPr="00C34951">
              <w:rPr>
                <w:b/>
                <w:lang w:val="fr-FR"/>
              </w:rPr>
              <w:t xml:space="preserve"> </w:t>
            </w:r>
            <w:r w:rsidRPr="00C34951">
              <w:rPr>
                <w:bCs/>
                <w:lang w:val="fr-FR"/>
              </w:rPr>
              <w:t xml:space="preserve">informels </w:t>
            </w:r>
            <w:r w:rsidRPr="00C34951">
              <w:rPr>
                <w:lang w:val="fr-FR"/>
              </w:rPr>
              <w:t>INF</w:t>
            </w:r>
            <w:r w:rsidRPr="00C34951">
              <w:rPr>
                <w:bCs/>
                <w:lang w:val="fr-FR"/>
              </w:rPr>
              <w:t>.30 et INF.39 (par</w:t>
            </w:r>
            <w:r>
              <w:rPr>
                <w:bCs/>
                <w:lang w:val="fr-FR"/>
              </w:rPr>
              <w:t>. </w:t>
            </w:r>
            <w:r w:rsidRPr="00C34951">
              <w:rPr>
                <w:bCs/>
                <w:lang w:val="fr-FR"/>
              </w:rPr>
              <w:t>2) de la session de mars 2019.</w:t>
            </w:r>
          </w:p>
        </w:tc>
      </w:tr>
      <w:tr w:rsidR="00C34951" w14:paraId="1E0A0C77" w14:textId="77777777">
        <w:trPr>
          <w:jc w:val="center"/>
        </w:trPr>
        <w:tc>
          <w:tcPr>
            <w:tcW w:w="9637" w:type="dxa"/>
            <w:shd w:val="clear" w:color="auto" w:fill="auto"/>
          </w:tcPr>
          <w:p w14:paraId="715D2965" w14:textId="77777777" w:rsidR="00C34951" w:rsidRDefault="00C34951"/>
        </w:tc>
      </w:tr>
    </w:tbl>
    <w:p w14:paraId="028D05FA" w14:textId="77777777" w:rsidR="00C34951" w:rsidRDefault="00C34951" w:rsidP="00C34951">
      <w:pPr>
        <w:pStyle w:val="SingleTxtG"/>
        <w:rPr>
          <w:lang w:val="fr-FR"/>
        </w:rPr>
      </w:pPr>
    </w:p>
    <w:p w14:paraId="772B0C01" w14:textId="77777777" w:rsidR="00C34951" w:rsidRPr="00C34951" w:rsidRDefault="00C34951" w:rsidP="00C34951">
      <w:pPr>
        <w:pStyle w:val="HChG"/>
        <w:rPr>
          <w:lang w:val="fr-FR"/>
        </w:rPr>
      </w:pPr>
      <w:r>
        <w:rPr>
          <w:lang w:val="fr-FR"/>
        </w:rPr>
        <w:br w:type="page"/>
      </w:r>
      <w:r>
        <w:rPr>
          <w:lang w:val="fr-FR"/>
        </w:rPr>
        <w:lastRenderedPageBreak/>
        <w:tab/>
      </w:r>
      <w:r>
        <w:rPr>
          <w:lang w:val="fr-FR"/>
        </w:rPr>
        <w:tab/>
      </w:r>
      <w:r w:rsidRPr="00C34951">
        <w:rPr>
          <w:lang w:val="fr-FR"/>
        </w:rPr>
        <w:t>Introduction</w:t>
      </w:r>
    </w:p>
    <w:p w14:paraId="49786772" w14:textId="77777777" w:rsidR="00C34951" w:rsidRPr="00C34951" w:rsidRDefault="00C34951" w:rsidP="00C34951">
      <w:pPr>
        <w:pStyle w:val="SingleTxtG"/>
        <w:rPr>
          <w:lang w:val="fr-FR"/>
        </w:rPr>
      </w:pPr>
      <w:r w:rsidRPr="00C34951">
        <w:rPr>
          <w:lang w:val="fr-FR"/>
        </w:rPr>
        <w:t>1.</w:t>
      </w:r>
      <w:r w:rsidRPr="00C34951">
        <w:rPr>
          <w:lang w:val="fr-FR"/>
        </w:rPr>
        <w:tab/>
        <w:t>Les organismes de contrôle britanniques ayant jugé préoccupant que les prescriptions relatives à la construction des citernes de transport de déchets sous vide énoncées au chapitre</w:t>
      </w:r>
      <w:r>
        <w:rPr>
          <w:lang w:val="fr-FR"/>
        </w:rPr>
        <w:t> </w:t>
      </w:r>
      <w:r w:rsidRPr="00C34951">
        <w:rPr>
          <w:lang w:val="fr-FR"/>
        </w:rPr>
        <w:t>6.10 de l</w:t>
      </w:r>
      <w:r w:rsidR="00C26CFF">
        <w:rPr>
          <w:lang w:val="fr-FR"/>
        </w:rPr>
        <w:t>’</w:t>
      </w:r>
      <w:r w:rsidRPr="00C34951">
        <w:rPr>
          <w:lang w:val="fr-FR"/>
        </w:rPr>
        <w:t xml:space="preserve">ADR puissent être interprétées de différentes manières, le Royaume-Uni les a soumises à un examen approfondi. </w:t>
      </w:r>
    </w:p>
    <w:p w14:paraId="2B254C2B" w14:textId="77777777" w:rsidR="00C34951" w:rsidRPr="00C34951" w:rsidRDefault="00C34951" w:rsidP="00C34951">
      <w:pPr>
        <w:pStyle w:val="SingleTxtG"/>
        <w:rPr>
          <w:lang w:val="fr-FR"/>
        </w:rPr>
      </w:pPr>
      <w:r w:rsidRPr="00C34951">
        <w:rPr>
          <w:lang w:val="fr-FR"/>
        </w:rPr>
        <w:t>2.</w:t>
      </w:r>
      <w:r w:rsidRPr="00C34951">
        <w:rPr>
          <w:lang w:val="fr-FR"/>
        </w:rPr>
        <w:tab/>
        <w:t>Le Royaume-Uni élabore actuellement des orientations afin d</w:t>
      </w:r>
      <w:r w:rsidR="00C26CFF">
        <w:rPr>
          <w:lang w:val="fr-FR"/>
        </w:rPr>
        <w:t>’</w:t>
      </w:r>
      <w:r w:rsidRPr="00C34951">
        <w:rPr>
          <w:lang w:val="fr-FR"/>
        </w:rPr>
        <w:t>aider les organismes de contrôle et les fabricants à interpréter les dispositions du chapitre 6.10 de l</w:t>
      </w:r>
      <w:r w:rsidR="00C26CFF">
        <w:rPr>
          <w:lang w:val="fr-FR"/>
        </w:rPr>
        <w:t>’</w:t>
      </w:r>
      <w:r w:rsidRPr="00C34951">
        <w:rPr>
          <w:lang w:val="fr-FR"/>
        </w:rPr>
        <w:t>ADR. Dans ce cadre, il aimerait savoir si l</w:t>
      </w:r>
      <w:r w:rsidR="00C26CFF">
        <w:rPr>
          <w:lang w:val="fr-FR"/>
        </w:rPr>
        <w:t>’</w:t>
      </w:r>
      <w:r w:rsidRPr="00C34951">
        <w:rPr>
          <w:lang w:val="fr-FR"/>
        </w:rPr>
        <w:t>interprétation que propose le Royaume-Uni de certaines dispositions du chapitre</w:t>
      </w:r>
      <w:r>
        <w:rPr>
          <w:lang w:val="fr-FR"/>
        </w:rPr>
        <w:t> </w:t>
      </w:r>
      <w:r w:rsidRPr="00C34951">
        <w:rPr>
          <w:lang w:val="fr-FR"/>
        </w:rPr>
        <w:t xml:space="preserve">6.10 est conforme à la manière dont les autres États membres comprennent et appliquent ces dispositions. </w:t>
      </w:r>
    </w:p>
    <w:p w14:paraId="50E7D999" w14:textId="77777777" w:rsidR="00C34951" w:rsidRPr="00C34951" w:rsidRDefault="00C34951" w:rsidP="00C34951">
      <w:pPr>
        <w:pStyle w:val="SingleTxtG"/>
        <w:rPr>
          <w:lang w:val="fr-FR"/>
        </w:rPr>
      </w:pPr>
      <w:r w:rsidRPr="00C34951">
        <w:rPr>
          <w:lang w:val="fr-FR"/>
        </w:rPr>
        <w:t>3.</w:t>
      </w:r>
      <w:r w:rsidRPr="00C34951">
        <w:rPr>
          <w:lang w:val="fr-FR"/>
        </w:rPr>
        <w:tab/>
      </w:r>
      <w:r w:rsidRPr="00C34951">
        <w:rPr>
          <w:bCs/>
          <w:lang w:val="fr-FR"/>
        </w:rPr>
        <w:t xml:space="preserve">Le </w:t>
      </w:r>
      <w:r w:rsidRPr="00C34951">
        <w:rPr>
          <w:lang w:val="fr-FR"/>
        </w:rPr>
        <w:t>Royaume-Uni propose l</w:t>
      </w:r>
      <w:r w:rsidR="00C26CFF">
        <w:rPr>
          <w:lang w:val="fr-FR"/>
        </w:rPr>
        <w:t>’</w:t>
      </w:r>
      <w:r w:rsidRPr="00C34951">
        <w:rPr>
          <w:lang w:val="fr-FR"/>
        </w:rPr>
        <w:t>ajout d</w:t>
      </w:r>
      <w:r w:rsidR="00C26CFF">
        <w:rPr>
          <w:lang w:val="fr-FR"/>
        </w:rPr>
        <w:t>’</w:t>
      </w:r>
      <w:r w:rsidRPr="00C34951">
        <w:rPr>
          <w:lang w:val="fr-FR"/>
        </w:rPr>
        <w:t>orientations sur la manière d</w:t>
      </w:r>
      <w:r w:rsidR="00C26CFF">
        <w:rPr>
          <w:lang w:val="fr-FR"/>
        </w:rPr>
        <w:t>’</w:t>
      </w:r>
      <w:r w:rsidRPr="00C34951">
        <w:rPr>
          <w:lang w:val="fr-FR"/>
        </w:rPr>
        <w:t xml:space="preserve">interpréter </w:t>
      </w:r>
      <w:r w:rsidRPr="00C34951">
        <w:rPr>
          <w:bCs/>
          <w:lang w:val="fr-FR"/>
        </w:rPr>
        <w:t>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alinéa</w:t>
      </w:r>
      <w:r>
        <w:rPr>
          <w:bCs/>
          <w:lang w:val="fr-FR"/>
        </w:rPr>
        <w:t> </w:t>
      </w:r>
      <w:r w:rsidRPr="00C34951">
        <w:rPr>
          <w:bCs/>
          <w:lang w:val="fr-FR"/>
        </w:rPr>
        <w:t>e) du paragraphe</w:t>
      </w:r>
      <w:r>
        <w:rPr>
          <w:bCs/>
          <w:lang w:val="fr-FR"/>
        </w:rPr>
        <w:t> </w:t>
      </w:r>
      <w:r w:rsidRPr="00C34951">
        <w:rPr>
          <w:lang w:val="fr-FR"/>
        </w:rPr>
        <w:t>6.10.3.5 de l</w:t>
      </w:r>
      <w:r w:rsidR="00C26CFF">
        <w:rPr>
          <w:lang w:val="fr-FR"/>
        </w:rPr>
        <w:t>’</w:t>
      </w:r>
      <w:r w:rsidRPr="00C34951">
        <w:rPr>
          <w:lang w:val="fr-FR"/>
        </w:rPr>
        <w:t>ADR (</w:t>
      </w:r>
      <w:r w:rsidRPr="00C34951">
        <w:rPr>
          <w:bCs/>
          <w:lang w:val="fr-FR"/>
        </w:rPr>
        <w:t>protection du fond ouvrant et moyens d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empêcher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ouverture intempestive en cas de retournement) et d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exemples de systèmes de fermeture qui sont considérés comme conformes aux prescriptions énoncées à cet alinéa. Bien entendu, il sera indiqué dans ces orientations que d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autres systèmes peuvent être conformes s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ils garantissent un degré de sécurité équivalent (c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est</w:t>
      </w:r>
      <w:r w:rsidR="00C70D15">
        <w:rPr>
          <w:bCs/>
          <w:lang w:val="fr-FR"/>
        </w:rPr>
        <w:t>-</w:t>
      </w:r>
      <w:r w:rsidRPr="00C34951">
        <w:rPr>
          <w:bCs/>
          <w:lang w:val="fr-FR"/>
        </w:rPr>
        <w:t>à</w:t>
      </w:r>
      <w:r w:rsidR="00C70D15">
        <w:rPr>
          <w:bCs/>
          <w:lang w:val="fr-FR"/>
        </w:rPr>
        <w:t>-</w:t>
      </w:r>
      <w:r w:rsidRPr="00C34951">
        <w:rPr>
          <w:bCs/>
          <w:lang w:val="fr-FR"/>
        </w:rPr>
        <w:t>dire égal ou supérieur) et les organismes de contrôle devront rendre un avis technique au cas par cas sur la question de savoir si un mécanisme différent peut convenir</w:t>
      </w:r>
      <w:r w:rsidRPr="00C34951">
        <w:rPr>
          <w:lang w:val="fr-FR"/>
        </w:rPr>
        <w:t>.</w:t>
      </w:r>
    </w:p>
    <w:p w14:paraId="6993A376" w14:textId="77777777" w:rsidR="00C34951" w:rsidRPr="00C34951" w:rsidRDefault="00C34951" w:rsidP="00C34951">
      <w:pPr>
        <w:pStyle w:val="HChG"/>
        <w:rPr>
          <w:lang w:val="fr-FR"/>
        </w:rPr>
      </w:pPr>
      <w:r w:rsidRPr="00C34951">
        <w:rPr>
          <w:lang w:val="fr-FR"/>
        </w:rPr>
        <w:tab/>
      </w:r>
      <w:r w:rsidRPr="00C34951">
        <w:rPr>
          <w:lang w:val="fr-FR"/>
        </w:rPr>
        <w:tab/>
        <w:t xml:space="preserve">Prescriptions relatives au </w:t>
      </w:r>
      <w:r>
        <w:rPr>
          <w:lang w:val="fr-FR"/>
        </w:rPr>
        <w:t>« </w:t>
      </w:r>
      <w:r w:rsidRPr="00C34951">
        <w:rPr>
          <w:lang w:val="fr-FR"/>
        </w:rPr>
        <w:t>fond ouvran</w:t>
      </w:r>
      <w:r>
        <w:rPr>
          <w:lang w:val="fr-FR"/>
        </w:rPr>
        <w:t>t »</w:t>
      </w:r>
    </w:p>
    <w:p w14:paraId="5FF2E0BF" w14:textId="77777777" w:rsidR="00C34951" w:rsidRPr="00C34951" w:rsidRDefault="00C34951" w:rsidP="00C34951">
      <w:pPr>
        <w:pStyle w:val="SingleTxtG"/>
        <w:rPr>
          <w:bCs/>
          <w:lang w:val="fr-FR"/>
        </w:rPr>
      </w:pPr>
      <w:r w:rsidRPr="00C34951">
        <w:rPr>
          <w:bCs/>
          <w:lang w:val="fr-FR"/>
        </w:rPr>
        <w:t>4.</w:t>
      </w:r>
      <w:r w:rsidRPr="00C34951">
        <w:rPr>
          <w:bCs/>
          <w:lang w:val="fr-FR"/>
        </w:rPr>
        <w:tab/>
        <w:t>Aux termes du paragraphe 6.10.3.5 de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ADR :</w:t>
      </w:r>
    </w:p>
    <w:p w14:paraId="03A4FB66" w14:textId="77777777" w:rsidR="00C34951" w:rsidRPr="00C34951" w:rsidRDefault="00C34951" w:rsidP="00C34951">
      <w:pPr>
        <w:pStyle w:val="SingleTxtG"/>
        <w:ind w:left="2268" w:hanging="1134"/>
        <w:rPr>
          <w:bCs/>
          <w:lang w:val="fr-FR"/>
        </w:rPr>
      </w:pPr>
      <w:r w:rsidRPr="00C34951">
        <w:rPr>
          <w:bCs/>
          <w:lang w:val="fr-FR"/>
        </w:rPr>
        <w:t xml:space="preserve">« 6.10.3.5 </w:t>
      </w:r>
      <w:r>
        <w:rPr>
          <w:bCs/>
          <w:lang w:val="fr-FR"/>
        </w:rPr>
        <w:tab/>
        <w:t>L</w:t>
      </w:r>
      <w:r w:rsidRPr="00C34951">
        <w:rPr>
          <w:bCs/>
          <w:lang w:val="fr-FR"/>
        </w:rPr>
        <w:t>es citernes peuvent être équipées de fonds ouvrants. Ces fonds ouvrants doivent remplir les conditions suivantes</w:t>
      </w:r>
      <w:r>
        <w:rPr>
          <w:bCs/>
          <w:lang w:val="fr-FR"/>
        </w:rPr>
        <w:t> :</w:t>
      </w:r>
    </w:p>
    <w:p w14:paraId="6B4D1CC4" w14:textId="77777777" w:rsidR="00C34951" w:rsidRPr="00C34951" w:rsidRDefault="00C34951" w:rsidP="00C34951">
      <w:pPr>
        <w:pStyle w:val="SingleTxtG"/>
        <w:ind w:left="2835" w:hanging="567"/>
        <w:rPr>
          <w:bCs/>
          <w:lang w:val="fr-FR"/>
        </w:rPr>
      </w:pPr>
      <w:r w:rsidRPr="00C34951">
        <w:rPr>
          <w:bCs/>
          <w:lang w:val="fr-FR"/>
        </w:rPr>
        <w:t xml:space="preserve">a) </w:t>
      </w:r>
      <w:r>
        <w:rPr>
          <w:bCs/>
          <w:lang w:val="fr-FR"/>
        </w:rPr>
        <w:tab/>
      </w:r>
      <w:r w:rsidRPr="00C34951">
        <w:rPr>
          <w:bCs/>
          <w:lang w:val="fr-FR"/>
        </w:rPr>
        <w:t>Ils doivent être conçus de manière à rester étanches après fermeture</w:t>
      </w:r>
      <w:r>
        <w:rPr>
          <w:bCs/>
          <w:lang w:val="fr-FR"/>
        </w:rPr>
        <w:t> ;</w:t>
      </w:r>
      <w:r w:rsidRPr="00C34951">
        <w:rPr>
          <w:bCs/>
          <w:lang w:val="fr-FR"/>
        </w:rPr>
        <w:t xml:space="preserve"> </w:t>
      </w:r>
    </w:p>
    <w:p w14:paraId="08558B8F" w14:textId="77777777" w:rsidR="00C34951" w:rsidRPr="00C34951" w:rsidRDefault="00C34951" w:rsidP="00C34951">
      <w:pPr>
        <w:pStyle w:val="SingleTxtG"/>
        <w:ind w:left="2835" w:hanging="567"/>
        <w:rPr>
          <w:bCs/>
          <w:lang w:val="fr-FR"/>
        </w:rPr>
      </w:pPr>
      <w:r w:rsidRPr="00C34951">
        <w:rPr>
          <w:bCs/>
          <w:lang w:val="fr-FR"/>
        </w:rPr>
        <w:t xml:space="preserve">b) </w:t>
      </w:r>
      <w:r>
        <w:rPr>
          <w:bCs/>
          <w:lang w:val="fr-FR"/>
        </w:rPr>
        <w:tab/>
      </w:r>
      <w:r w:rsidRPr="00C34951">
        <w:rPr>
          <w:bCs/>
          <w:lang w:val="fr-FR"/>
        </w:rPr>
        <w:t>Une ouverture intempestive ne doit pas être possible</w:t>
      </w:r>
      <w:r w:rsidR="00C70D15">
        <w:rPr>
          <w:bCs/>
          <w:lang w:val="fr-FR"/>
        </w:rPr>
        <w:t> ;</w:t>
      </w:r>
    </w:p>
    <w:p w14:paraId="54D7A645" w14:textId="77777777" w:rsidR="00C34951" w:rsidRPr="00C34951" w:rsidRDefault="00C34951" w:rsidP="00C34951">
      <w:pPr>
        <w:pStyle w:val="SingleTxtG"/>
        <w:ind w:left="2835" w:hanging="567"/>
        <w:rPr>
          <w:bCs/>
          <w:lang w:val="fr-FR"/>
        </w:rPr>
      </w:pPr>
      <w:r w:rsidRPr="00C34951">
        <w:rPr>
          <w:bCs/>
          <w:lang w:val="fr-FR"/>
        </w:rPr>
        <w:t xml:space="preserve">c) </w:t>
      </w:r>
      <w:r>
        <w:rPr>
          <w:bCs/>
          <w:lang w:val="fr-FR"/>
        </w:rPr>
        <w:tab/>
      </w:r>
      <w:r w:rsidRPr="00C34951">
        <w:rPr>
          <w:bCs/>
          <w:lang w:val="fr-FR"/>
        </w:rPr>
        <w:t>Lorsque le mécanisme d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ouverture est à servocommande, le fond ouvrant doit rester hermétiquement fermé en cas de panne d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alimentation</w:t>
      </w:r>
      <w:r w:rsidR="00C70D15">
        <w:rPr>
          <w:bCs/>
          <w:lang w:val="fr-FR"/>
        </w:rPr>
        <w:t> ;</w:t>
      </w:r>
    </w:p>
    <w:p w14:paraId="70127D2E" w14:textId="12A07014" w:rsidR="00C34951" w:rsidRPr="00C34951" w:rsidRDefault="00C34951" w:rsidP="00C34951">
      <w:pPr>
        <w:pStyle w:val="SingleTxtG"/>
        <w:ind w:left="2835" w:hanging="567"/>
        <w:rPr>
          <w:bCs/>
          <w:lang w:val="fr-FR"/>
        </w:rPr>
      </w:pPr>
      <w:r w:rsidRPr="00C34951">
        <w:rPr>
          <w:bCs/>
          <w:lang w:val="fr-FR"/>
        </w:rPr>
        <w:t xml:space="preserve">d) </w:t>
      </w:r>
      <w:r>
        <w:rPr>
          <w:bCs/>
          <w:lang w:val="fr-FR"/>
        </w:rPr>
        <w:tab/>
      </w:r>
      <w:r w:rsidRPr="00C34951">
        <w:rPr>
          <w:bCs/>
          <w:lang w:val="fr-FR"/>
        </w:rPr>
        <w:t>Il faut que soit incorporé un dispositif de sécurité ou de blocage assurant que le fond ouvrant ne puisse être ouvert s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il existe encore une pression résiduelle dans la citerne. Cette prescription ne s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 xml:space="preserve">applique pas aux fonds ouvrants à servocommande, où la manœuvre est à commande positive. Dans ce cas, les commandes doivent être de type </w:t>
      </w:r>
      <w:r w:rsidR="005325C9" w:rsidRPr="005325C9">
        <w:rPr>
          <w:bCs/>
        </w:rPr>
        <w:t>“</w:t>
      </w:r>
      <w:r w:rsidRPr="00C34951">
        <w:rPr>
          <w:bCs/>
          <w:lang w:val="fr-FR"/>
        </w:rPr>
        <w:t>homme mort</w:t>
      </w:r>
      <w:r w:rsidR="005325C9" w:rsidRPr="005325C9">
        <w:rPr>
          <w:bCs/>
        </w:rPr>
        <w:t>”</w:t>
      </w:r>
      <w:r w:rsidRPr="00C34951">
        <w:rPr>
          <w:bCs/>
          <w:lang w:val="fr-FR"/>
        </w:rPr>
        <w:t xml:space="preserve"> et situées à un endroit tel que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utilisateur puisse suivre la manœuvre à tout moment et ne coure aucun risque lors de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ouverture et de la fermeture</w:t>
      </w:r>
      <w:r w:rsidR="00C70D15">
        <w:rPr>
          <w:bCs/>
          <w:lang w:val="fr-FR"/>
        </w:rPr>
        <w:t> ;</w:t>
      </w:r>
    </w:p>
    <w:p w14:paraId="10593EEE" w14:textId="77777777" w:rsidR="00C34951" w:rsidRPr="00C34951" w:rsidRDefault="00C34951" w:rsidP="00C34951">
      <w:pPr>
        <w:pStyle w:val="SingleTxtG"/>
        <w:ind w:left="2835" w:hanging="567"/>
        <w:rPr>
          <w:bCs/>
          <w:lang w:val="fr-FR"/>
        </w:rPr>
      </w:pPr>
      <w:r w:rsidRPr="00C34951">
        <w:rPr>
          <w:bCs/>
          <w:lang w:val="fr-FR"/>
        </w:rPr>
        <w:t xml:space="preserve">e) </w:t>
      </w:r>
      <w:r>
        <w:rPr>
          <w:bCs/>
          <w:lang w:val="fr-FR"/>
        </w:rPr>
        <w:tab/>
      </w:r>
      <w:r w:rsidRPr="00C34951">
        <w:rPr>
          <w:bCs/>
          <w:lang w:val="fr-FR"/>
        </w:rPr>
        <w:t xml:space="preserve">Il faut prévoir de protéger le fond ouvrant qui doit rester fermé en cas de retournement du véhicule, du conteneur-citerne ou de la caisse mobile citerne. » </w:t>
      </w:r>
    </w:p>
    <w:p w14:paraId="4ACFF59F" w14:textId="77777777" w:rsidR="00C34951" w:rsidRPr="00C34951" w:rsidRDefault="00C34951" w:rsidP="00C34951">
      <w:pPr>
        <w:pStyle w:val="HChG"/>
        <w:rPr>
          <w:lang w:val="fr-FR"/>
        </w:rPr>
      </w:pPr>
      <w:r w:rsidRPr="00C34951">
        <w:rPr>
          <w:lang w:val="fr-FR"/>
        </w:rPr>
        <w:tab/>
      </w:r>
      <w:r w:rsidRPr="00C34951">
        <w:rPr>
          <w:lang w:val="fr-FR"/>
        </w:rPr>
        <w:tab/>
        <w:t>Interprétation</w:t>
      </w:r>
    </w:p>
    <w:p w14:paraId="270EA157" w14:textId="77777777" w:rsidR="00C34951" w:rsidRPr="00C34951" w:rsidRDefault="00C34951" w:rsidP="00C34951">
      <w:pPr>
        <w:pStyle w:val="SingleTxtG"/>
        <w:rPr>
          <w:bCs/>
          <w:lang w:val="fr-FR"/>
        </w:rPr>
      </w:pPr>
      <w:r w:rsidRPr="00C34951">
        <w:rPr>
          <w:bCs/>
          <w:lang w:val="fr-FR"/>
        </w:rPr>
        <w:t>5.</w:t>
      </w:r>
      <w:r w:rsidRPr="00C34951">
        <w:rPr>
          <w:bCs/>
          <w:lang w:val="fr-FR"/>
        </w:rPr>
        <w:tab/>
        <w:t>Il semble clair que deux conditions doivent être remplies au titre de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alinéa</w:t>
      </w:r>
      <w:r>
        <w:rPr>
          <w:bCs/>
          <w:lang w:val="fr-FR"/>
        </w:rPr>
        <w:t> </w:t>
      </w:r>
      <w:r w:rsidRPr="00C34951">
        <w:rPr>
          <w:bCs/>
          <w:lang w:val="fr-FR"/>
        </w:rPr>
        <w:t>e) du paragraphe</w:t>
      </w:r>
      <w:r w:rsidR="00DD1181">
        <w:rPr>
          <w:lang w:val="fr-FR"/>
        </w:rPr>
        <w:t> </w:t>
      </w:r>
      <w:r w:rsidRPr="00C34951">
        <w:rPr>
          <w:lang w:val="fr-FR"/>
        </w:rPr>
        <w:t>6.10.3.5 : i)</w:t>
      </w:r>
      <w:r>
        <w:rPr>
          <w:lang w:val="fr-FR"/>
        </w:rPr>
        <w:t> </w:t>
      </w:r>
      <w:r w:rsidRPr="00C34951">
        <w:rPr>
          <w:lang w:val="fr-FR"/>
        </w:rPr>
        <w:t>il faut protéger le fond ouvrant et ii)</w:t>
      </w:r>
      <w:r>
        <w:rPr>
          <w:lang w:val="fr-FR"/>
        </w:rPr>
        <w:t> </w:t>
      </w:r>
      <w:r w:rsidRPr="00C34951">
        <w:rPr>
          <w:lang w:val="fr-FR"/>
        </w:rPr>
        <w:t>il faut que soit incorporé un dispositif empêchant le dispositif de s</w:t>
      </w:r>
      <w:r w:rsidR="00C26CFF">
        <w:rPr>
          <w:lang w:val="fr-FR"/>
        </w:rPr>
        <w:t>’</w:t>
      </w:r>
      <w:r w:rsidRPr="00C34951">
        <w:rPr>
          <w:lang w:val="fr-FR"/>
        </w:rPr>
        <w:t>ouvrir sous l</w:t>
      </w:r>
      <w:r w:rsidR="00C26CFF">
        <w:rPr>
          <w:lang w:val="fr-FR"/>
        </w:rPr>
        <w:t>’</w:t>
      </w:r>
      <w:r w:rsidRPr="00C34951">
        <w:rPr>
          <w:lang w:val="fr-FR"/>
        </w:rPr>
        <w:t>effet d</w:t>
      </w:r>
      <w:r w:rsidR="00C26CFF">
        <w:rPr>
          <w:lang w:val="fr-FR"/>
        </w:rPr>
        <w:t>’</w:t>
      </w:r>
      <w:r w:rsidRPr="00C34951">
        <w:rPr>
          <w:lang w:val="fr-FR"/>
        </w:rPr>
        <w:t xml:space="preserve">une force extérieure </w:t>
      </w:r>
      <w:r w:rsidRPr="00C34951">
        <w:rPr>
          <w:bCs/>
          <w:lang w:val="fr-FR"/>
        </w:rPr>
        <w:t>(en cas de retournement).</w:t>
      </w:r>
    </w:p>
    <w:p w14:paraId="77505281" w14:textId="77777777" w:rsidR="00C34951" w:rsidRPr="00C34951" w:rsidRDefault="00C34951" w:rsidP="00C34951">
      <w:pPr>
        <w:pStyle w:val="SingleTxtG"/>
        <w:rPr>
          <w:bCs/>
          <w:lang w:val="fr-FR"/>
        </w:rPr>
      </w:pPr>
      <w:r w:rsidRPr="00C34951">
        <w:rPr>
          <w:bCs/>
          <w:lang w:val="fr-FR"/>
        </w:rPr>
        <w:t>6.</w:t>
      </w:r>
      <w:r w:rsidRPr="00C34951">
        <w:rPr>
          <w:bCs/>
          <w:lang w:val="fr-FR"/>
        </w:rPr>
        <w:tab/>
        <w:t>Pour que ces prescriptions soient respectées, le Royaume-Uni comprend i)</w:t>
      </w:r>
      <w:r>
        <w:rPr>
          <w:bCs/>
          <w:lang w:val="fr-FR"/>
        </w:rPr>
        <w:t> </w:t>
      </w:r>
      <w:r w:rsidRPr="00C34951">
        <w:rPr>
          <w:bCs/>
          <w:lang w:val="fr-FR"/>
        </w:rPr>
        <w:t>que la porte doit être protégée contre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effet d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un retournement et ii)</w:t>
      </w:r>
      <w:r>
        <w:rPr>
          <w:bCs/>
          <w:lang w:val="fr-FR"/>
        </w:rPr>
        <w:t> </w:t>
      </w:r>
      <w:r w:rsidRPr="00C34951">
        <w:rPr>
          <w:bCs/>
          <w:lang w:val="fr-FR"/>
        </w:rPr>
        <w:t>que tout dispositif de fermeture de la porte doit être conçu de manière à ce que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ouverture sous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effet d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 xml:space="preserve">une force extérieure, en cas de retournement, ne soit pas possible. </w:t>
      </w:r>
    </w:p>
    <w:p w14:paraId="5F7A1F24" w14:textId="77777777" w:rsidR="00C34951" w:rsidRPr="00C34951" w:rsidRDefault="00C34951" w:rsidP="00C34951">
      <w:pPr>
        <w:pStyle w:val="SingleTxtG"/>
        <w:rPr>
          <w:bCs/>
          <w:lang w:val="fr-FR"/>
        </w:rPr>
      </w:pPr>
      <w:bookmarkStart w:id="0" w:name="_GoBack"/>
      <w:bookmarkEnd w:id="0"/>
      <w:r w:rsidRPr="00C34951">
        <w:rPr>
          <w:bCs/>
          <w:lang w:val="fr-FR"/>
        </w:rPr>
        <w:lastRenderedPageBreak/>
        <w:t>7.</w:t>
      </w:r>
      <w:r w:rsidRPr="00C34951">
        <w:rPr>
          <w:bCs/>
          <w:lang w:val="fr-FR"/>
        </w:rPr>
        <w:tab/>
        <w:t>Le Royaume-Uni croit comprendre qu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 xml:space="preserve">il existe trois modèles courants de mécanismes de fermeture montés sur les portes arrière des </w:t>
      </w:r>
      <w:r w:rsidRPr="00C34951">
        <w:rPr>
          <w:lang w:val="fr-FR"/>
        </w:rPr>
        <w:t>citernes de transport de déchets sous vide</w:t>
      </w:r>
      <w:r w:rsidRPr="00C34951">
        <w:rPr>
          <w:bCs/>
          <w:lang w:val="fr-FR"/>
        </w:rPr>
        <w:t xml:space="preserve">, à savoir : </w:t>
      </w:r>
    </w:p>
    <w:p w14:paraId="6B0980B7" w14:textId="77777777" w:rsidR="00C34951" w:rsidRPr="00C34951" w:rsidRDefault="00C34951" w:rsidP="00C34951">
      <w:pPr>
        <w:pStyle w:val="SingleTxtG"/>
        <w:keepNext/>
        <w:keepLines/>
        <w:ind w:firstLine="567"/>
        <w:rPr>
          <w:bCs/>
          <w:lang w:val="fr-FR"/>
        </w:rPr>
      </w:pPr>
      <w:r w:rsidRPr="00C34951">
        <w:rPr>
          <w:bCs/>
          <w:lang w:val="fr-FR"/>
        </w:rPr>
        <w:t>a)</w:t>
      </w:r>
      <w:r w:rsidRPr="00C34951">
        <w:rPr>
          <w:bCs/>
          <w:lang w:val="fr-FR"/>
        </w:rPr>
        <w:tab/>
        <w:t>Les pinces serrées au moyen d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 xml:space="preserve">un volant à main : </w:t>
      </w:r>
    </w:p>
    <w:p w14:paraId="669BE81C" w14:textId="77777777" w:rsidR="00C34951" w:rsidRPr="00C34951" w:rsidRDefault="00C34951" w:rsidP="00C34951">
      <w:pPr>
        <w:pStyle w:val="SingleTxtG"/>
        <w:ind w:left="2268" w:hanging="567"/>
        <w:rPr>
          <w:bCs/>
          <w:lang w:val="fr-FR"/>
        </w:rPr>
      </w:pPr>
      <w:r>
        <w:rPr>
          <w:bCs/>
          <w:lang w:val="fr-FR"/>
        </w:rPr>
        <w:tab/>
      </w:r>
      <w:r w:rsidRPr="00C34951">
        <w:rPr>
          <w:bCs/>
          <w:lang w:val="fr-FR"/>
        </w:rPr>
        <w:t>Les importantes ferrures qui se trouvent sur la citerne et sur la porte protègent les pinces en cas de retournement. Le volant à main est conçu pour se briser en cas de retournement. En pareil cas, un écrou placé sous le volant empêche la porte de s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 xml:space="preserve">ouvrir. </w:t>
      </w:r>
    </w:p>
    <w:p w14:paraId="06246F4A" w14:textId="77777777" w:rsidR="00C34951" w:rsidRPr="00C34951" w:rsidRDefault="00C34951" w:rsidP="00C34951">
      <w:pPr>
        <w:pStyle w:val="SingleTxtG"/>
        <w:ind w:left="2268" w:hanging="567"/>
        <w:rPr>
          <w:bCs/>
          <w:lang w:val="fr-FR"/>
        </w:rPr>
      </w:pPr>
      <w:r>
        <w:rPr>
          <w:bCs/>
          <w:lang w:val="fr-FR"/>
        </w:rPr>
        <w:tab/>
      </w:r>
      <w:r w:rsidRPr="00C34951">
        <w:rPr>
          <w:bCs/>
          <w:lang w:val="fr-FR"/>
        </w:rPr>
        <w:t>Il convient de noter que, conformément aux dispositions de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alinéa</w:t>
      </w:r>
      <w:r>
        <w:rPr>
          <w:bCs/>
          <w:lang w:val="fr-FR"/>
        </w:rPr>
        <w:t> </w:t>
      </w:r>
      <w:r w:rsidRPr="00C34951">
        <w:rPr>
          <w:bCs/>
          <w:lang w:val="fr-FR"/>
        </w:rPr>
        <w:t>d) du paragraphe</w:t>
      </w:r>
      <w:r w:rsidRPr="00C34951">
        <w:rPr>
          <w:lang w:val="fr-FR"/>
        </w:rPr>
        <w:t xml:space="preserve"> 6.10.3.5, le système de fermeture montré ci-dessous comporte un dispositif de sécurité destiné à empêcher le fond ouvrant de s</w:t>
      </w:r>
      <w:r w:rsidR="00C26CFF">
        <w:rPr>
          <w:lang w:val="fr-FR"/>
        </w:rPr>
        <w:t>’</w:t>
      </w:r>
      <w:r w:rsidRPr="00C34951">
        <w:rPr>
          <w:lang w:val="fr-FR"/>
        </w:rPr>
        <w:t>ouvrir s</w:t>
      </w:r>
      <w:r w:rsidR="00C26CFF">
        <w:rPr>
          <w:lang w:val="fr-FR"/>
        </w:rPr>
        <w:t>’</w:t>
      </w:r>
      <w:r w:rsidRPr="00C34951">
        <w:rPr>
          <w:lang w:val="fr-FR"/>
        </w:rPr>
        <w:t>il reste encore une pression résiduelle dans la citerne.</w:t>
      </w:r>
      <w:r w:rsidRPr="00C34951">
        <w:rPr>
          <w:bCs/>
          <w:lang w:val="fr-FR"/>
        </w:rPr>
        <w:t xml:space="preserve"> </w:t>
      </w:r>
    </w:p>
    <w:p w14:paraId="3ECE19B0" w14:textId="77777777" w:rsidR="00C34951" w:rsidRPr="00C34951" w:rsidRDefault="00C34951" w:rsidP="00C34951">
      <w:pPr>
        <w:pStyle w:val="SingleTxtG"/>
        <w:ind w:left="2268"/>
        <w:rPr>
          <w:bCs/>
          <w:lang w:val="fr-FR"/>
        </w:rPr>
      </w:pPr>
      <w:r w:rsidRPr="00C34951">
        <w:rPr>
          <w:noProof/>
          <w:lang w:val="fr-FR"/>
        </w:rPr>
        <w:drawing>
          <wp:inline distT="0" distB="0" distL="0" distR="0" wp14:anchorId="7FDE5830" wp14:editId="0FEA2C7E">
            <wp:extent cx="2120900" cy="2825750"/>
            <wp:effectExtent l="19050" t="19050" r="12700" b="12700"/>
            <wp:docPr id="8" name="Picture 26" descr="DSCF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F00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8257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34951">
        <w:rPr>
          <w:bCs/>
          <w:lang w:val="fr-FR"/>
        </w:rPr>
        <w:t xml:space="preserve"> </w:t>
      </w:r>
    </w:p>
    <w:p w14:paraId="03BC4A6F" w14:textId="77777777" w:rsidR="00C34951" w:rsidRPr="00C34951" w:rsidRDefault="00C34951" w:rsidP="00C34951">
      <w:pPr>
        <w:pStyle w:val="SingleTxtG"/>
        <w:keepNext/>
        <w:keepLines/>
        <w:spacing w:before="240"/>
        <w:ind w:firstLine="567"/>
        <w:rPr>
          <w:bCs/>
          <w:lang w:val="fr-FR"/>
        </w:rPr>
      </w:pPr>
      <w:r w:rsidRPr="00C34951">
        <w:rPr>
          <w:bCs/>
          <w:lang w:val="fr-FR"/>
        </w:rPr>
        <w:t>b)</w:t>
      </w:r>
      <w:r w:rsidRPr="00C34951">
        <w:rPr>
          <w:bCs/>
          <w:lang w:val="fr-FR"/>
        </w:rPr>
        <w:tab/>
        <w:t>Les pinces contrôlées par un vérin hydraulique :</w:t>
      </w:r>
    </w:p>
    <w:p w14:paraId="69804177" w14:textId="77777777" w:rsidR="00C34951" w:rsidRPr="00C34951" w:rsidRDefault="00C34951" w:rsidP="00C34951">
      <w:pPr>
        <w:pStyle w:val="SingleTxtG"/>
        <w:ind w:left="2268" w:hanging="567"/>
        <w:rPr>
          <w:bCs/>
          <w:lang w:val="fr-FR"/>
        </w:rPr>
      </w:pPr>
      <w:r>
        <w:rPr>
          <w:bCs/>
          <w:lang w:val="fr-FR"/>
        </w:rPr>
        <w:tab/>
      </w:r>
      <w:r w:rsidRPr="00C34951">
        <w:rPr>
          <w:bCs/>
          <w:lang w:val="fr-FR"/>
        </w:rPr>
        <w:t>Entièrement automatique, ce type d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attache est contrôlé par des actionneurs hydrauliques à déplacement linéaire. La course du coin situé à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extrémité de la tige du vérin de commande est guidée par des fentes situées sur le fond ouvrant et à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extrémité de la citerne, et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ouverture est fermée hermétiquement sous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action du coin.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huile hydraulique est enfermée dans les vérins, ce qui empêche tout mouvement susceptible d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entraîner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ouverture. En raison du placement circonférentiel des vérins autour du cercle formé par la porte, il est très peu probable qu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en cas de retournement ils soient endommagés au point que leur efficacité soit compromise et que la porte arrière puisse être ouverte par des forces extérieures.</w:t>
      </w:r>
    </w:p>
    <w:p w14:paraId="785C5475" w14:textId="77777777" w:rsidR="00C34951" w:rsidRPr="00C34951" w:rsidRDefault="00C34951" w:rsidP="00C34951">
      <w:pPr>
        <w:pStyle w:val="SingleTxtG"/>
        <w:ind w:left="2268"/>
        <w:rPr>
          <w:bCs/>
          <w:lang w:val="fr-FR"/>
        </w:rPr>
      </w:pPr>
      <w:r w:rsidRPr="00C34951">
        <w:rPr>
          <w:noProof/>
          <w:lang w:val="fr-FR"/>
        </w:rPr>
        <w:lastRenderedPageBreak/>
        <w:drawing>
          <wp:inline distT="0" distB="0" distL="0" distR="0" wp14:anchorId="25B9856A" wp14:editId="593FEA5B">
            <wp:extent cx="2612572" cy="2815772"/>
            <wp:effectExtent l="19050" t="19050" r="16510" b="22860"/>
            <wp:docPr id="15" name="Picture 25" descr="IMG_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12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18" cy="2825413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2111BB" w14:textId="77777777" w:rsidR="00C34951" w:rsidRPr="00C34951" w:rsidRDefault="00C34951" w:rsidP="00C34951">
      <w:pPr>
        <w:pStyle w:val="SingleTxtG"/>
        <w:keepNext/>
        <w:keepLines/>
        <w:spacing w:before="240"/>
        <w:ind w:firstLine="567"/>
        <w:rPr>
          <w:bCs/>
          <w:lang w:val="fr-FR"/>
        </w:rPr>
      </w:pPr>
      <w:r w:rsidRPr="00C34951">
        <w:rPr>
          <w:bCs/>
          <w:lang w:val="fr-FR"/>
        </w:rPr>
        <w:t>c)</w:t>
      </w:r>
      <w:r w:rsidRPr="00C34951">
        <w:rPr>
          <w:bCs/>
          <w:lang w:val="fr-FR"/>
        </w:rPr>
        <w:tab/>
        <w:t>Les actionneurs hydrauliques contrôlant des pinces centrales :</w:t>
      </w:r>
    </w:p>
    <w:p w14:paraId="54B1E4E9" w14:textId="77777777" w:rsidR="00C34951" w:rsidRPr="00C34951" w:rsidRDefault="00C34951" w:rsidP="00C34951">
      <w:pPr>
        <w:pStyle w:val="SingleTxtG"/>
        <w:ind w:left="2268" w:hanging="1134"/>
        <w:rPr>
          <w:bCs/>
          <w:lang w:val="fr-FR"/>
        </w:rPr>
      </w:pPr>
      <w:r w:rsidRPr="00C34951">
        <w:rPr>
          <w:bCs/>
          <w:lang w:val="fr-FR"/>
        </w:rPr>
        <w:tab/>
      </w:r>
      <w:r>
        <w:rPr>
          <w:bCs/>
          <w:lang w:val="fr-FR"/>
        </w:rPr>
        <w:tab/>
      </w:r>
      <w:r w:rsidRPr="00C34951">
        <w:rPr>
          <w:bCs/>
          <w:lang w:val="fr-FR"/>
        </w:rPr>
        <w:t>Ce type de pince est entièrement automatique et contrôlée par des actionneurs hydrauliques à déplacement linéaire. Une pince en forme de crochet est reliée à un vérin hydraulique par une série d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 xml:space="preserve">articulations. Lorsque la tige se déploie, la pince pivote sur sa base et, ce faisant, verrouille la porte. </w:t>
      </w:r>
    </w:p>
    <w:p w14:paraId="47A79E67" w14:textId="77777777" w:rsidR="00C34951" w:rsidRPr="00C34951" w:rsidRDefault="00C34951" w:rsidP="00C34951">
      <w:pPr>
        <w:pStyle w:val="SingleTxtG"/>
        <w:ind w:left="2268"/>
        <w:rPr>
          <w:bCs/>
          <w:lang w:val="fr-FR"/>
        </w:rPr>
      </w:pPr>
      <w:r w:rsidRPr="00C34951">
        <w:rPr>
          <w:noProof/>
          <w:lang w:val="fr-FR"/>
        </w:rPr>
        <w:drawing>
          <wp:inline distT="0" distB="0" distL="0" distR="0" wp14:anchorId="040E7D67" wp14:editId="3AED91D0">
            <wp:extent cx="3619500" cy="1346200"/>
            <wp:effectExtent l="19050" t="19050" r="19050" b="25400"/>
            <wp:docPr id="16" name="Picture 24" descr="Over Centre Clamp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ver Centre Clamps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" r="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346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74B482" w14:textId="77777777" w:rsidR="00C34951" w:rsidRPr="00C34951" w:rsidRDefault="00C34951" w:rsidP="00C34951">
      <w:pPr>
        <w:pStyle w:val="SingleTxtG"/>
        <w:spacing w:before="240"/>
        <w:rPr>
          <w:bCs/>
          <w:lang w:val="fr-FR"/>
        </w:rPr>
      </w:pPr>
      <w:r w:rsidRPr="00C34951">
        <w:rPr>
          <w:bCs/>
          <w:lang w:val="fr-FR"/>
        </w:rPr>
        <w:t>8.</w:t>
      </w:r>
      <w:r w:rsidRPr="00C34951">
        <w:rPr>
          <w:bCs/>
          <w:lang w:val="fr-FR"/>
        </w:rPr>
        <w:tab/>
        <w:t>Le Royaume-Uni estime que les exemples</w:t>
      </w:r>
      <w:r>
        <w:rPr>
          <w:bCs/>
          <w:lang w:val="fr-FR"/>
        </w:rPr>
        <w:t> </w:t>
      </w:r>
      <w:r w:rsidRPr="00C34951">
        <w:rPr>
          <w:bCs/>
          <w:lang w:val="fr-FR"/>
        </w:rPr>
        <w:t>a) et b)</w:t>
      </w:r>
      <w:r w:rsidR="00C26CFF">
        <w:rPr>
          <w:bCs/>
          <w:lang w:val="fr-FR"/>
        </w:rPr>
        <w:t> </w:t>
      </w:r>
      <w:r w:rsidRPr="00C34951">
        <w:rPr>
          <w:bCs/>
          <w:lang w:val="fr-FR"/>
        </w:rPr>
        <w:t>remplissent les conditions énoncées à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alinéa</w:t>
      </w:r>
      <w:r>
        <w:rPr>
          <w:bCs/>
          <w:lang w:val="fr-FR"/>
        </w:rPr>
        <w:t> </w:t>
      </w:r>
      <w:r w:rsidRPr="00C34951">
        <w:rPr>
          <w:bCs/>
          <w:lang w:val="fr-FR"/>
        </w:rPr>
        <w:t>e) du paragraphe 6.10.3.5, selon lesquelles il faut prévoir un dispositif assurant que le fond ouvrant reste fermé en cas de retournement, mais que ce n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est pas le cas de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exemple</w:t>
      </w:r>
      <w:r>
        <w:rPr>
          <w:bCs/>
          <w:lang w:val="fr-FR"/>
        </w:rPr>
        <w:t> </w:t>
      </w:r>
      <w:r w:rsidRPr="00C34951">
        <w:rPr>
          <w:bCs/>
          <w:lang w:val="fr-FR"/>
        </w:rPr>
        <w:t>c). Les mécanismes de fermeture utilisés dans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exemple</w:t>
      </w:r>
      <w:r w:rsidR="00C26CFF">
        <w:rPr>
          <w:bCs/>
          <w:lang w:val="fr-FR"/>
        </w:rPr>
        <w:t> </w:t>
      </w:r>
      <w:r w:rsidRPr="00C34951">
        <w:rPr>
          <w:bCs/>
          <w:lang w:val="fr-FR"/>
        </w:rPr>
        <w:t>c) semblent présenter une vulnérabilité aux forces circonférentielles en cas d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incident entraînant un retournement et pourraient être endommagées de sorte à provoquer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ouverture des pinces et, partant, du fond ouvrant. Le Royaume-Uni considère donc que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exemple</w:t>
      </w:r>
      <w:r w:rsidR="00C26CFF">
        <w:rPr>
          <w:bCs/>
          <w:lang w:val="fr-FR"/>
        </w:rPr>
        <w:t> </w:t>
      </w:r>
      <w:r w:rsidRPr="00C34951">
        <w:rPr>
          <w:bCs/>
          <w:lang w:val="fr-FR"/>
        </w:rPr>
        <w:t>c) ne remplit pas les conditions prescrites au paragraphe</w:t>
      </w:r>
      <w:r w:rsidR="00C26CFF">
        <w:rPr>
          <w:bCs/>
          <w:lang w:val="fr-FR"/>
        </w:rPr>
        <w:t> </w:t>
      </w:r>
      <w:r w:rsidRPr="00C34951">
        <w:rPr>
          <w:bCs/>
          <w:lang w:val="fr-FR"/>
        </w:rPr>
        <w:t xml:space="preserve">e) du 6.10.3.5. </w:t>
      </w:r>
    </w:p>
    <w:p w14:paraId="0C3D7F99" w14:textId="77777777" w:rsidR="00C34951" w:rsidRPr="00C34951" w:rsidRDefault="00C34951" w:rsidP="00C34951">
      <w:pPr>
        <w:pStyle w:val="SingleTxtG"/>
        <w:rPr>
          <w:bCs/>
          <w:lang w:val="fr-FR"/>
        </w:rPr>
      </w:pPr>
      <w:r w:rsidRPr="00C34951">
        <w:rPr>
          <w:bCs/>
          <w:lang w:val="fr-FR"/>
        </w:rPr>
        <w:t>9.</w:t>
      </w:r>
      <w:r w:rsidRPr="00C34951">
        <w:rPr>
          <w:bCs/>
          <w:lang w:val="fr-FR"/>
        </w:rPr>
        <w:tab/>
        <w:t>Toutefois, il semble au Royaume-Uni que si le mécanisme de fermeture présenté dans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exemple</w:t>
      </w:r>
      <w:r w:rsidR="00C26CFF">
        <w:rPr>
          <w:bCs/>
          <w:lang w:val="fr-FR"/>
        </w:rPr>
        <w:t> </w:t>
      </w:r>
      <w:r w:rsidRPr="00C34951">
        <w:rPr>
          <w:bCs/>
          <w:lang w:val="fr-FR"/>
        </w:rPr>
        <w:t>c) était protégé (comme dans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image ci-dessous), les prescriptions énoncées au paragraphe</w:t>
      </w:r>
      <w:r w:rsidR="00C26CFF">
        <w:rPr>
          <w:bCs/>
          <w:lang w:val="fr-FR"/>
        </w:rPr>
        <w:t> </w:t>
      </w:r>
      <w:r w:rsidRPr="00C34951">
        <w:rPr>
          <w:bCs/>
          <w:lang w:val="fr-FR"/>
        </w:rPr>
        <w:t>e) du 6.10.3.5, selon lesquelles il faut protéger le fond ouvrant afin qu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 xml:space="preserve">il reste fermé en cas de retournement seraient respectées. </w:t>
      </w:r>
    </w:p>
    <w:p w14:paraId="2E54D60B" w14:textId="77777777" w:rsidR="00C34951" w:rsidRPr="00C34951" w:rsidRDefault="00C34951" w:rsidP="00C34951">
      <w:pPr>
        <w:pStyle w:val="SingleTxtG"/>
        <w:ind w:left="2268"/>
        <w:rPr>
          <w:bCs/>
          <w:lang w:val="fr-FR"/>
        </w:rPr>
      </w:pPr>
      <w:r w:rsidRPr="00C34951">
        <w:rPr>
          <w:noProof/>
          <w:lang w:val="fr-FR"/>
        </w:rPr>
        <w:lastRenderedPageBreak/>
        <w:drawing>
          <wp:inline distT="0" distB="0" distL="0" distR="0" wp14:anchorId="46FFB7A5" wp14:editId="5B352209">
            <wp:extent cx="2378033" cy="1606550"/>
            <wp:effectExtent l="19050" t="19050" r="22860" b="12700"/>
            <wp:docPr id="5" name="Picture 3" descr="C:\Users\dadams\AppData\Local\Microsoft\Windows\INetCache\Content.Word\190604 - IMG2 - rear door clamps - Cross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ams\AppData\Local\Microsoft\Windows\INetCache\Content.Word\190604 - IMG2 - rear door clamps - Crossl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4" t="15697" r="53150" b="67795"/>
                    <a:stretch/>
                  </pic:blipFill>
                  <pic:spPr bwMode="auto">
                    <a:xfrm>
                      <a:off x="0" y="0"/>
                      <a:ext cx="2394613" cy="161775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42616" w14:textId="77777777" w:rsidR="00C34951" w:rsidRPr="00C34951" w:rsidRDefault="00C34951" w:rsidP="00C26CFF">
      <w:pPr>
        <w:pStyle w:val="SingleTxtG"/>
        <w:spacing w:before="240"/>
        <w:rPr>
          <w:bCs/>
          <w:lang w:val="fr-FR"/>
        </w:rPr>
      </w:pPr>
      <w:r w:rsidRPr="00C34951">
        <w:rPr>
          <w:bCs/>
          <w:lang w:val="fr-FR"/>
        </w:rPr>
        <w:t>10.</w:t>
      </w:r>
      <w:r w:rsidRPr="00C34951">
        <w:rPr>
          <w:bCs/>
          <w:lang w:val="fr-FR"/>
        </w:rPr>
        <w:tab/>
        <w:t>De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avis du Royaume-Uni, les trois exemples montrés ci-dessus semblent conformes aux prescriptions énoncées au paragraphe e) du 6.10.3.5 concernant la protection du fond ouvrant, étant donné qu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un système de protection de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ouverture du fond ouvrant est intégré à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 xml:space="preserve">arrière de la citerne. </w:t>
      </w:r>
    </w:p>
    <w:p w14:paraId="3F55D569" w14:textId="77777777" w:rsidR="00C34951" w:rsidRPr="00C34951" w:rsidRDefault="00C34951" w:rsidP="00C26CFF">
      <w:pPr>
        <w:pStyle w:val="HChG"/>
        <w:rPr>
          <w:lang w:val="fr-FR"/>
        </w:rPr>
      </w:pPr>
      <w:r w:rsidRPr="00C34951">
        <w:rPr>
          <w:lang w:val="fr-FR"/>
        </w:rPr>
        <w:tab/>
      </w:r>
      <w:r w:rsidRPr="00C34951">
        <w:rPr>
          <w:lang w:val="fr-FR"/>
        </w:rPr>
        <w:tab/>
        <w:t>Conclusion</w:t>
      </w:r>
    </w:p>
    <w:p w14:paraId="5AE8F88E" w14:textId="77777777" w:rsidR="00C34951" w:rsidRPr="00C34951" w:rsidRDefault="00C34951" w:rsidP="00C34951">
      <w:pPr>
        <w:pStyle w:val="SingleTxtG"/>
        <w:rPr>
          <w:lang w:val="fr-FR"/>
        </w:rPr>
      </w:pPr>
      <w:r w:rsidRPr="00C34951">
        <w:rPr>
          <w:bCs/>
          <w:lang w:val="fr-FR"/>
        </w:rPr>
        <w:t>11.</w:t>
      </w:r>
      <w:r w:rsidRPr="00C34951">
        <w:rPr>
          <w:bCs/>
          <w:lang w:val="fr-FR"/>
        </w:rPr>
        <w:tab/>
        <w:t>Afin de garantir que l</w:t>
      </w:r>
      <w:r w:rsidR="00C26CFF">
        <w:rPr>
          <w:bCs/>
          <w:lang w:val="fr-FR"/>
        </w:rPr>
        <w:t>’</w:t>
      </w:r>
      <w:r w:rsidRPr="00C34951">
        <w:rPr>
          <w:bCs/>
          <w:lang w:val="fr-FR"/>
        </w:rPr>
        <w:t>alinéa</w:t>
      </w:r>
      <w:r w:rsidR="00C26CFF">
        <w:rPr>
          <w:bCs/>
          <w:lang w:val="fr-FR"/>
        </w:rPr>
        <w:t> </w:t>
      </w:r>
      <w:r w:rsidRPr="00C34951">
        <w:rPr>
          <w:bCs/>
          <w:lang w:val="fr-FR"/>
        </w:rPr>
        <w:t xml:space="preserve">e) du paragraphe 6.10.3.5 soit interprété de façon cohérente, le Royaume-Uni souhaiterait débattre avec les autres États membres de la question de savoir si, à leur avis, cette interprétation correspond à leur compréhension des prescriptions précitées. </w:t>
      </w:r>
    </w:p>
    <w:p w14:paraId="36945081" w14:textId="77777777" w:rsidR="00F9573C" w:rsidRPr="00C26CFF" w:rsidRDefault="00C26CFF" w:rsidP="00C26CFF">
      <w:pPr>
        <w:pStyle w:val="SingleTxtG"/>
        <w:spacing w:before="240" w:after="0"/>
        <w:jc w:val="center"/>
        <w:rPr>
          <w:u w:val="single"/>
          <w:lang w:val="fr-FR"/>
        </w:rPr>
      </w:pPr>
      <w:r>
        <w:rPr>
          <w:u w:val="single"/>
          <w:lang w:val="fr-FR"/>
        </w:rPr>
        <w:tab/>
      </w:r>
      <w:r>
        <w:rPr>
          <w:u w:val="single"/>
          <w:lang w:val="fr-FR"/>
        </w:rPr>
        <w:tab/>
      </w:r>
      <w:r>
        <w:rPr>
          <w:u w:val="single"/>
          <w:lang w:val="fr-FR"/>
        </w:rPr>
        <w:tab/>
      </w:r>
    </w:p>
    <w:sectPr w:rsidR="00F9573C" w:rsidRPr="00C26CFF" w:rsidSect="00C34951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endnotePr>
        <w:numFmt w:val="decimal"/>
      </w:endnotePr>
      <w:pgSz w:w="11906" w:h="16838" w:code="9"/>
      <w:pgMar w:top="1417" w:right="1134" w:bottom="1134" w:left="1134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6B50C" w14:textId="77777777" w:rsidR="007C6576" w:rsidRDefault="007C6576" w:rsidP="00F95C08">
      <w:pPr>
        <w:spacing w:line="240" w:lineRule="auto"/>
      </w:pPr>
    </w:p>
  </w:endnote>
  <w:endnote w:type="continuationSeparator" w:id="0">
    <w:p w14:paraId="780D9282" w14:textId="77777777" w:rsidR="007C6576" w:rsidRPr="00AC3823" w:rsidRDefault="007C6576" w:rsidP="00AC3823">
      <w:pPr>
        <w:pStyle w:val="Footer"/>
      </w:pPr>
    </w:p>
  </w:endnote>
  <w:endnote w:type="continuationNotice" w:id="1">
    <w:p w14:paraId="7ED130F1" w14:textId="77777777" w:rsidR="007C6576" w:rsidRDefault="007C657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39T30Lfz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56733" w14:textId="77777777" w:rsidR="00C34951" w:rsidRPr="00C34951" w:rsidRDefault="00C34951" w:rsidP="00C34951">
    <w:pPr>
      <w:pStyle w:val="Footer"/>
      <w:tabs>
        <w:tab w:val="right" w:pos="9638"/>
      </w:tabs>
    </w:pPr>
    <w:r w:rsidRPr="00C34951">
      <w:rPr>
        <w:b/>
        <w:sz w:val="18"/>
      </w:rPr>
      <w:fldChar w:fldCharType="begin"/>
    </w:r>
    <w:r w:rsidRPr="00C34951">
      <w:rPr>
        <w:b/>
        <w:sz w:val="18"/>
      </w:rPr>
      <w:instrText xml:space="preserve"> PAGE  \* MERGEFORMAT </w:instrText>
    </w:r>
    <w:r w:rsidRPr="00C34951">
      <w:rPr>
        <w:b/>
        <w:sz w:val="18"/>
      </w:rPr>
      <w:fldChar w:fldCharType="separate"/>
    </w:r>
    <w:r w:rsidRPr="00C34951">
      <w:rPr>
        <w:b/>
        <w:noProof/>
        <w:sz w:val="18"/>
      </w:rPr>
      <w:t>2</w:t>
    </w:r>
    <w:r w:rsidRPr="00C34951">
      <w:rPr>
        <w:b/>
        <w:sz w:val="18"/>
      </w:rPr>
      <w:fldChar w:fldCharType="end"/>
    </w:r>
    <w:r>
      <w:rPr>
        <w:b/>
        <w:sz w:val="18"/>
      </w:rPr>
      <w:tab/>
    </w:r>
    <w:r>
      <w:t>GE.19-10079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94840" w14:textId="77777777" w:rsidR="00C34951" w:rsidRPr="00C34951" w:rsidRDefault="00C34951" w:rsidP="00C34951">
    <w:pPr>
      <w:pStyle w:val="Footer"/>
      <w:tabs>
        <w:tab w:val="right" w:pos="9638"/>
      </w:tabs>
      <w:rPr>
        <w:b/>
        <w:sz w:val="18"/>
      </w:rPr>
    </w:pPr>
    <w:r>
      <w:t>GE.19-10079</w:t>
    </w:r>
    <w:r>
      <w:tab/>
    </w:r>
    <w:r w:rsidRPr="00C34951">
      <w:rPr>
        <w:b/>
        <w:sz w:val="18"/>
      </w:rPr>
      <w:fldChar w:fldCharType="begin"/>
    </w:r>
    <w:r w:rsidRPr="00C34951">
      <w:rPr>
        <w:b/>
        <w:sz w:val="18"/>
      </w:rPr>
      <w:instrText xml:space="preserve"> PAGE  \* MERGEFORMAT </w:instrText>
    </w:r>
    <w:r w:rsidRPr="00C34951">
      <w:rPr>
        <w:b/>
        <w:sz w:val="18"/>
      </w:rPr>
      <w:fldChar w:fldCharType="separate"/>
    </w:r>
    <w:r w:rsidRPr="00C34951">
      <w:rPr>
        <w:b/>
        <w:noProof/>
        <w:sz w:val="18"/>
      </w:rPr>
      <w:t>3</w:t>
    </w:r>
    <w:r w:rsidRPr="00C34951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FBB3C" w14:textId="77777777" w:rsidR="007F20FA" w:rsidRPr="00C34951" w:rsidRDefault="00C34951" w:rsidP="00C34951">
    <w:pPr>
      <w:pStyle w:val="Footer"/>
      <w:spacing w:before="120"/>
      <w:rPr>
        <w:sz w:val="20"/>
      </w:rPr>
    </w:pPr>
    <w:r>
      <w:rPr>
        <w:sz w:val="20"/>
      </w:rPr>
      <w:t>GE.</w:t>
    </w:r>
    <w:r w:rsidR="007F20FA">
      <w:rPr>
        <w:noProof/>
        <w:lang w:eastAsia="fr-CH"/>
      </w:rPr>
      <w:drawing>
        <wp:anchor distT="0" distB="0" distL="114300" distR="114300" simplePos="0" relativeHeight="251659264" behindDoc="0" locked="0" layoutInCell="1" allowOverlap="0" wp14:anchorId="2ECAE900" wp14:editId="39597D0B">
          <wp:simplePos x="0" y="0"/>
          <wp:positionH relativeFrom="margin">
            <wp:posOffset>4319905</wp:posOffset>
          </wp:positionH>
          <wp:positionV relativeFrom="margin">
            <wp:posOffset>9144000</wp:posOffset>
          </wp:positionV>
          <wp:extent cx="1105200" cy="234000"/>
          <wp:effectExtent l="0" t="0" r="0" b="0"/>
          <wp:wrapNone/>
          <wp:docPr id="2" name="Image 2" descr="recycle_Fren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Fren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200" cy="23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19-10079  (F)    220719    220719</w:t>
    </w:r>
    <w:r>
      <w:rPr>
        <w:sz w:val="20"/>
      </w:rPr>
      <w:br/>
    </w:r>
    <w:r w:rsidRPr="00C34951">
      <w:rPr>
        <w:rFonts w:ascii="C39T30Lfz" w:hAnsi="C39T30Lfz"/>
        <w:sz w:val="56"/>
      </w:rPr>
      <w:t></w:t>
    </w:r>
    <w:r w:rsidRPr="00C34951">
      <w:rPr>
        <w:rFonts w:ascii="C39T30Lfz" w:hAnsi="C39T30Lfz"/>
        <w:sz w:val="56"/>
      </w:rPr>
      <w:t></w:t>
    </w:r>
    <w:r w:rsidRPr="00C34951">
      <w:rPr>
        <w:rFonts w:ascii="C39T30Lfz" w:hAnsi="C39T30Lfz"/>
        <w:sz w:val="56"/>
      </w:rPr>
      <w:t></w:t>
    </w:r>
    <w:r w:rsidRPr="00C34951">
      <w:rPr>
        <w:rFonts w:ascii="C39T30Lfz" w:hAnsi="C39T30Lfz"/>
        <w:sz w:val="56"/>
      </w:rPr>
      <w:t></w:t>
    </w:r>
    <w:r w:rsidRPr="00C34951">
      <w:rPr>
        <w:rFonts w:ascii="C39T30Lfz" w:hAnsi="C39T30Lfz"/>
        <w:sz w:val="56"/>
      </w:rPr>
      <w:t></w:t>
    </w:r>
    <w:r w:rsidRPr="00C34951">
      <w:rPr>
        <w:rFonts w:ascii="C39T30Lfz" w:hAnsi="C39T30Lfz"/>
        <w:sz w:val="56"/>
      </w:rPr>
      <w:t></w:t>
    </w:r>
    <w:r w:rsidRPr="00C34951">
      <w:rPr>
        <w:rFonts w:ascii="C39T30Lfz" w:hAnsi="C39T30Lfz"/>
        <w:sz w:val="56"/>
      </w:rPr>
      <w:t></w:t>
    </w:r>
    <w:r w:rsidRPr="00C34951">
      <w:rPr>
        <w:rFonts w:ascii="C39T30Lfz" w:hAnsi="C39T30Lfz"/>
        <w:sz w:val="56"/>
      </w:rPr>
      <w:t></w:t>
    </w:r>
    <w:r w:rsidRPr="00C34951">
      <w:rPr>
        <w:rFonts w:ascii="C39T30Lfz" w:hAnsi="C39T30Lfz"/>
        <w:sz w:val="56"/>
      </w:rPr>
      <w:t></w:t>
    </w:r>
    <w:r>
      <w:rPr>
        <w:noProof/>
        <w:sz w:val="20"/>
      </w:rPr>
      <w:drawing>
        <wp:anchor distT="0" distB="0" distL="114300" distR="114300" simplePos="0" relativeHeight="251658240" behindDoc="0" locked="0" layoutInCell="1" allowOverlap="1" wp14:anchorId="5824BB4A" wp14:editId="1431E3C5">
          <wp:simplePos x="0" y="0"/>
          <wp:positionH relativeFrom="margin">
            <wp:posOffset>5489575</wp:posOffset>
          </wp:positionH>
          <wp:positionV relativeFrom="margin">
            <wp:posOffset>8891905</wp:posOffset>
          </wp:positionV>
          <wp:extent cx="638175" cy="638175"/>
          <wp:effectExtent l="0" t="0" r="9525" b="9525"/>
          <wp:wrapNone/>
          <wp:docPr id="3" name="Image 1" descr="https://undocs.org/m2/QRCode.ashx?DS=ECE/TRANS/WP.15/AC.1/2019/25&amp;Size=2&amp;Lang=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15/AC.1/2019/25&amp;Size=2&amp;Lang=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679F18" w14:textId="77777777" w:rsidR="007C6576" w:rsidRPr="00AC3823" w:rsidRDefault="007C6576" w:rsidP="00AC3823">
      <w:pPr>
        <w:pStyle w:val="Footer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7037499D" w14:textId="77777777" w:rsidR="007C6576" w:rsidRPr="00AC3823" w:rsidRDefault="007C6576" w:rsidP="00AC3823">
      <w:pPr>
        <w:pStyle w:val="Footer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46EEAF1E" w14:textId="77777777" w:rsidR="007C6576" w:rsidRPr="00AC3823" w:rsidRDefault="007C6576">
      <w:pPr>
        <w:spacing w:line="240" w:lineRule="auto"/>
        <w:rPr>
          <w:sz w:val="2"/>
          <w:szCs w:val="2"/>
        </w:rPr>
      </w:pPr>
    </w:p>
  </w:footnote>
  <w:footnote w:id="2">
    <w:p w14:paraId="58FBC6E5" w14:textId="77777777" w:rsidR="00C3265A" w:rsidRPr="00782CB1" w:rsidRDefault="00C3265A" w:rsidP="00782CB1">
      <w:pPr>
        <w:pStyle w:val="FootnoteText"/>
      </w:pPr>
      <w:r>
        <w:rPr>
          <w:rStyle w:val="FootnoteReference"/>
        </w:rPr>
        <w:tab/>
      </w:r>
      <w:r w:rsidRPr="00C3265A">
        <w:rPr>
          <w:rStyle w:val="FootnoteReference"/>
          <w:sz w:val="20"/>
          <w:vertAlign w:val="baseline"/>
        </w:rPr>
        <w:t>*</w:t>
      </w:r>
      <w:r>
        <w:rPr>
          <w:rStyle w:val="FootnoteReference"/>
          <w:sz w:val="20"/>
          <w:vertAlign w:val="baseline"/>
        </w:rPr>
        <w:tab/>
      </w:r>
      <w:r w:rsidR="00782CB1" w:rsidRPr="00782CB1">
        <w:t>Conformément au programme de travail du Comité des transports intérieurs pour la période 2018</w:t>
      </w:r>
      <w:r w:rsidR="00782CB1" w:rsidRPr="00782CB1">
        <w:noBreakHyphen/>
        <w:t>2019 (ECE/TRANS/2018/21/Add.1, module 9, par. 9.2).</w:t>
      </w:r>
    </w:p>
  </w:footnote>
  <w:footnote w:id="3">
    <w:p w14:paraId="4E0A2039" w14:textId="013DB7E3" w:rsidR="00C34951" w:rsidRPr="004B4C40" w:rsidRDefault="00C34951" w:rsidP="00C34951">
      <w:pPr>
        <w:pStyle w:val="FootnoteText"/>
        <w:rPr>
          <w:lang w:val="fr-FR"/>
        </w:rPr>
      </w:pPr>
      <w:r>
        <w:rPr>
          <w:sz w:val="20"/>
          <w:lang w:val="fr-FR"/>
        </w:rPr>
        <w:tab/>
      </w:r>
      <w:r w:rsidRPr="00C34951">
        <w:rPr>
          <w:rStyle w:val="FootnoteReference"/>
          <w:sz w:val="20"/>
          <w:vertAlign w:val="baseline"/>
          <w:lang w:val="fr-FR"/>
        </w:rPr>
        <w:t>**</w:t>
      </w:r>
      <w:r w:rsidRPr="004B4C40">
        <w:rPr>
          <w:lang w:val="fr-FR"/>
        </w:rPr>
        <w:tab/>
        <w:t xml:space="preserve">Diffusée par l’Organisation intergouvernementale pour les transports internationaux ferroviaires </w:t>
      </w:r>
      <w:r w:rsidRPr="00E526A2">
        <w:rPr>
          <w:sz w:val="20"/>
          <w:lang w:val="fr-FR"/>
        </w:rPr>
        <w:t>(</w:t>
      </w:r>
      <w:r w:rsidRPr="004B4C40">
        <w:rPr>
          <w:lang w:val="fr-FR"/>
        </w:rPr>
        <w:t>OTIF) sous la cote OTIF/RID/RC/2019/25</w:t>
      </w:r>
      <w:r w:rsidR="00ED7381">
        <w:rPr>
          <w:lang w:val="fr-FR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C2061" w14:textId="297072D5" w:rsidR="00C34951" w:rsidRPr="00C34951" w:rsidRDefault="002F4B6E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ED7381">
      <w:t>ECE/TRANS/WP.15/AC.1/2019/25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6BD59" w14:textId="392FFE5B" w:rsidR="00C34951" w:rsidRPr="00C34951" w:rsidRDefault="002F4B6E" w:rsidP="00C34951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ED7381">
      <w:t>ECE/TRANS/WP.15/AC.1/2019/25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4EEA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0844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5003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4CBC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A624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9AED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9AA6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1AE6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5C69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0402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954887"/>
    <w:multiLevelType w:val="hybridMultilevel"/>
    <w:tmpl w:val="E9CAAE62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CF4EB2"/>
    <w:multiLevelType w:val="hybridMultilevel"/>
    <w:tmpl w:val="7C7C3350"/>
    <w:lvl w:ilvl="0" w:tplc="78607ACC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68AD07B2"/>
    <w:multiLevelType w:val="hybridMultilevel"/>
    <w:tmpl w:val="2C7049BE"/>
    <w:lvl w:ilvl="0" w:tplc="3B64B3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2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567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576"/>
    <w:rsid w:val="00017F94"/>
    <w:rsid w:val="00023842"/>
    <w:rsid w:val="000334F9"/>
    <w:rsid w:val="00045FEB"/>
    <w:rsid w:val="0007796D"/>
    <w:rsid w:val="000B7790"/>
    <w:rsid w:val="00111F2F"/>
    <w:rsid w:val="0014365E"/>
    <w:rsid w:val="00143C66"/>
    <w:rsid w:val="00176178"/>
    <w:rsid w:val="001D74C5"/>
    <w:rsid w:val="001F525A"/>
    <w:rsid w:val="00223272"/>
    <w:rsid w:val="0024779E"/>
    <w:rsid w:val="00257168"/>
    <w:rsid w:val="002744B8"/>
    <w:rsid w:val="002832AC"/>
    <w:rsid w:val="002D7C93"/>
    <w:rsid w:val="002F4B6E"/>
    <w:rsid w:val="00305801"/>
    <w:rsid w:val="003916DE"/>
    <w:rsid w:val="003E2689"/>
    <w:rsid w:val="003F190C"/>
    <w:rsid w:val="00421996"/>
    <w:rsid w:val="00441C3B"/>
    <w:rsid w:val="00446FE5"/>
    <w:rsid w:val="00452396"/>
    <w:rsid w:val="004837D8"/>
    <w:rsid w:val="004E2EED"/>
    <w:rsid w:val="004E468C"/>
    <w:rsid w:val="005325C9"/>
    <w:rsid w:val="005505B7"/>
    <w:rsid w:val="00573BE5"/>
    <w:rsid w:val="00586ED3"/>
    <w:rsid w:val="00596AA9"/>
    <w:rsid w:val="0066473C"/>
    <w:rsid w:val="0071601D"/>
    <w:rsid w:val="00720712"/>
    <w:rsid w:val="00782CB1"/>
    <w:rsid w:val="007A62E6"/>
    <w:rsid w:val="007C6576"/>
    <w:rsid w:val="007F20FA"/>
    <w:rsid w:val="0080684C"/>
    <w:rsid w:val="008668ED"/>
    <w:rsid w:val="00871C75"/>
    <w:rsid w:val="008776DC"/>
    <w:rsid w:val="009446C0"/>
    <w:rsid w:val="009705C8"/>
    <w:rsid w:val="009C1CF4"/>
    <w:rsid w:val="009F6B74"/>
    <w:rsid w:val="00A3029F"/>
    <w:rsid w:val="00A30353"/>
    <w:rsid w:val="00AC3823"/>
    <w:rsid w:val="00AE323C"/>
    <w:rsid w:val="00AF0CB5"/>
    <w:rsid w:val="00AF7EC6"/>
    <w:rsid w:val="00B00181"/>
    <w:rsid w:val="00B00B0D"/>
    <w:rsid w:val="00B45F2E"/>
    <w:rsid w:val="00B765F7"/>
    <w:rsid w:val="00BA0CA9"/>
    <w:rsid w:val="00C02897"/>
    <w:rsid w:val="00C26CFF"/>
    <w:rsid w:val="00C3265A"/>
    <w:rsid w:val="00C34951"/>
    <w:rsid w:val="00C70D15"/>
    <w:rsid w:val="00C97039"/>
    <w:rsid w:val="00D0246D"/>
    <w:rsid w:val="00D3439C"/>
    <w:rsid w:val="00DB1831"/>
    <w:rsid w:val="00DD1181"/>
    <w:rsid w:val="00DD3BFD"/>
    <w:rsid w:val="00DF6678"/>
    <w:rsid w:val="00E0299A"/>
    <w:rsid w:val="00E526A2"/>
    <w:rsid w:val="00E85C74"/>
    <w:rsid w:val="00EA6547"/>
    <w:rsid w:val="00ED7381"/>
    <w:rsid w:val="00EE23D3"/>
    <w:rsid w:val="00EF2E22"/>
    <w:rsid w:val="00F35BAF"/>
    <w:rsid w:val="00F660DF"/>
    <w:rsid w:val="00F94664"/>
    <w:rsid w:val="00F9573C"/>
    <w:rsid w:val="00F9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5B8D870"/>
  <w15:docId w15:val="{CE3CAAF1-ED63-45B0-B9B5-E9D00DF61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fr-CH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299A"/>
    <w:pPr>
      <w:suppressAutoHyphens/>
      <w:kinsoku w:val="0"/>
      <w:overflowPunct w:val="0"/>
      <w:autoSpaceDE w:val="0"/>
      <w:autoSpaceDN w:val="0"/>
      <w:adjustRightInd w:val="0"/>
      <w:snapToGrid w:val="0"/>
      <w:spacing w:after="0" w:line="240" w:lineRule="atLeast"/>
    </w:pPr>
    <w:rPr>
      <w:rFonts w:ascii="Times New Roman" w:eastAsiaTheme="minorHAnsi" w:hAnsi="Times New Roman" w:cs="Times New Roman"/>
      <w:sz w:val="20"/>
      <w:szCs w:val="20"/>
      <w:lang w:eastAsia="en-US"/>
    </w:rPr>
  </w:style>
  <w:style w:type="paragraph" w:styleId="Heading1">
    <w:name w:val="heading 1"/>
    <w:aliases w:val="Table_G"/>
    <w:basedOn w:val="SingleTxtG"/>
    <w:next w:val="SingleTxtG"/>
    <w:link w:val="Heading1Char"/>
    <w:qFormat/>
    <w:rsid w:val="00E0299A"/>
    <w:pPr>
      <w:keepNext/>
      <w:keepLines/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link w:val="Heading2Char"/>
    <w:semiHidden/>
    <w:qFormat/>
    <w:rsid w:val="00023842"/>
    <w:pPr>
      <w:outlineLvl w:val="1"/>
    </w:pPr>
  </w:style>
  <w:style w:type="paragraph" w:styleId="Heading3">
    <w:name w:val="heading 3"/>
    <w:basedOn w:val="Normal"/>
    <w:next w:val="Normal"/>
    <w:link w:val="Heading3Char"/>
    <w:semiHidden/>
    <w:qFormat/>
    <w:rsid w:val="00023842"/>
    <w:pPr>
      <w:outlineLvl w:val="2"/>
    </w:pPr>
  </w:style>
  <w:style w:type="paragraph" w:styleId="Heading4">
    <w:name w:val="heading 4"/>
    <w:basedOn w:val="Normal"/>
    <w:next w:val="Normal"/>
    <w:link w:val="Heading4Char"/>
    <w:semiHidden/>
    <w:qFormat/>
    <w:rsid w:val="00023842"/>
    <w:pPr>
      <w:outlineLvl w:val="3"/>
    </w:pPr>
  </w:style>
  <w:style w:type="paragraph" w:styleId="Heading5">
    <w:name w:val="heading 5"/>
    <w:basedOn w:val="Normal"/>
    <w:next w:val="Normal"/>
    <w:link w:val="Heading5Char"/>
    <w:semiHidden/>
    <w:qFormat/>
    <w:rsid w:val="00023842"/>
    <w:pPr>
      <w:outlineLvl w:val="4"/>
    </w:pPr>
  </w:style>
  <w:style w:type="paragraph" w:styleId="Heading6">
    <w:name w:val="heading 6"/>
    <w:basedOn w:val="Normal"/>
    <w:next w:val="Normal"/>
    <w:link w:val="Heading6Char"/>
    <w:semiHidden/>
    <w:qFormat/>
    <w:rsid w:val="00023842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qFormat/>
    <w:rsid w:val="00023842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qFormat/>
    <w:rsid w:val="00023842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qFormat/>
    <w:rsid w:val="0002384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6_G"/>
    <w:basedOn w:val="Normal"/>
    <w:next w:val="Normal"/>
    <w:link w:val="HeaderChar"/>
    <w:qFormat/>
    <w:rsid w:val="00E0299A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HeaderChar">
    <w:name w:val="Header Char"/>
    <w:aliases w:val="6_G Char"/>
    <w:basedOn w:val="DefaultParagraphFont"/>
    <w:link w:val="Header"/>
    <w:rsid w:val="00E0299A"/>
    <w:rPr>
      <w:rFonts w:ascii="Times New Roman" w:eastAsiaTheme="minorHAnsi" w:hAnsi="Times New Roman" w:cs="Times New Roman"/>
      <w:b/>
      <w:sz w:val="18"/>
      <w:szCs w:val="20"/>
      <w:lang w:eastAsia="en-US"/>
    </w:rPr>
  </w:style>
  <w:style w:type="paragraph" w:styleId="Footer">
    <w:name w:val="footer"/>
    <w:aliases w:val="3_G"/>
    <w:basedOn w:val="Normal"/>
    <w:next w:val="Normal"/>
    <w:link w:val="FooterChar"/>
    <w:qFormat/>
    <w:rsid w:val="00E0299A"/>
    <w:pPr>
      <w:spacing w:line="240" w:lineRule="auto"/>
    </w:pPr>
    <w:rPr>
      <w:sz w:val="16"/>
    </w:rPr>
  </w:style>
  <w:style w:type="character" w:customStyle="1" w:styleId="FooterChar">
    <w:name w:val="Footer Char"/>
    <w:aliases w:val="3_G Char"/>
    <w:basedOn w:val="DefaultParagraphFont"/>
    <w:link w:val="Footer"/>
    <w:rsid w:val="00E0299A"/>
    <w:rPr>
      <w:rFonts w:ascii="Times New Roman" w:eastAsiaTheme="minorHAnsi" w:hAnsi="Times New Roman" w:cs="Times New Roman"/>
      <w:sz w:val="16"/>
      <w:szCs w:val="20"/>
      <w:lang w:eastAsia="en-US"/>
    </w:rPr>
  </w:style>
  <w:style w:type="paragraph" w:customStyle="1" w:styleId="HMG">
    <w:name w:val="_ H __M_G"/>
    <w:basedOn w:val="Normal"/>
    <w:next w:val="Normal"/>
    <w:qFormat/>
    <w:rsid w:val="00E0299A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qFormat/>
    <w:rsid w:val="00E0299A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H1G">
    <w:name w:val="_ H_1_G"/>
    <w:basedOn w:val="Normal"/>
    <w:next w:val="Normal"/>
    <w:qFormat/>
    <w:rsid w:val="00E0299A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E0299A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rsid w:val="00E0299A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qFormat/>
    <w:rsid w:val="00E0299A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paragraph" w:customStyle="1" w:styleId="SingleTxtG">
    <w:name w:val="_ Single Txt_G"/>
    <w:basedOn w:val="Normal"/>
    <w:link w:val="SingleTxtGChar"/>
    <w:qFormat/>
    <w:rsid w:val="00E0299A"/>
    <w:pPr>
      <w:spacing w:after="120"/>
      <w:ind w:left="1134" w:right="1134"/>
      <w:jc w:val="both"/>
    </w:pPr>
  </w:style>
  <w:style w:type="paragraph" w:customStyle="1" w:styleId="SLG">
    <w:name w:val="__S_L_G"/>
    <w:basedOn w:val="Normal"/>
    <w:next w:val="Normal"/>
    <w:rsid w:val="00E0299A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MG">
    <w:name w:val="__S_M_G"/>
    <w:basedOn w:val="Normal"/>
    <w:next w:val="Normal"/>
    <w:rsid w:val="00E0299A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SG">
    <w:name w:val="__S_S_G"/>
    <w:basedOn w:val="Normal"/>
    <w:next w:val="Normal"/>
    <w:rsid w:val="00E0299A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customStyle="1" w:styleId="XLargeG">
    <w:name w:val="__XLarge_G"/>
    <w:basedOn w:val="Normal"/>
    <w:next w:val="Normal"/>
    <w:rsid w:val="00E0299A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E0299A"/>
    <w:pPr>
      <w:numPr>
        <w:numId w:val="14"/>
      </w:numPr>
      <w:spacing w:after="120"/>
      <w:ind w:right="1134"/>
      <w:jc w:val="both"/>
    </w:pPr>
  </w:style>
  <w:style w:type="paragraph" w:customStyle="1" w:styleId="Bullet2G">
    <w:name w:val="_Bullet 2_G"/>
    <w:basedOn w:val="Normal"/>
    <w:qFormat/>
    <w:rsid w:val="00E0299A"/>
    <w:pPr>
      <w:numPr>
        <w:numId w:val="15"/>
      </w:numPr>
      <w:spacing w:after="120"/>
      <w:ind w:right="1134"/>
      <w:jc w:val="both"/>
    </w:pPr>
  </w:style>
  <w:style w:type="paragraph" w:customStyle="1" w:styleId="ParNoG">
    <w:name w:val="_ParNo_G"/>
    <w:basedOn w:val="Normal"/>
    <w:qFormat/>
    <w:rsid w:val="00E0299A"/>
    <w:pPr>
      <w:numPr>
        <w:numId w:val="16"/>
      </w:numPr>
      <w:tabs>
        <w:tab w:val="clear" w:pos="1701"/>
      </w:tabs>
      <w:spacing w:after="120"/>
      <w:ind w:right="1134"/>
      <w:jc w:val="both"/>
    </w:pPr>
  </w:style>
  <w:style w:type="character" w:styleId="FootnoteReference">
    <w:name w:val="footnote reference"/>
    <w:aliases w:val="4_G,Footnote Reference/,4_GR"/>
    <w:basedOn w:val="DefaultParagraphFont"/>
    <w:qFormat/>
    <w:rsid w:val="00E0299A"/>
    <w:rPr>
      <w:rFonts w:ascii="Times New Roman" w:hAnsi="Times New Roman"/>
      <w:sz w:val="18"/>
      <w:vertAlign w:val="superscript"/>
      <w:lang w:val="fr-CH"/>
    </w:rPr>
  </w:style>
  <w:style w:type="character" w:styleId="EndnoteReference">
    <w:name w:val="endnote reference"/>
    <w:aliases w:val="1_G"/>
    <w:basedOn w:val="FootnoteReference"/>
    <w:qFormat/>
    <w:rsid w:val="00E0299A"/>
    <w:rPr>
      <w:rFonts w:ascii="Times New Roman" w:hAnsi="Times New Roman"/>
      <w:sz w:val="18"/>
      <w:vertAlign w:val="superscript"/>
      <w:lang w:val="fr-CH"/>
    </w:rPr>
  </w:style>
  <w:style w:type="table" w:styleId="TableGrid">
    <w:name w:val="Table Grid"/>
    <w:basedOn w:val="TableNormal"/>
    <w:rsid w:val="00E0299A"/>
    <w:pPr>
      <w:suppressAutoHyphens/>
      <w:spacing w:after="0" w:line="240" w:lineRule="atLeast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nhideWhenUsed/>
    <w:rsid w:val="00E0299A"/>
    <w:rPr>
      <w:color w:val="0000FF"/>
      <w:u w:val="none"/>
    </w:rPr>
  </w:style>
  <w:style w:type="character" w:styleId="FollowedHyperlink">
    <w:name w:val="FollowedHyperlink"/>
    <w:basedOn w:val="DefaultParagraphFont"/>
    <w:unhideWhenUsed/>
    <w:rsid w:val="00E0299A"/>
    <w:rPr>
      <w:color w:val="0000FF"/>
      <w:u w:val="none"/>
    </w:rPr>
  </w:style>
  <w:style w:type="paragraph" w:styleId="FootnoteText">
    <w:name w:val="footnote text"/>
    <w:aliases w:val="5_G"/>
    <w:basedOn w:val="Normal"/>
    <w:link w:val="FootnoteTextChar"/>
    <w:qFormat/>
    <w:rsid w:val="00E0299A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E0299A"/>
    <w:rPr>
      <w:rFonts w:ascii="Times New Roman" w:eastAsiaTheme="minorHAnsi" w:hAnsi="Times New Roman" w:cs="Times New Roman"/>
      <w:sz w:val="18"/>
      <w:szCs w:val="20"/>
      <w:lang w:eastAsia="en-US"/>
    </w:rPr>
  </w:style>
  <w:style w:type="paragraph" w:styleId="EndnoteText">
    <w:name w:val="endnote text"/>
    <w:aliases w:val="2_G"/>
    <w:basedOn w:val="FootnoteText"/>
    <w:link w:val="EndnoteTextChar"/>
    <w:qFormat/>
    <w:rsid w:val="00E0299A"/>
  </w:style>
  <w:style w:type="character" w:customStyle="1" w:styleId="EndnoteTextChar">
    <w:name w:val="Endnote Text Char"/>
    <w:aliases w:val="2_G Char"/>
    <w:basedOn w:val="DefaultParagraphFont"/>
    <w:link w:val="EndnoteText"/>
    <w:rsid w:val="00E0299A"/>
    <w:rPr>
      <w:rFonts w:ascii="Times New Roman" w:eastAsiaTheme="minorHAnsi" w:hAnsi="Times New Roman" w:cs="Times New Roman"/>
      <w:sz w:val="18"/>
      <w:szCs w:val="20"/>
      <w:lang w:eastAsia="en-US"/>
    </w:rPr>
  </w:style>
  <w:style w:type="character" w:styleId="PageNumber">
    <w:name w:val="page number"/>
    <w:aliases w:val="7_G"/>
    <w:basedOn w:val="DefaultParagraphFont"/>
    <w:qFormat/>
    <w:rsid w:val="00E0299A"/>
    <w:rPr>
      <w:rFonts w:ascii="Times New Roman" w:hAnsi="Times New Roman"/>
      <w:b/>
      <w:sz w:val="18"/>
      <w:lang w:val="fr-CH"/>
    </w:rPr>
  </w:style>
  <w:style w:type="character" w:customStyle="1" w:styleId="Heading1Char">
    <w:name w:val="Heading 1 Char"/>
    <w:aliases w:val="Table_G Char"/>
    <w:basedOn w:val="DefaultParagraphFont"/>
    <w:link w:val="Heading1"/>
    <w:rsid w:val="00E0299A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B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BAF"/>
    <w:rPr>
      <w:rFonts w:ascii="Tahoma" w:hAnsi="Tahoma" w:cs="Tahoma"/>
      <w:sz w:val="16"/>
      <w:szCs w:val="16"/>
      <w:lang w:eastAsia="en-US"/>
    </w:rPr>
  </w:style>
  <w:style w:type="character" w:customStyle="1" w:styleId="SingleTxtGChar">
    <w:name w:val="_ Single Txt_G Char"/>
    <w:link w:val="SingleTxtG"/>
    <w:rsid w:val="00C34951"/>
    <w:rPr>
      <w:rFonts w:ascii="Times New Roman" w:eastAsiaTheme="minorHAnsi" w:hAnsi="Times New Roman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932</Words>
  <Characters>6954</Characters>
  <Application>Microsoft Office Word</Application>
  <DocSecurity>0</DocSecurity>
  <Lines>183</Lines>
  <Paragraphs>93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ECE/TRANS/WP.15/AC.1/2019/25</vt:lpstr>
      <vt:lpstr>ECE/TRANS/WP.15/AC.1/2019/25</vt:lpstr>
    </vt:vector>
  </TitlesOfParts>
  <Company>DCM</Company>
  <LinksUpToDate>false</LinksUpToDate>
  <CharactersWithSpaces>7793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ECE/TRANS/WP.15/AC.1/2019/25</dc:title>
  <dc:subject/>
  <dc:creator>Edith BOURION</dc:creator>
  <cp:keywords/>
  <cp:lastModifiedBy>Christine Barrio-Champeau</cp:lastModifiedBy>
  <cp:revision>2</cp:revision>
  <cp:lastPrinted>2019-07-22T09:33:00Z</cp:lastPrinted>
  <dcterms:created xsi:type="dcterms:W3CDTF">2019-08-05T14:24:00Z</dcterms:created>
  <dcterms:modified xsi:type="dcterms:W3CDTF">2019-08-05T14:24:00Z</dcterms:modified>
</cp:coreProperties>
</file>