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B79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B7983" w:rsidP="00BB7983">
            <w:pPr>
              <w:jc w:val="right"/>
            </w:pPr>
            <w:r w:rsidRPr="00BB7983">
              <w:rPr>
                <w:sz w:val="40"/>
              </w:rPr>
              <w:t>ECE</w:t>
            </w:r>
            <w:r>
              <w:t>/TRANS/WP.15/AC.1/2019/24</w:t>
            </w:r>
          </w:p>
        </w:tc>
      </w:tr>
      <w:tr w:rsidR="002D5AAC" w:rsidRPr="00BB798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B79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B7983" w:rsidRDefault="00BB7983" w:rsidP="00BB79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:rsidR="00BB7983" w:rsidRDefault="00BB7983" w:rsidP="00BB79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B7983" w:rsidRPr="008D53B6" w:rsidRDefault="00BB7983" w:rsidP="00BB79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B7983" w:rsidRDefault="008A37C8" w:rsidP="00A5444C">
      <w:pPr>
        <w:spacing w:before="120" w:line="23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B7983" w:rsidRPr="00BB7983" w:rsidRDefault="00BB7983" w:rsidP="00A5444C">
      <w:pPr>
        <w:spacing w:before="120" w:line="230" w:lineRule="atLeast"/>
        <w:rPr>
          <w:sz w:val="28"/>
          <w:szCs w:val="28"/>
        </w:rPr>
      </w:pPr>
      <w:r w:rsidRPr="00BB7983">
        <w:rPr>
          <w:sz w:val="28"/>
          <w:szCs w:val="28"/>
        </w:rPr>
        <w:t>Комитет по внутреннему транспорту</w:t>
      </w:r>
    </w:p>
    <w:p w:rsidR="00BB7983" w:rsidRPr="00BB7983" w:rsidRDefault="00BB7983" w:rsidP="00A5444C">
      <w:pPr>
        <w:spacing w:before="120" w:after="120" w:line="230" w:lineRule="atLeast"/>
        <w:rPr>
          <w:b/>
          <w:sz w:val="24"/>
          <w:szCs w:val="24"/>
        </w:rPr>
      </w:pPr>
      <w:r w:rsidRPr="00BB7983">
        <w:rPr>
          <w:b/>
          <w:bCs/>
          <w:sz w:val="24"/>
          <w:szCs w:val="24"/>
        </w:rPr>
        <w:t>Рабочая группа по перевозкам опасных грузов</w:t>
      </w:r>
    </w:p>
    <w:p w:rsidR="00BB7983" w:rsidRPr="00EF085E" w:rsidRDefault="00BB7983" w:rsidP="00A5444C">
      <w:pPr>
        <w:spacing w:line="230" w:lineRule="atLeast"/>
        <w:rPr>
          <w:b/>
        </w:rPr>
      </w:pPr>
      <w:r w:rsidRPr="00EF085E">
        <w:rPr>
          <w:b/>
          <w:bCs/>
        </w:rPr>
        <w:t>Совместное со</w:t>
      </w:r>
      <w:r>
        <w:rPr>
          <w:b/>
          <w:bCs/>
        </w:rPr>
        <w:t>вещание Комиссии экспертов МПОГ</w:t>
      </w:r>
      <w:r>
        <w:rPr>
          <w:b/>
          <w:bCs/>
        </w:rPr>
        <w:br/>
      </w:r>
      <w:r w:rsidRPr="00EF085E">
        <w:rPr>
          <w:b/>
          <w:bCs/>
        </w:rPr>
        <w:t>и</w:t>
      </w:r>
      <w:r w:rsidRPr="00BB7983">
        <w:rPr>
          <w:b/>
        </w:rPr>
        <w:t xml:space="preserve"> </w:t>
      </w:r>
      <w:r w:rsidRPr="00EF085E">
        <w:rPr>
          <w:b/>
          <w:bCs/>
        </w:rPr>
        <w:t>Рабочей группы по перевозкам опасных грузов</w:t>
      </w:r>
    </w:p>
    <w:p w:rsidR="00BB7983" w:rsidRPr="00EF085E" w:rsidRDefault="00BB7983" w:rsidP="00A5444C">
      <w:pPr>
        <w:spacing w:line="230" w:lineRule="atLeast"/>
      </w:pPr>
      <w:r w:rsidRPr="00EF085E">
        <w:t>Женева, 17−27 сентября 2019 года</w:t>
      </w:r>
    </w:p>
    <w:p w:rsidR="00BB7983" w:rsidRPr="00EF085E" w:rsidRDefault="00BB7983" w:rsidP="00A5444C">
      <w:pPr>
        <w:spacing w:line="230" w:lineRule="atLeast"/>
      </w:pPr>
      <w:r w:rsidRPr="00EF085E">
        <w:t>Пункт 2 предварительной повестки дня</w:t>
      </w:r>
    </w:p>
    <w:p w:rsidR="00BB7983" w:rsidRPr="00BB7983" w:rsidRDefault="00BB7983" w:rsidP="00A5444C">
      <w:pPr>
        <w:spacing w:line="230" w:lineRule="atLeast"/>
        <w:rPr>
          <w:b/>
        </w:rPr>
      </w:pPr>
      <w:r w:rsidRPr="00BB7983">
        <w:rPr>
          <w:b/>
        </w:rPr>
        <w:t>Цистерны</w:t>
      </w:r>
    </w:p>
    <w:p w:rsidR="00BB7983" w:rsidRPr="00BB7983" w:rsidRDefault="00BB7983" w:rsidP="00A5444C">
      <w:pPr>
        <w:pStyle w:val="HChG"/>
        <w:spacing w:before="300" w:line="280" w:lineRule="exact"/>
      </w:pPr>
      <w:r w:rsidRPr="00BB7983">
        <w:tab/>
      </w:r>
      <w:r w:rsidRPr="00BB7983">
        <w:tab/>
      </w:r>
      <w:r w:rsidRPr="00BB7983">
        <w:tab/>
        <w:t xml:space="preserve">Цистерны: уточнения в отношении защиты, требующейся для фитингов и вспомогательных приспособлений, установленных в верхней части вакуумных цистерн для отходов </w:t>
      </w:r>
    </w:p>
    <w:p w:rsidR="00BB7983" w:rsidRDefault="00BB7983" w:rsidP="00A5444C">
      <w:pPr>
        <w:pStyle w:val="H1G"/>
        <w:spacing w:before="300" w:line="260" w:lineRule="exact"/>
        <w:rPr>
          <w:b w:val="0"/>
          <w:sz w:val="20"/>
          <w:lang w:val="en-US"/>
        </w:rPr>
      </w:pPr>
      <w:r w:rsidRPr="00BB7983">
        <w:tab/>
      </w:r>
      <w:r w:rsidRPr="00BB7983">
        <w:tab/>
        <w:t>Передано правительством Соединенного Королевства</w:t>
      </w:r>
      <w:r w:rsidRPr="00BB798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BB7983">
        <w:rPr>
          <w:b w:val="0"/>
          <w:lang w:val="en-US"/>
        </w:rPr>
        <w:t xml:space="preserve"> </w:t>
      </w:r>
      <w:r w:rsidRPr="00BB7983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B7983" w:rsidRPr="00BB7983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B7983" w:rsidRPr="00BB7983" w:rsidRDefault="00BB7983" w:rsidP="00A5444C">
            <w:pPr>
              <w:tabs>
                <w:tab w:val="left" w:pos="255"/>
              </w:tabs>
              <w:spacing w:before="200" w:after="120" w:line="220" w:lineRule="atLeast"/>
              <w:rPr>
                <w:rFonts w:cs="Times New Roman"/>
                <w:sz w:val="24"/>
              </w:rPr>
            </w:pPr>
            <w:r w:rsidRPr="00BB7983">
              <w:rPr>
                <w:rFonts w:cs="Times New Roman"/>
              </w:rPr>
              <w:tab/>
            </w:r>
            <w:r w:rsidRPr="00BB798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B7983" w:rsidRPr="00BB798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B7983" w:rsidRPr="00BB7983" w:rsidRDefault="00BB7983" w:rsidP="00A5444C">
            <w:pPr>
              <w:pStyle w:val="SingleTxtG"/>
              <w:tabs>
                <w:tab w:val="left" w:pos="3677"/>
              </w:tabs>
              <w:spacing w:after="100" w:line="230" w:lineRule="atLeast"/>
              <w:ind w:left="3674" w:hanging="2540"/>
            </w:pPr>
            <w:r w:rsidRPr="00A5444C">
              <w:rPr>
                <w:b/>
              </w:rPr>
              <w:t>Существо предложения:</w:t>
            </w:r>
            <w:r w:rsidRPr="00BB7983">
              <w:tab/>
              <w:t>Настоящее предложение основано на итогах обсуждений, состоявшихся в Рабочей группе по цистернам в ходе сессий Совместного совещания МПОГ/ДОПОГ/ВОПОГ в марте и сентябре 2018 года и в марте 2019 года, по вопросу о защите от повреждений в случае опрокидывания, которая может потребоваться для фитингов и вспомогательных приспособлений, установленных в верхней части вакуумных цистерн для отходов. На сессии в марте 2019 года было решено внести поправки в соответствующий текст ДОПОГ, и Соединенному Королевству было предложено представить пересмотренное предложение с учетом состоявшихся обсуждений.</w:t>
            </w:r>
          </w:p>
        </w:tc>
      </w:tr>
      <w:tr w:rsidR="00BB7983" w:rsidRPr="00BB798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B7983" w:rsidRPr="00BB7983" w:rsidRDefault="00BB7983" w:rsidP="00A5444C">
            <w:pPr>
              <w:pStyle w:val="SingleTxtG"/>
              <w:tabs>
                <w:tab w:val="left" w:pos="3677"/>
              </w:tabs>
              <w:spacing w:after="100" w:line="230" w:lineRule="atLeast"/>
              <w:ind w:left="3674" w:hanging="2540"/>
            </w:pPr>
            <w:r w:rsidRPr="00BB7983">
              <w:rPr>
                <w:b/>
                <w:bCs/>
              </w:rPr>
              <w:t>Предлагаемое решение:</w:t>
            </w:r>
            <w:r w:rsidRPr="00BB7983">
              <w:tab/>
              <w:t>Предложение изменить формулировку пункта 6.10.3.1, с тем чтобы ясно</w:t>
            </w:r>
            <w:r w:rsidR="00A5444C">
              <w:t xml:space="preserve"> указать, что требования пункта </w:t>
            </w:r>
            <w:r w:rsidRPr="00BB7983">
              <w:t>6.8.2.1.28 распространяются на определенные элементы оборудования, которые могут быть установлены в так называемой «защищенной зоне» сверху цистерны. Предложение о новой переходной мере для включения в пункт 1.6.3.35.</w:t>
            </w:r>
          </w:p>
        </w:tc>
      </w:tr>
      <w:tr w:rsidR="00BB7983" w:rsidRPr="00BB798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B7983" w:rsidRPr="00BB7983" w:rsidRDefault="00BB7983" w:rsidP="00A5444C">
            <w:pPr>
              <w:pStyle w:val="SingleTxtG"/>
              <w:tabs>
                <w:tab w:val="left" w:pos="3677"/>
              </w:tabs>
              <w:ind w:left="3677" w:hanging="2543"/>
              <w:rPr>
                <w:bCs/>
              </w:rPr>
            </w:pPr>
            <w:r w:rsidRPr="00A5444C">
              <w:rPr>
                <w:b/>
                <w:bCs/>
                <w:spacing w:val="-4"/>
              </w:rPr>
              <w:lastRenderedPageBreak/>
              <w:t>Справочные документы:</w:t>
            </w:r>
            <w:r w:rsidRPr="00A5444C">
              <w:rPr>
                <w:bCs/>
                <w:spacing w:val="-4"/>
              </w:rPr>
              <w:tab/>
              <w:t>ECE/TRANS/WP.15/A</w:t>
            </w:r>
            <w:r w:rsidR="00A5444C" w:rsidRPr="00A5444C">
              <w:rPr>
                <w:bCs/>
                <w:spacing w:val="-4"/>
              </w:rPr>
              <w:t>C.1/2019/17 и INF.39 (пункты 13–</w:t>
            </w:r>
            <w:r w:rsidRPr="00A5444C">
              <w:rPr>
                <w:bCs/>
                <w:spacing w:val="-4"/>
              </w:rPr>
              <w:t>16)</w:t>
            </w:r>
            <w:r w:rsidRPr="00BB7983">
              <w:rPr>
                <w:bCs/>
              </w:rPr>
              <w:t xml:space="preserve"> </w:t>
            </w:r>
            <w:r w:rsidRPr="00A5444C">
              <w:t>мартовской</w:t>
            </w:r>
            <w:r w:rsidRPr="00BB7983">
              <w:rPr>
                <w:bCs/>
              </w:rPr>
              <w:t xml:space="preserve"> сессии 2019 </w:t>
            </w:r>
            <w:r w:rsidRPr="00A5444C">
              <w:t>года</w:t>
            </w:r>
            <w:r w:rsidR="00A5444C">
              <w:rPr>
                <w:bCs/>
              </w:rPr>
              <w:t>, INF.17 и INF.30 (пункты </w:t>
            </w:r>
            <w:r w:rsidRPr="00BB7983">
              <w:rPr>
                <w:bCs/>
              </w:rPr>
              <w:t>22–25) сентябрьской сессии 2018 года и INF.47 (пункт 42) мартовской сессии 2018 года.</w:t>
            </w:r>
          </w:p>
        </w:tc>
      </w:tr>
      <w:tr w:rsidR="00BB7983" w:rsidRPr="00BB7983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B7983" w:rsidRPr="00BB7983" w:rsidRDefault="00BB7983" w:rsidP="00850215">
            <w:pPr>
              <w:rPr>
                <w:rFonts w:cs="Times New Roman"/>
              </w:rPr>
            </w:pPr>
          </w:p>
        </w:tc>
      </w:tr>
    </w:tbl>
    <w:p w:rsidR="00A5444C" w:rsidRDefault="00A5444C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:rsidR="00BB7983" w:rsidRPr="00A5444C" w:rsidRDefault="00BB7983" w:rsidP="00A5444C">
      <w:pPr>
        <w:pStyle w:val="HChG"/>
      </w:pPr>
      <w:r w:rsidRPr="00A5444C">
        <w:lastRenderedPageBreak/>
        <w:tab/>
      </w:r>
      <w:r w:rsidRPr="00A5444C">
        <w:tab/>
        <w:t>Введение</w:t>
      </w:r>
    </w:p>
    <w:p w:rsidR="00BB7983" w:rsidRPr="00EF085E" w:rsidRDefault="00BB7983" w:rsidP="00BB7983">
      <w:pPr>
        <w:pStyle w:val="SingleTxtG"/>
      </w:pPr>
      <w:proofErr w:type="gramStart"/>
      <w:r w:rsidRPr="00EF085E">
        <w:t>1.</w:t>
      </w:r>
      <w:r w:rsidRPr="00EF085E">
        <w:tab/>
        <w:t>В</w:t>
      </w:r>
      <w:proofErr w:type="gramEnd"/>
      <w:r w:rsidRPr="00EF085E">
        <w:t xml:space="preserve"> ходе совещания Рабочей группы по цисте</w:t>
      </w:r>
      <w:r w:rsidR="00A5444C">
        <w:t>рнам, проходившего в марте 2019 </w:t>
      </w:r>
      <w:r w:rsidRPr="00EF085E">
        <w:t>года, в рамках пункта 5 повестки дня состоялось обсуждение вопроса о толковании требований, касающихся защиты вакуумных цистерн для отходов в случае опрокидывания. Оно состоялось после обсуждения этой темы на мартовской и сентябрьской сессиях 2018 года Рабочей группы по цистернам.</w:t>
      </w:r>
    </w:p>
    <w:p w:rsidR="00BB7983" w:rsidRPr="00EF085E" w:rsidRDefault="00BB7983" w:rsidP="00BB7983">
      <w:pPr>
        <w:pStyle w:val="SingleTxtG"/>
      </w:pPr>
      <w:r w:rsidRPr="00EF085E">
        <w:t>2.</w:t>
      </w:r>
      <w:r w:rsidRPr="00EF085E">
        <w:tab/>
        <w:t xml:space="preserve">Рабочая группа пришла к согласию </w:t>
      </w:r>
      <w:r w:rsidR="00885698">
        <w:t xml:space="preserve">в </w:t>
      </w:r>
      <w:r w:rsidRPr="00EF085E">
        <w:t>плане того, что требования ДОПОГ, касающиеся защиты вакуумных цистерн для отходов в случае опрокидывания, не являются достаточно четкими и что текст следует уточнить, с тем чтобы обеспечить единое толкование. В этой связи Соединенному Королевству было предложено от имени Группы представить пересмотренное предложение о внесении поправок в соответствующий текст ДОПОГ с учетом замечаний, высказанных на мартовской сессии 2019 года.</w:t>
      </w:r>
    </w:p>
    <w:p w:rsidR="00BB7983" w:rsidRPr="00EF085E" w:rsidRDefault="00BB7983" w:rsidP="00BB7983">
      <w:pPr>
        <w:pStyle w:val="SingleTxtG"/>
      </w:pPr>
      <w:r w:rsidRPr="00EF085E">
        <w:t>3.</w:t>
      </w:r>
      <w:r w:rsidRPr="00EF085E">
        <w:tab/>
        <w:t>Таким образом, цель настоящего документа состоит в том, чтобы предложить поправки, уточняющие текст, касающийся защиты вакуумных цистерн для отходов в случае опрокидывания, и предложить переходные меры для цистерн, не отвечающих этим требованиям, до вступления поправок в силу.</w:t>
      </w:r>
      <w:r>
        <w:t xml:space="preserve"> </w:t>
      </w:r>
    </w:p>
    <w:p w:rsidR="00BB7983" w:rsidRPr="00A5444C" w:rsidRDefault="00BB7983" w:rsidP="00A5444C">
      <w:pPr>
        <w:pStyle w:val="HChG"/>
      </w:pPr>
      <w:r w:rsidRPr="00A5444C">
        <w:tab/>
      </w:r>
      <w:r w:rsidRPr="00A5444C">
        <w:tab/>
        <w:t>Предложения</w:t>
      </w:r>
    </w:p>
    <w:p w:rsidR="00BB7983" w:rsidRPr="00A5444C" w:rsidRDefault="00BB7983" w:rsidP="00A5444C">
      <w:pPr>
        <w:pStyle w:val="H1G"/>
      </w:pPr>
      <w:r w:rsidRPr="00A5444C">
        <w:tab/>
      </w:r>
      <w:r w:rsidRPr="00A5444C">
        <w:tab/>
        <w:t>Предложение 1</w:t>
      </w:r>
    </w:p>
    <w:p w:rsidR="00BB7983" w:rsidRPr="00EF085E" w:rsidRDefault="00BB7983" w:rsidP="00BB7983">
      <w:pPr>
        <w:pStyle w:val="H23G"/>
        <w:rPr>
          <w:b w:val="0"/>
        </w:rPr>
      </w:pPr>
      <w:r w:rsidRPr="00EF085E">
        <w:rPr>
          <w:b w:val="0"/>
        </w:rPr>
        <w:tab/>
      </w:r>
      <w:r w:rsidRPr="00EF085E">
        <w:rPr>
          <w:b w:val="0"/>
        </w:rPr>
        <w:tab/>
        <w:t xml:space="preserve">Включить в пункт 6.10.3.1 новый текст следующего содержания (новый текст выделен </w:t>
      </w:r>
      <w:r w:rsidRPr="00EF085E">
        <w:rPr>
          <w:bCs/>
        </w:rPr>
        <w:t>жирным шрифтом</w:t>
      </w:r>
      <w:r w:rsidRPr="00EF085E">
        <w:rPr>
          <w:b w:val="0"/>
        </w:rPr>
        <w:t xml:space="preserve"> и </w:t>
      </w:r>
      <w:r w:rsidRPr="00EF085E">
        <w:rPr>
          <w:b w:val="0"/>
          <w:u w:val="single"/>
        </w:rPr>
        <w:t>подчеркнут</w:t>
      </w:r>
      <w:r w:rsidRPr="00EF085E">
        <w:rPr>
          <w:b w:val="0"/>
        </w:rPr>
        <w:t>):</w:t>
      </w:r>
      <w:bookmarkStart w:id="1" w:name="_Hlk8716908"/>
      <w:bookmarkStart w:id="2" w:name="_Hlk8717454"/>
      <w:bookmarkEnd w:id="1"/>
      <w:bookmarkEnd w:id="2"/>
    </w:p>
    <w:p w:rsidR="00BB7983" w:rsidRPr="00EF085E" w:rsidRDefault="00A5444C" w:rsidP="00BB7983">
      <w:pPr>
        <w:tabs>
          <w:tab w:val="num" w:pos="2268"/>
        </w:tabs>
        <w:spacing w:after="120"/>
        <w:ind w:left="2127" w:right="1134" w:hanging="993"/>
        <w:jc w:val="both"/>
        <w:rPr>
          <w:b/>
          <w:bCs/>
          <w:u w:val="single"/>
        </w:rPr>
      </w:pPr>
      <w:r>
        <w:t>«</w:t>
      </w:r>
      <w:r w:rsidR="00BB7983" w:rsidRPr="00EF085E">
        <w:t>6.10.3.1</w:t>
      </w:r>
      <w:r w:rsidR="00BB7983" w:rsidRPr="00EF085E">
        <w:tab/>
        <w:t xml:space="preserve">Элементы оборудования должны располагаться таким образом, чтобы исключалась опасность их срыва или повреждения во время перевозки или погрузочно-разгрузочных операций. Это требование может быть выполнено путем расположения оборудования в так называемой </w:t>
      </w:r>
      <w:r w:rsidR="00885698">
        <w:rPr>
          <w:rFonts w:cs="Times New Roman"/>
        </w:rPr>
        <w:t>"</w:t>
      </w:r>
      <w:r w:rsidR="00BB7983" w:rsidRPr="00EF085E">
        <w:t>защищенной зоне</w:t>
      </w:r>
      <w:r w:rsidR="00885698">
        <w:rPr>
          <w:rFonts w:cs="Times New Roman"/>
        </w:rPr>
        <w:t>"</w:t>
      </w:r>
      <w:r w:rsidR="00BB7983" w:rsidRPr="00EF085E">
        <w:t xml:space="preserve"> (см. пункт 6.10.1.1.1). </w:t>
      </w:r>
      <w:r w:rsidR="00BB7983" w:rsidRPr="00EF085E">
        <w:rPr>
          <w:b/>
          <w:bCs/>
          <w:u w:val="single"/>
        </w:rPr>
        <w:t>Если элементы оборудования размещены в "защищенной зоне" в верхней части цистерн</w:t>
      </w:r>
      <w:r>
        <w:rPr>
          <w:b/>
          <w:bCs/>
          <w:u w:val="single"/>
        </w:rPr>
        <w:t>ы (см. </w:t>
      </w:r>
      <w:r w:rsidR="00BB7983" w:rsidRPr="00EF085E">
        <w:rPr>
          <w:b/>
          <w:bCs/>
          <w:u w:val="single"/>
        </w:rPr>
        <w:t xml:space="preserve">пункт 6.10.1.1.1 b)), то применяются требования пункта 6.8.2.1.28, если только элементы оборудования не сконструированы таким образом, чтобы </w:t>
      </w:r>
      <w:r w:rsidR="00BB7983" w:rsidRPr="00EF085E">
        <w:rPr>
          <w:b/>
          <w:u w:val="single"/>
        </w:rPr>
        <w:t xml:space="preserve">утечка из цистерны не происходила </w:t>
      </w:r>
      <w:r w:rsidR="00BB7983" w:rsidRPr="00EF085E">
        <w:rPr>
          <w:b/>
          <w:bCs/>
          <w:u w:val="single"/>
        </w:rPr>
        <w:t>в случае любого повреждения или удара, которые могут быть вызваны опрокиды</w:t>
      </w:r>
      <w:r>
        <w:rPr>
          <w:b/>
          <w:bCs/>
          <w:u w:val="single"/>
        </w:rPr>
        <w:t>ванием.»</w:t>
      </w:r>
      <w:r w:rsidR="00BB7983" w:rsidRPr="00EF085E">
        <w:rPr>
          <w:b/>
          <w:bCs/>
          <w:u w:val="single"/>
        </w:rPr>
        <w:t>.</w:t>
      </w:r>
    </w:p>
    <w:p w:rsidR="00BB7983" w:rsidRPr="00EF085E" w:rsidRDefault="00BB7983" w:rsidP="00BB7983">
      <w:pPr>
        <w:pStyle w:val="H1G"/>
      </w:pPr>
      <w:r w:rsidRPr="00EF085E">
        <w:tab/>
      </w:r>
      <w:r w:rsidRPr="00EF085E">
        <w:tab/>
      </w:r>
      <w:r w:rsidRPr="00EF085E">
        <w:tab/>
      </w:r>
      <w:r w:rsidRPr="00EF085E">
        <w:rPr>
          <w:bCs/>
        </w:rPr>
        <w:t>Предложение 2</w:t>
      </w:r>
      <w:bookmarkStart w:id="3" w:name="_Hlk8716677"/>
      <w:bookmarkEnd w:id="3"/>
    </w:p>
    <w:p w:rsidR="00BB7983" w:rsidRPr="00885698" w:rsidRDefault="00BB7983" w:rsidP="00BB7983">
      <w:pPr>
        <w:pStyle w:val="H23G"/>
        <w:rPr>
          <w:b w:val="0"/>
        </w:rPr>
      </w:pPr>
      <w:r w:rsidRPr="00EF085E">
        <w:tab/>
      </w:r>
      <w:r w:rsidRPr="00EF085E">
        <w:tab/>
      </w:r>
      <w:r w:rsidRPr="00885698">
        <w:rPr>
          <w:b w:val="0"/>
        </w:rPr>
        <w:t>Включить в пункт 1.6.3.35 новую переходную меру следующего содержания (новый текст выделен</w:t>
      </w:r>
      <w:r w:rsidRPr="00EF085E">
        <w:t xml:space="preserve"> </w:t>
      </w:r>
      <w:r w:rsidRPr="00EF085E">
        <w:rPr>
          <w:bCs/>
        </w:rPr>
        <w:t xml:space="preserve">жирным шрифтом </w:t>
      </w:r>
      <w:r w:rsidRPr="00885698">
        <w:rPr>
          <w:b w:val="0"/>
        </w:rPr>
        <w:t>и</w:t>
      </w:r>
      <w:r w:rsidRPr="00EF085E">
        <w:t xml:space="preserve"> </w:t>
      </w:r>
      <w:r w:rsidRPr="00885698">
        <w:rPr>
          <w:b w:val="0"/>
          <w:u w:val="single"/>
        </w:rPr>
        <w:t>подчеркнут</w:t>
      </w:r>
      <w:r w:rsidRPr="00885698">
        <w:rPr>
          <w:b w:val="0"/>
        </w:rPr>
        <w:t>):</w:t>
      </w:r>
    </w:p>
    <w:p w:rsidR="00BB7983" w:rsidRPr="00EF085E" w:rsidRDefault="00A5444C" w:rsidP="00BB7983">
      <w:pPr>
        <w:ind w:left="2127" w:right="1134" w:hanging="993"/>
        <w:jc w:val="both"/>
        <w:rPr>
          <w:b/>
          <w:u w:val="single"/>
        </w:rPr>
      </w:pPr>
      <w:r>
        <w:rPr>
          <w:b/>
          <w:u w:val="single"/>
        </w:rPr>
        <w:t>«</w:t>
      </w:r>
      <w:r w:rsidR="00BB7983" w:rsidRPr="00EF085E">
        <w:rPr>
          <w:b/>
          <w:u w:val="single"/>
        </w:rPr>
        <w:t>1.6.3.35</w:t>
      </w:r>
      <w:r w:rsidR="00BB7983" w:rsidRPr="00EF085E">
        <w:rPr>
          <w:b/>
          <w:u w:val="single"/>
        </w:rPr>
        <w:tab/>
      </w:r>
      <w:r w:rsidR="00BB7983" w:rsidRPr="00EF085E">
        <w:rPr>
          <w:b/>
          <w:bCs/>
          <w:u w:val="single"/>
        </w:rPr>
        <w:t xml:space="preserve">Вакуумные цистерны для отходов, изготовленные до 1 июля 2021 года в соответствии с требованиями, </w:t>
      </w:r>
      <w:r>
        <w:rPr>
          <w:b/>
          <w:bCs/>
          <w:u w:val="single"/>
        </w:rPr>
        <w:t>действующими до 31 декабря 2020 </w:t>
      </w:r>
      <w:r w:rsidR="00BB7983" w:rsidRPr="00EF085E">
        <w:rPr>
          <w:b/>
          <w:bCs/>
          <w:u w:val="single"/>
        </w:rPr>
        <w:t>года, но не соответствующие требованиям пункта 6.10.3.1, применяемым с 1 января 2021 года, могут по-прежнему эксплуатироваться.»</w:t>
      </w:r>
    </w:p>
    <w:p w:rsidR="00BB7983" w:rsidRPr="00EF085E" w:rsidRDefault="00BB7983" w:rsidP="00BB7983">
      <w:pPr>
        <w:pStyle w:val="H1G"/>
        <w:ind w:left="0" w:firstLine="0"/>
        <w:rPr>
          <w:sz w:val="28"/>
          <w:szCs w:val="28"/>
        </w:rPr>
      </w:pPr>
      <w:r w:rsidRPr="00EF085E">
        <w:tab/>
      </w:r>
      <w:r w:rsidRPr="00EF085E">
        <w:tab/>
      </w:r>
      <w:r w:rsidRPr="00EF085E">
        <w:rPr>
          <w:bCs/>
        </w:rPr>
        <w:t>Обоснование</w:t>
      </w:r>
      <w:bookmarkStart w:id="4" w:name="_Hlk8716499"/>
      <w:bookmarkEnd w:id="4"/>
    </w:p>
    <w:p w:rsidR="00BB7983" w:rsidRPr="00EF085E" w:rsidRDefault="00BB7983" w:rsidP="00BB7983">
      <w:pPr>
        <w:pStyle w:val="SingleTxtG"/>
        <w:rPr>
          <w:bCs/>
        </w:rPr>
      </w:pPr>
      <w:r w:rsidRPr="00EF085E">
        <w:t>4.</w:t>
      </w:r>
      <w:r w:rsidRPr="00EF085E">
        <w:tab/>
        <w:t xml:space="preserve">Нынешний текст ДОПОГ определяет «защищенную зону» (пункт 6.10.1.1.1 b)) в верхней части цистерны, в которой элементы оборудования считаются защищенными от опасности срыва или повреждения </w:t>
      </w:r>
      <w:r w:rsidRPr="00EF085E">
        <w:rPr>
          <w:i/>
          <w:iCs/>
        </w:rPr>
        <w:t>во время перевозки или погрузочно-разгрузочных работ.</w:t>
      </w:r>
      <w:r w:rsidRPr="00EF085E">
        <w:t xml:space="preserve"> Вместе с тем, хотя элементы оборудования считаются защищенными от опасности срыва или повреждения </w:t>
      </w:r>
      <w:r w:rsidRPr="00EF085E">
        <w:rPr>
          <w:i/>
          <w:iCs/>
        </w:rPr>
        <w:t xml:space="preserve">во время перевозки или </w:t>
      </w:r>
      <w:r w:rsidRPr="00EF085E">
        <w:rPr>
          <w:i/>
          <w:iCs/>
        </w:rPr>
        <w:lastRenderedPageBreak/>
        <w:t>погрузочно-разгрузочных работ</w:t>
      </w:r>
      <w:r w:rsidRPr="00EF085E">
        <w:t xml:space="preserve"> в этой зоне, в тексте ДОПОГ нет ясного указания в отношении того, должны ли элементы оборудования быть также защищены от повреждения, которое может быть вызвано </w:t>
      </w:r>
      <w:r w:rsidRPr="00EF085E">
        <w:rPr>
          <w:i/>
          <w:iCs/>
        </w:rPr>
        <w:t xml:space="preserve">опрокидыванием </w:t>
      </w:r>
      <w:r w:rsidRPr="00EF085E">
        <w:t xml:space="preserve">(см. неофициальный документ INF.17 сентябрьской сессии 2018 года). </w:t>
      </w:r>
    </w:p>
    <w:p w:rsidR="00BB7983" w:rsidRPr="00EF085E" w:rsidRDefault="00BB7983" w:rsidP="00BB7983">
      <w:pPr>
        <w:pStyle w:val="SingleTxtG"/>
        <w:rPr>
          <w:bCs/>
        </w:rPr>
      </w:pPr>
      <w:r w:rsidRPr="00EF085E">
        <w:t>5.</w:t>
      </w:r>
      <w:r w:rsidRPr="00EF085E">
        <w:tab/>
        <w:t xml:space="preserve">С учетом того, что два различных толкования считаются возможными, приведенные выше предложения направлены на уточнение текста для разъяснения того, что касающиеся защиты в случае опрокидывания требования пункта 6.8.2.1.28 (или эквивалентные положения в области безопасности) применяются к вакуумным цистернам для отходов, и на обеспечение дальнейшего использования любых цистерн, изготовленных до вступления в силу этого уточнения. В Рабочей группе по цистернам было достигнуто согласие в отношении того, что нынешние требования являются неясными, в силу чего данные поправки необходимы для обеспечения применения последовательного подхода договаривающимися сторонами. </w:t>
      </w:r>
    </w:p>
    <w:p w:rsidR="00BB7983" w:rsidRPr="00EF085E" w:rsidRDefault="00BB7983" w:rsidP="00BB7983">
      <w:pPr>
        <w:pStyle w:val="SingleTxtG"/>
      </w:pPr>
      <w:r w:rsidRPr="00EF085E">
        <w:t>6.</w:t>
      </w:r>
      <w:r w:rsidRPr="00EF085E">
        <w:tab/>
        <w:t xml:space="preserve">Полное обоснование этих предложений содержится в документах ECE/TRANS/WP.15/AC.1/2019/17 мартовской сессии 2019 года и INF.17 сентябрьской сессии 2018 года. </w:t>
      </w:r>
    </w:p>
    <w:p w:rsidR="00E12C5F" w:rsidRPr="00A5444C" w:rsidRDefault="00A5444C" w:rsidP="00A544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5444C" w:rsidSect="00BB79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3C" w:rsidRPr="00A312BC" w:rsidRDefault="004F403C" w:rsidP="00A312BC"/>
  </w:endnote>
  <w:endnote w:type="continuationSeparator" w:id="0">
    <w:p w:rsidR="004F403C" w:rsidRPr="00A312BC" w:rsidRDefault="004F40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83" w:rsidRPr="00BB7983" w:rsidRDefault="00BB7983">
    <w:pPr>
      <w:pStyle w:val="Footer"/>
    </w:pPr>
    <w:r w:rsidRPr="00BB7983">
      <w:rPr>
        <w:b/>
        <w:sz w:val="18"/>
      </w:rPr>
      <w:fldChar w:fldCharType="begin"/>
    </w:r>
    <w:r w:rsidRPr="00BB7983">
      <w:rPr>
        <w:b/>
        <w:sz w:val="18"/>
      </w:rPr>
      <w:instrText xml:space="preserve"> PAGE  \* MERGEFORMAT </w:instrText>
    </w:r>
    <w:r w:rsidRPr="00BB7983">
      <w:rPr>
        <w:b/>
        <w:sz w:val="18"/>
      </w:rPr>
      <w:fldChar w:fldCharType="separate"/>
    </w:r>
    <w:r w:rsidR="006F1F0B">
      <w:rPr>
        <w:b/>
        <w:noProof/>
        <w:sz w:val="18"/>
      </w:rPr>
      <w:t>4</w:t>
    </w:r>
    <w:r w:rsidRPr="00BB7983">
      <w:rPr>
        <w:b/>
        <w:sz w:val="18"/>
      </w:rPr>
      <w:fldChar w:fldCharType="end"/>
    </w:r>
    <w:r>
      <w:rPr>
        <w:b/>
        <w:sz w:val="18"/>
      </w:rPr>
      <w:tab/>
    </w:r>
    <w:r>
      <w:t>GE.19-10076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83" w:rsidRPr="00BB7983" w:rsidRDefault="00BB7983" w:rsidP="00BB798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GE.19-10076</w:t>
    </w:r>
    <w:r>
      <w:tab/>
    </w:r>
    <w:r w:rsidRPr="00BB7983">
      <w:rPr>
        <w:b/>
        <w:sz w:val="18"/>
      </w:rPr>
      <w:fldChar w:fldCharType="begin"/>
    </w:r>
    <w:r w:rsidRPr="00BB7983">
      <w:rPr>
        <w:b/>
        <w:sz w:val="18"/>
      </w:rPr>
      <w:instrText xml:space="preserve"> PAGE  \* MERGEFORMAT </w:instrText>
    </w:r>
    <w:r w:rsidRPr="00BB7983">
      <w:rPr>
        <w:b/>
        <w:sz w:val="18"/>
      </w:rPr>
      <w:fldChar w:fldCharType="separate"/>
    </w:r>
    <w:r w:rsidR="006F1F0B">
      <w:rPr>
        <w:b/>
        <w:noProof/>
        <w:sz w:val="18"/>
      </w:rPr>
      <w:t>3</w:t>
    </w:r>
    <w:r w:rsidRPr="00BB79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B7983" w:rsidRDefault="00BB7983" w:rsidP="00BB798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10076  (</w:t>
    </w:r>
    <w:proofErr w:type="gramEnd"/>
    <w:r>
      <w:t>R)</w:t>
    </w:r>
    <w:r w:rsidR="00A5444C">
      <w:rPr>
        <w:lang w:val="en-US"/>
      </w:rPr>
      <w:t xml:space="preserve">  020719  020719</w:t>
    </w:r>
    <w:r>
      <w:br/>
    </w:r>
    <w:r w:rsidRPr="00BB7983">
      <w:rPr>
        <w:rFonts w:ascii="C39T30Lfz" w:hAnsi="C39T30Lfz"/>
        <w:kern w:val="14"/>
        <w:sz w:val="56"/>
      </w:rPr>
      <w:t></w:t>
    </w:r>
    <w:r w:rsidRPr="00BB7983">
      <w:rPr>
        <w:rFonts w:ascii="C39T30Lfz" w:hAnsi="C39T30Lfz"/>
        <w:kern w:val="14"/>
        <w:sz w:val="56"/>
      </w:rPr>
      <w:t></w:t>
    </w:r>
    <w:r w:rsidRPr="00BB7983">
      <w:rPr>
        <w:rFonts w:ascii="C39T30Lfz" w:hAnsi="C39T30Lfz"/>
        <w:kern w:val="14"/>
        <w:sz w:val="56"/>
      </w:rPr>
      <w:t></w:t>
    </w:r>
    <w:r w:rsidRPr="00BB7983">
      <w:rPr>
        <w:rFonts w:ascii="C39T30Lfz" w:hAnsi="C39T30Lfz"/>
        <w:kern w:val="14"/>
        <w:sz w:val="56"/>
      </w:rPr>
      <w:t></w:t>
    </w:r>
    <w:r w:rsidRPr="00BB7983">
      <w:rPr>
        <w:rFonts w:ascii="C39T30Lfz" w:hAnsi="C39T30Lfz"/>
        <w:kern w:val="14"/>
        <w:sz w:val="56"/>
      </w:rPr>
      <w:t></w:t>
    </w:r>
    <w:r w:rsidRPr="00BB7983">
      <w:rPr>
        <w:rFonts w:ascii="C39T30Lfz" w:hAnsi="C39T30Lfz"/>
        <w:kern w:val="14"/>
        <w:sz w:val="56"/>
      </w:rPr>
      <w:t></w:t>
    </w:r>
    <w:r w:rsidRPr="00BB7983">
      <w:rPr>
        <w:rFonts w:ascii="C39T30Lfz" w:hAnsi="C39T30Lfz"/>
        <w:kern w:val="14"/>
        <w:sz w:val="56"/>
      </w:rPr>
      <w:t></w:t>
    </w:r>
    <w:r w:rsidRPr="00BB7983">
      <w:rPr>
        <w:rFonts w:ascii="C39T30Lfz" w:hAnsi="C39T30Lfz"/>
        <w:kern w:val="14"/>
        <w:sz w:val="56"/>
      </w:rPr>
      <w:t></w:t>
    </w:r>
    <w:r w:rsidRPr="00BB798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3C" w:rsidRPr="001075E9" w:rsidRDefault="004F40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403C" w:rsidRDefault="004F40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B7983" w:rsidRPr="00BB7983" w:rsidRDefault="00BB7983" w:rsidP="00A5444C">
      <w:pPr>
        <w:pStyle w:val="FootnoteText"/>
        <w:spacing w:line="210" w:lineRule="exact"/>
        <w:rPr>
          <w:sz w:val="20"/>
        </w:rPr>
      </w:pPr>
      <w:r>
        <w:tab/>
      </w:r>
      <w:r w:rsidRPr="00BB7983">
        <w:rPr>
          <w:rStyle w:val="FootnoteReference"/>
          <w:sz w:val="20"/>
          <w:vertAlign w:val="baseline"/>
        </w:rPr>
        <w:t>*</w:t>
      </w:r>
      <w:r w:rsidRPr="00BB7983">
        <w:rPr>
          <w:rStyle w:val="FootnoteReference"/>
          <w:vertAlign w:val="baseline"/>
        </w:rPr>
        <w:tab/>
      </w:r>
      <w:r w:rsidRPr="00BB7983"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BB7983" w:rsidRPr="00BB7983" w:rsidRDefault="00BB7983" w:rsidP="00A5444C">
      <w:pPr>
        <w:pStyle w:val="FootnoteText"/>
        <w:spacing w:line="210" w:lineRule="exact"/>
        <w:rPr>
          <w:sz w:val="20"/>
        </w:rPr>
      </w:pPr>
      <w:r>
        <w:tab/>
      </w:r>
      <w:r w:rsidRPr="00BB7983">
        <w:rPr>
          <w:rStyle w:val="FootnoteReference"/>
          <w:sz w:val="20"/>
          <w:vertAlign w:val="baseline"/>
        </w:rPr>
        <w:t>**</w:t>
      </w:r>
      <w:r w:rsidRPr="00BB7983">
        <w:rPr>
          <w:rStyle w:val="FootnoteReference"/>
          <w:vertAlign w:val="baseline"/>
        </w:rPr>
        <w:tab/>
      </w:r>
      <w:r w:rsidRPr="00BB7983">
        <w:t>Распространено Межправительственной организацией по международным железнодорожным перевозкам (ОТИФ) под условным обозначением OTIF/RID/RC/2019/24.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83" w:rsidRPr="00BB7983" w:rsidRDefault="008B451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F1F0B">
      <w:t>ECE/TRANS/WP.15/AC.1/2019/24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83" w:rsidRPr="00BB7983" w:rsidRDefault="008B4511" w:rsidP="00BB798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1F0B">
      <w:t>ECE/TRANS/WP.15/AC.1/2019/24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3C"/>
    <w:rsid w:val="00033EE1"/>
    <w:rsid w:val="00042B72"/>
    <w:rsid w:val="000558BD"/>
    <w:rsid w:val="000B57E7"/>
    <w:rsid w:val="000B6373"/>
    <w:rsid w:val="000E36C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F403C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1F0B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5698"/>
    <w:rsid w:val="00894693"/>
    <w:rsid w:val="008A08D7"/>
    <w:rsid w:val="008A37C8"/>
    <w:rsid w:val="008B4511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444C"/>
    <w:rsid w:val="00A84021"/>
    <w:rsid w:val="00A84D35"/>
    <w:rsid w:val="00A917B3"/>
    <w:rsid w:val="00AB4B51"/>
    <w:rsid w:val="00B10CC7"/>
    <w:rsid w:val="00B36DF7"/>
    <w:rsid w:val="00B539E7"/>
    <w:rsid w:val="00B62458"/>
    <w:rsid w:val="00BB798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4B444D-22C6-49C8-9EEC-45863860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B798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B798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B798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ECE/TRANS/WP.15/AC.1/2019/24</vt:lpstr>
      <vt:lpstr>ECE/TRANS/WP.15/AC.1/2019/24</vt:lpstr>
      <vt:lpstr>A/</vt:lpstr>
    </vt:vector>
  </TitlesOfParts>
  <Company>DCM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ECE/TRANS/WP.15/AC.1/2019/24</dc:title>
  <dc:subject/>
  <dc:creator>Uliana ANTIPOVA</dc:creator>
  <cp:keywords/>
  <cp:lastModifiedBy>Christine Barrio-Champeau</cp:lastModifiedBy>
  <cp:revision>2</cp:revision>
  <cp:lastPrinted>2019-07-02T11:10:00Z</cp:lastPrinted>
  <dcterms:created xsi:type="dcterms:W3CDTF">2019-07-23T09:53:00Z</dcterms:created>
  <dcterms:modified xsi:type="dcterms:W3CDTF">2019-07-23T09:53:00Z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