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8449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8449A" w:rsidP="00C8449A">
            <w:pPr>
              <w:jc w:val="right"/>
            </w:pPr>
            <w:r w:rsidRPr="00C8449A">
              <w:rPr>
                <w:sz w:val="40"/>
              </w:rPr>
              <w:t>ECE</w:t>
            </w:r>
            <w:r>
              <w:t>/TRANS/WP.15/AC.1/2019/11</w:t>
            </w:r>
          </w:p>
        </w:tc>
      </w:tr>
      <w:tr w:rsidR="002D5AAC" w:rsidRPr="00C8449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8449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8449A" w:rsidRDefault="00C8449A" w:rsidP="00C844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2018</w:t>
            </w:r>
          </w:p>
          <w:p w:rsidR="00C8449A" w:rsidRDefault="00C8449A" w:rsidP="00C844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8449A" w:rsidRPr="008D53B6" w:rsidRDefault="00C8449A" w:rsidP="00C844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C8449A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8449A" w:rsidRPr="00C8449A" w:rsidRDefault="00C8449A" w:rsidP="00C8449A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C8449A">
        <w:rPr>
          <w:sz w:val="28"/>
          <w:szCs w:val="28"/>
        </w:rPr>
        <w:t>Комитет по внутреннему транспорту</w:t>
      </w:r>
    </w:p>
    <w:p w:rsidR="00C8449A" w:rsidRPr="00C8449A" w:rsidRDefault="00C8449A" w:rsidP="00C8449A">
      <w:pPr>
        <w:pStyle w:val="SingleTxtGR"/>
        <w:ind w:left="0"/>
        <w:jc w:val="left"/>
        <w:rPr>
          <w:b/>
          <w:sz w:val="24"/>
          <w:szCs w:val="24"/>
        </w:rPr>
      </w:pPr>
      <w:r w:rsidRPr="00C8449A">
        <w:rPr>
          <w:b/>
          <w:bCs/>
          <w:sz w:val="24"/>
          <w:szCs w:val="24"/>
        </w:rPr>
        <w:t>Рабочая группа по перевозкам опасных грузов</w:t>
      </w:r>
    </w:p>
    <w:p w:rsidR="00C8449A" w:rsidRPr="00C8449A" w:rsidRDefault="00C8449A" w:rsidP="00C8449A">
      <w:pPr>
        <w:pStyle w:val="SingleTxtGR"/>
        <w:spacing w:after="0"/>
        <w:ind w:left="0"/>
        <w:jc w:val="left"/>
        <w:rPr>
          <w:b/>
        </w:rPr>
      </w:pPr>
      <w:r w:rsidRPr="00C8449A"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</w:r>
      <w:r w:rsidRPr="00C8449A">
        <w:rPr>
          <w:b/>
          <w:bCs/>
        </w:rPr>
        <w:t>и Рабочей группы по перевозкам опасных грузов</w:t>
      </w:r>
    </w:p>
    <w:p w:rsidR="00C8449A" w:rsidRPr="00C8449A" w:rsidRDefault="00C8449A" w:rsidP="00C8449A">
      <w:pPr>
        <w:pStyle w:val="SingleTxtGR"/>
        <w:spacing w:after="0"/>
        <w:ind w:left="0"/>
        <w:jc w:val="left"/>
      </w:pPr>
      <w:r w:rsidRPr="00C8449A">
        <w:t>Берн, 18–22 марта 2019 года</w:t>
      </w:r>
    </w:p>
    <w:p w:rsidR="00C8449A" w:rsidRPr="00C8449A" w:rsidRDefault="00C8449A" w:rsidP="00C8449A">
      <w:pPr>
        <w:pStyle w:val="SingleTxtGR"/>
        <w:spacing w:after="0"/>
        <w:ind w:left="0"/>
        <w:jc w:val="left"/>
      </w:pPr>
      <w:r w:rsidRPr="00C8449A">
        <w:t>Пункт 5 b) предварительной повестки дня</w:t>
      </w:r>
    </w:p>
    <w:p w:rsidR="00C8449A" w:rsidRPr="00C8449A" w:rsidRDefault="00C8449A" w:rsidP="00C8449A">
      <w:pPr>
        <w:pStyle w:val="SingleTxtGR"/>
        <w:spacing w:after="0"/>
        <w:ind w:left="0"/>
        <w:jc w:val="left"/>
      </w:pPr>
      <w:r w:rsidRPr="00C8449A">
        <w:rPr>
          <w:b/>
          <w:bCs/>
        </w:rPr>
        <w:t xml:space="preserve">Предложения о внесении поправок в МПОГ/ДОПОГ/ВОПОГ: </w:t>
      </w:r>
      <w:r>
        <w:rPr>
          <w:b/>
          <w:bCs/>
        </w:rPr>
        <w:br/>
      </w:r>
      <w:r w:rsidRPr="00C8449A">
        <w:rPr>
          <w:b/>
          <w:bCs/>
        </w:rPr>
        <w:t>новые предложения</w:t>
      </w:r>
    </w:p>
    <w:p w:rsidR="00C8449A" w:rsidRPr="00C8449A" w:rsidRDefault="00C8449A" w:rsidP="00C8449A">
      <w:pPr>
        <w:pStyle w:val="HChGR"/>
      </w:pPr>
      <w:r w:rsidRPr="00C8449A">
        <w:tab/>
      </w:r>
      <w:r w:rsidRPr="00C8449A">
        <w:tab/>
        <w:t>Сфера применения специального положения 667</w:t>
      </w:r>
    </w:p>
    <w:p w:rsidR="00C8449A" w:rsidRPr="00C8449A" w:rsidRDefault="00C8449A" w:rsidP="00C8449A">
      <w:pPr>
        <w:pStyle w:val="H1GR"/>
      </w:pPr>
      <w:r w:rsidRPr="00C8449A">
        <w:tab/>
      </w:r>
      <w:r w:rsidRPr="00C8449A">
        <w:tab/>
        <w:t>Передано правительством Швейцарии</w:t>
      </w:r>
      <w:r w:rsidRPr="00C8449A">
        <w:rPr>
          <w:b w:val="0"/>
          <w:sz w:val="20"/>
        </w:rPr>
        <w:footnoteReference w:customMarkFollows="1" w:id="1"/>
        <w:t xml:space="preserve">* </w:t>
      </w:r>
      <w:r w:rsidRPr="00C8449A">
        <w:rPr>
          <w:b w:val="0"/>
          <w:sz w:val="20"/>
        </w:rPr>
        <w:footnoteReference w:customMarkFollows="1" w:id="2"/>
        <w:t xml:space="preserve">** </w:t>
      </w:r>
    </w:p>
    <w:p w:rsidR="00C8449A" w:rsidRPr="00C8449A" w:rsidRDefault="00C8449A" w:rsidP="00C8449A">
      <w:pPr>
        <w:pStyle w:val="HChGR"/>
      </w:pPr>
      <w:r w:rsidRPr="00C8449A">
        <w:tab/>
      </w:r>
      <w:r w:rsidRPr="00C8449A">
        <w:tab/>
      </w:r>
      <w:r w:rsidRPr="00C8449A">
        <w:tab/>
        <w:t>Введение</w:t>
      </w:r>
    </w:p>
    <w:p w:rsidR="00C8449A" w:rsidRPr="00C8449A" w:rsidRDefault="00C8449A" w:rsidP="00C8449A">
      <w:pPr>
        <w:pStyle w:val="SingleTxtGR"/>
      </w:pPr>
      <w:r w:rsidRPr="00C8449A">
        <w:t>1.</w:t>
      </w:r>
      <w:r w:rsidRPr="00C8449A">
        <w:tab/>
        <w:t>Мы обнаружили несоответствие в текстах МПОГ/ДОПОГ/ВОПОГ 2019 года. Пункты b) и с) специального положения (СП) 667 предусматривают следующее:</w:t>
      </w:r>
    </w:p>
    <w:p w:rsidR="00C8449A" w:rsidRPr="00C8449A" w:rsidRDefault="00C8449A" w:rsidP="00C8449A">
      <w:pPr>
        <w:pStyle w:val="SingleTxtGR"/>
      </w:pPr>
      <w:r w:rsidRPr="00C8449A">
        <w:tab/>
        <w:t>«b)</w:t>
      </w:r>
      <w:r w:rsidRPr="00C8449A">
        <w:tab/>
        <w:t>положения пункта 2.2.9.1.7 не применяются к литиевым элементам или батареям в поврежденных или имеющих дефекты транспортных средствах, двигателях, машинах или изделиях. В таких случаях должны выполняться следующие условия:</w:t>
      </w:r>
    </w:p>
    <w:p w:rsidR="00C8449A" w:rsidRPr="00C8449A" w:rsidRDefault="00C8449A" w:rsidP="00C8449A">
      <w:pPr>
        <w:pStyle w:val="SingleTxtGR"/>
        <w:ind w:left="2268" w:hanging="1134"/>
      </w:pPr>
      <w:r>
        <w:tab/>
      </w:r>
      <w:r w:rsidRPr="00C8449A">
        <w:t>i)</w:t>
      </w:r>
      <w:r w:rsidRPr="00C8449A">
        <w:tab/>
        <w:t xml:space="preserve">если повреждение или дефект не оказывает значительного влияния на безопасность элемента или батареи, поврежденные или имеющие дефекты транспортные средства, двигатели, машины или изделия </w:t>
      </w:r>
      <w:r w:rsidR="00C94C45">
        <w:br/>
      </w:r>
      <w:r w:rsidRPr="00C8449A">
        <w:t>могут перевозиться при условиях, опреде</w:t>
      </w:r>
      <w:r w:rsidR="00C94C45">
        <w:t>ленных в специальных положениях </w:t>
      </w:r>
      <w:r w:rsidRPr="00C8449A">
        <w:t xml:space="preserve">363 или 666, в зависимости от случая; </w:t>
      </w:r>
    </w:p>
    <w:p w:rsidR="00C8449A" w:rsidRPr="00C8449A" w:rsidRDefault="00C8449A" w:rsidP="00C8449A">
      <w:pPr>
        <w:pStyle w:val="SingleTxtGR"/>
        <w:ind w:left="2268" w:hanging="1134"/>
      </w:pPr>
      <w:r>
        <w:tab/>
      </w:r>
      <w:r w:rsidRPr="00C8449A">
        <w:t>ii)</w:t>
      </w:r>
      <w:r w:rsidRPr="00C8449A">
        <w:tab/>
        <w:t xml:space="preserve">если повреждение или дефект оказывает значительное влияние на безопасность элемента или батареи, литиевый элемент или литиевая батарея должны быть изъяты и перевозиться в соответствии со специальным положением 376. </w:t>
      </w:r>
    </w:p>
    <w:p w:rsidR="00C8449A" w:rsidRPr="00C8449A" w:rsidRDefault="00C8449A" w:rsidP="00C8449A">
      <w:pPr>
        <w:pStyle w:val="SingleTxtGR"/>
        <w:ind w:left="1701"/>
      </w:pPr>
      <w:r w:rsidRPr="00C8449A">
        <w:t xml:space="preserve">Однако в том случае, если невозможно изъять элемент или батарею безопасным образом или невозможно проверить состояние элемента или батареи, </w:t>
      </w:r>
      <w:r w:rsidRPr="00C8449A">
        <w:lastRenderedPageBreak/>
        <w:t>транспортное средство, двигатель, машину или изделие можно буксировать или перевозить так, как указано в подпункте i);</w:t>
      </w:r>
    </w:p>
    <w:p w:rsidR="00C8449A" w:rsidRPr="00C8449A" w:rsidRDefault="00C8449A" w:rsidP="00C8449A">
      <w:pPr>
        <w:pStyle w:val="SingleTxtGR"/>
      </w:pPr>
      <w:r w:rsidRPr="00C8449A">
        <w:tab/>
        <w:t>c)</w:t>
      </w:r>
      <w:r w:rsidRPr="00C8449A">
        <w:tab/>
        <w:t xml:space="preserve">процедуры, описанные в пункте b), также применяются в отношении поврежденных литиевых элементов или батарей в транспортных средствах, двигателях, машинах или изделиях.». </w:t>
      </w:r>
    </w:p>
    <w:p w:rsidR="00C8449A" w:rsidRPr="00C8449A" w:rsidRDefault="00C8449A" w:rsidP="00C8449A">
      <w:pPr>
        <w:pStyle w:val="SingleTxtGR"/>
      </w:pPr>
      <w:r w:rsidRPr="00C8449A">
        <w:t>2.</w:t>
      </w:r>
      <w:r w:rsidRPr="00C8449A">
        <w:tab/>
        <w:t xml:space="preserve">В МПОГ/ДОПОГ/ВОПОГ 2019 года СП 667 было назначено позициям под </w:t>
      </w:r>
      <w:r>
        <w:br/>
      </w:r>
      <w:r w:rsidRPr="00C8449A">
        <w:t xml:space="preserve">№ ООН 3537–3548, помимо позиций под № ООН 3166, 3171, 3528, 3529 и 3530. В силу этого текст пунктов b) и с) распространяется также на изделия под указанными номерами, что не являлось целью данного текста, когда он разрабатывался. </w:t>
      </w:r>
    </w:p>
    <w:p w:rsidR="00C8449A" w:rsidRPr="00C8449A" w:rsidRDefault="00C8449A" w:rsidP="00C8449A">
      <w:pPr>
        <w:pStyle w:val="SingleTxtGR"/>
      </w:pPr>
      <w:r w:rsidRPr="00C8449A">
        <w:t>3.</w:t>
      </w:r>
      <w:r w:rsidRPr="00C8449A">
        <w:tab/>
        <w:t>В связи с этим изделия под № ООН 3537–</w:t>
      </w:r>
      <w:r w:rsidR="00C94C45" w:rsidRPr="00C94C45">
        <w:t>3</w:t>
      </w:r>
      <w:r w:rsidRPr="00C8449A">
        <w:t xml:space="preserve">548, в которых установленные батареи не слишком сильно повреждены, должны будут перевозиться в соответствии со специальными положениями 363 и 666, которые никогда не предназначались </w:t>
      </w:r>
      <w:r w:rsidR="00C94C45">
        <w:br/>
      </w:r>
      <w:r w:rsidRPr="00C8449A">
        <w:t xml:space="preserve">для применения в отношении таких изделий. Мы предлагаем устранить </w:t>
      </w:r>
      <w:r w:rsidR="00C94C45">
        <w:br/>
      </w:r>
      <w:r w:rsidRPr="00C8449A">
        <w:t>это несоответствие, отделив машины, к которым пр</w:t>
      </w:r>
      <w:r w:rsidR="00C94C45">
        <w:t>именяются специальные положения </w:t>
      </w:r>
      <w:r w:rsidRPr="00C8449A">
        <w:t>363 и 666, от изделий под № ООН 3537–3548.</w:t>
      </w:r>
    </w:p>
    <w:p w:rsidR="00C8449A" w:rsidRPr="00C8449A" w:rsidRDefault="00C8449A" w:rsidP="00C8449A">
      <w:pPr>
        <w:pStyle w:val="SingleTxtGR"/>
      </w:pPr>
      <w:r w:rsidRPr="00C8449A">
        <w:t xml:space="preserve">4. </w:t>
      </w:r>
      <w:r w:rsidRPr="00C8449A">
        <w:tab/>
        <w:t>Кроме того, пункт с) не нужен, поскольку «изделия» уже указаны в пункте b).</w:t>
      </w:r>
    </w:p>
    <w:p w:rsidR="00C8449A" w:rsidRPr="00C8449A" w:rsidRDefault="00C8449A" w:rsidP="00C8449A">
      <w:pPr>
        <w:pStyle w:val="HChGR"/>
      </w:pPr>
      <w:r w:rsidRPr="00C8449A">
        <w:tab/>
      </w:r>
      <w:r w:rsidRPr="00C8449A">
        <w:tab/>
        <w:t>Предложение</w:t>
      </w:r>
    </w:p>
    <w:p w:rsidR="00C8449A" w:rsidRPr="00C8449A" w:rsidRDefault="00C8449A" w:rsidP="00C8449A">
      <w:pPr>
        <w:pStyle w:val="SingleTxtGR"/>
      </w:pPr>
      <w:r w:rsidRPr="00C8449A">
        <w:t xml:space="preserve">5. </w:t>
      </w:r>
      <w:r w:rsidRPr="00C8449A">
        <w:tab/>
        <w:t>В СП 667 исключить пункт c) и изменить подпункт b) i) следующим образом:</w:t>
      </w:r>
    </w:p>
    <w:p w:rsidR="00C8449A" w:rsidRPr="00C8449A" w:rsidRDefault="00C8449A" w:rsidP="00C8449A">
      <w:pPr>
        <w:pStyle w:val="SingleTxtGR"/>
      </w:pPr>
      <w:r>
        <w:tab/>
      </w:r>
      <w:r w:rsidRPr="00C8449A">
        <w:t>«b)</w:t>
      </w:r>
      <w:r w:rsidRPr="00C8449A">
        <w:tab/>
        <w:t>положения пункта 2.2.9.1.7 не применяются к литиевым элементам или батареям, установленным в поврежденных или имеющих дефекты транспортных средствах, двигателях, машинах или изделиях. В таких случаях должны выполняться следующие условия:</w:t>
      </w:r>
    </w:p>
    <w:p w:rsidR="00C8449A" w:rsidRPr="00C8449A" w:rsidRDefault="00C8449A" w:rsidP="00C8449A">
      <w:pPr>
        <w:pStyle w:val="SingleTxtGR"/>
        <w:ind w:left="2268" w:hanging="1134"/>
      </w:pPr>
      <w:r>
        <w:tab/>
      </w:r>
      <w:r w:rsidRPr="00C8449A">
        <w:t>i)</w:t>
      </w:r>
      <w:r w:rsidRPr="00C8449A">
        <w:tab/>
        <w:t xml:space="preserve">если повреждение или дефект не оказывает значительного влияния на безопасность элемента или батареи, поврежденные или имеющие дефекты транспортные средства </w:t>
      </w:r>
      <w:r w:rsidRPr="00C8449A">
        <w:rPr>
          <w:b/>
          <w:bCs/>
          <w:u w:val="single"/>
        </w:rPr>
        <w:t>под № ООН 3166 и 3171</w:t>
      </w:r>
      <w:r w:rsidRPr="00C8449A">
        <w:t>, двигатели</w:t>
      </w:r>
      <w:r w:rsidRPr="00C8449A">
        <w:rPr>
          <w:strike/>
        </w:rPr>
        <w:t>,</w:t>
      </w:r>
      <w:r w:rsidRPr="00C8449A">
        <w:t xml:space="preserve"> </w:t>
      </w:r>
      <w:r w:rsidRPr="00C8449A">
        <w:rPr>
          <w:b/>
          <w:bCs/>
          <w:u w:val="single"/>
        </w:rPr>
        <w:t>и</w:t>
      </w:r>
      <w:r>
        <w:rPr>
          <w:b/>
          <w:bCs/>
          <w:u w:val="single"/>
          <w:lang w:val="en-US"/>
        </w:rPr>
        <w:t> </w:t>
      </w:r>
      <w:r w:rsidRPr="00C8449A">
        <w:t xml:space="preserve">машины </w:t>
      </w:r>
      <w:r w:rsidRPr="00C8449A">
        <w:rPr>
          <w:b/>
          <w:bCs/>
          <w:u w:val="single"/>
        </w:rPr>
        <w:t>под № ООН 3528, 3529 и 3530</w:t>
      </w:r>
      <w:r w:rsidRPr="00C8449A">
        <w:t xml:space="preserve"> </w:t>
      </w:r>
      <w:r w:rsidRPr="00C8449A">
        <w:rPr>
          <w:strike/>
        </w:rPr>
        <w:t>или изделия</w:t>
      </w:r>
      <w:r w:rsidRPr="00C8449A">
        <w:t xml:space="preserve"> </w:t>
      </w:r>
      <w:r w:rsidR="005F5566">
        <w:br/>
      </w:r>
      <w:r w:rsidRPr="00C8449A">
        <w:t>могут перевозиться при условиях, определенных в специальных положениях</w:t>
      </w:r>
      <w:r w:rsidR="005F5566">
        <w:rPr>
          <w:lang w:val="en-US"/>
        </w:rPr>
        <w:t> </w:t>
      </w:r>
      <w:r w:rsidRPr="00C8449A">
        <w:t xml:space="preserve">363 или 666, в зависимости от случая. </w:t>
      </w:r>
      <w:r w:rsidRPr="00C8449A">
        <w:rPr>
          <w:b/>
          <w:bCs/>
          <w:u w:val="single"/>
        </w:rPr>
        <w:t>Поврежденные или имеющие дефекты изделия под № ООН 3537–3548 могут перевозиться в соответствии с положениями</w:t>
      </w:r>
      <w:r w:rsidRPr="00C8449A">
        <w:rPr>
          <w:u w:val="single"/>
        </w:rPr>
        <w:t xml:space="preserve"> </w:t>
      </w:r>
      <w:r w:rsidRPr="00C8449A">
        <w:rPr>
          <w:b/>
          <w:bCs/>
          <w:u w:val="single"/>
        </w:rPr>
        <w:t>соответствующей позиции</w:t>
      </w:r>
      <w:r w:rsidRPr="00C8449A">
        <w:t xml:space="preserve">;». </w:t>
      </w:r>
    </w:p>
    <w:p w:rsidR="00C8449A" w:rsidRPr="00C8449A" w:rsidRDefault="00C8449A" w:rsidP="00C8449A">
      <w:pPr>
        <w:pStyle w:val="SingleTxtGR"/>
      </w:pPr>
      <w:r w:rsidRPr="00C8449A">
        <w:t>6.</w:t>
      </w:r>
      <w:r w:rsidRPr="00C8449A">
        <w:tab/>
        <w:t>Сопутствующая поправка:</w:t>
      </w:r>
    </w:p>
    <w:p w:rsidR="00C8449A" w:rsidRPr="00C8449A" w:rsidRDefault="00C8449A" w:rsidP="00C8449A">
      <w:pPr>
        <w:pStyle w:val="SingleTxtGR"/>
      </w:pPr>
      <w:r w:rsidRPr="00C8449A">
        <w:t>В последнем абзаце специального положения 388 заменить ссылку на пункт с) ссылкой на пункт b):</w:t>
      </w:r>
    </w:p>
    <w:p w:rsidR="00C8449A" w:rsidRDefault="00C8449A" w:rsidP="00C8449A">
      <w:pPr>
        <w:pStyle w:val="SingleTxtGR"/>
      </w:pPr>
      <w:r w:rsidRPr="00C8449A">
        <w:t xml:space="preserve">«В том случае, если литиевая батарея или литиевый элемент, установленные в транспортном средстве или оборудовании, повреждены или имеют дефекты, данное транспортное средство или оборудование должны перевозиться на условиях, определенных в специальном положении 667 </w:t>
      </w:r>
      <w:r w:rsidRPr="00C8449A">
        <w:rPr>
          <w:b/>
          <w:bCs/>
          <w:strike/>
        </w:rPr>
        <w:t>с)</w:t>
      </w:r>
      <w:r w:rsidRPr="00C8449A">
        <w:rPr>
          <w:b/>
          <w:bCs/>
        </w:rPr>
        <w:t xml:space="preserve"> </w:t>
      </w:r>
      <w:r w:rsidRPr="00C8449A">
        <w:rPr>
          <w:b/>
          <w:bCs/>
          <w:u w:val="single"/>
        </w:rPr>
        <w:t>b)</w:t>
      </w:r>
      <w:r w:rsidRPr="00C8449A">
        <w:t>.».</w:t>
      </w:r>
    </w:p>
    <w:p w:rsidR="00E12C5F" w:rsidRPr="008D53B6" w:rsidRDefault="00C8449A" w:rsidP="00C8449A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C84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E08" w:rsidRPr="00A312BC" w:rsidRDefault="00CC2E08" w:rsidP="00A312BC"/>
  </w:endnote>
  <w:endnote w:type="continuationSeparator" w:id="0">
    <w:p w:rsidR="00CC2E08" w:rsidRPr="00A312BC" w:rsidRDefault="00CC2E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9A" w:rsidRPr="00C8449A" w:rsidRDefault="00C8449A">
    <w:pPr>
      <w:pStyle w:val="Footer"/>
    </w:pPr>
    <w:r w:rsidRPr="00C8449A">
      <w:rPr>
        <w:b/>
        <w:sz w:val="18"/>
      </w:rPr>
      <w:fldChar w:fldCharType="begin"/>
    </w:r>
    <w:r w:rsidRPr="00C8449A">
      <w:rPr>
        <w:b/>
        <w:sz w:val="18"/>
      </w:rPr>
      <w:instrText xml:space="preserve"> PAGE  \* MERGEFORMAT </w:instrText>
    </w:r>
    <w:r w:rsidRPr="00C8449A">
      <w:rPr>
        <w:b/>
        <w:sz w:val="18"/>
      </w:rPr>
      <w:fldChar w:fldCharType="separate"/>
    </w:r>
    <w:r w:rsidR="006A201B">
      <w:rPr>
        <w:b/>
        <w:noProof/>
        <w:sz w:val="18"/>
      </w:rPr>
      <w:t>2</w:t>
    </w:r>
    <w:r w:rsidRPr="00C8449A">
      <w:rPr>
        <w:b/>
        <w:sz w:val="18"/>
      </w:rPr>
      <w:fldChar w:fldCharType="end"/>
    </w:r>
    <w:r>
      <w:rPr>
        <w:b/>
        <w:sz w:val="18"/>
      </w:rPr>
      <w:tab/>
    </w:r>
    <w:r>
      <w:t>GE.18-22766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9A" w:rsidRPr="00C8449A" w:rsidRDefault="00C8449A" w:rsidP="00C8449A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GE.18-22766</w:t>
    </w:r>
    <w:r>
      <w:tab/>
    </w:r>
    <w:r w:rsidRPr="00C8449A">
      <w:rPr>
        <w:b/>
        <w:sz w:val="18"/>
      </w:rPr>
      <w:fldChar w:fldCharType="begin"/>
    </w:r>
    <w:r w:rsidRPr="00C8449A">
      <w:rPr>
        <w:b/>
        <w:sz w:val="18"/>
      </w:rPr>
      <w:instrText xml:space="preserve"> PAGE  \* MERGEFORMAT </w:instrText>
    </w:r>
    <w:r w:rsidRPr="00C8449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844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8449A" w:rsidRDefault="00C8449A" w:rsidP="00C8449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18-22766  (R)</w:t>
    </w:r>
    <w:r>
      <w:rPr>
        <w:lang w:val="en-US"/>
      </w:rPr>
      <w:t xml:space="preserve">  020119  030119</w:t>
    </w:r>
    <w:r>
      <w:br/>
    </w:r>
    <w:r w:rsidRPr="00C8449A">
      <w:rPr>
        <w:rFonts w:ascii="C39T30Lfz" w:hAnsi="C39T30Lfz"/>
        <w:kern w:val="14"/>
        <w:sz w:val="56"/>
      </w:rPr>
      <w:t></w:t>
    </w:r>
    <w:r w:rsidRPr="00C8449A">
      <w:rPr>
        <w:rFonts w:ascii="C39T30Lfz" w:hAnsi="C39T30Lfz"/>
        <w:kern w:val="14"/>
        <w:sz w:val="56"/>
      </w:rPr>
      <w:t></w:t>
    </w:r>
    <w:r w:rsidRPr="00C8449A">
      <w:rPr>
        <w:rFonts w:ascii="C39T30Lfz" w:hAnsi="C39T30Lfz"/>
        <w:kern w:val="14"/>
        <w:sz w:val="56"/>
      </w:rPr>
      <w:t></w:t>
    </w:r>
    <w:r w:rsidRPr="00C8449A">
      <w:rPr>
        <w:rFonts w:ascii="C39T30Lfz" w:hAnsi="C39T30Lfz"/>
        <w:kern w:val="14"/>
        <w:sz w:val="56"/>
      </w:rPr>
      <w:t></w:t>
    </w:r>
    <w:r w:rsidRPr="00C8449A">
      <w:rPr>
        <w:rFonts w:ascii="C39T30Lfz" w:hAnsi="C39T30Lfz"/>
        <w:kern w:val="14"/>
        <w:sz w:val="56"/>
      </w:rPr>
      <w:t></w:t>
    </w:r>
    <w:r w:rsidRPr="00C8449A">
      <w:rPr>
        <w:rFonts w:ascii="C39T30Lfz" w:hAnsi="C39T30Lfz"/>
        <w:kern w:val="14"/>
        <w:sz w:val="56"/>
      </w:rPr>
      <w:t></w:t>
    </w:r>
    <w:r w:rsidRPr="00C8449A">
      <w:rPr>
        <w:rFonts w:ascii="C39T30Lfz" w:hAnsi="C39T30Lfz"/>
        <w:kern w:val="14"/>
        <w:sz w:val="56"/>
      </w:rPr>
      <w:t></w:t>
    </w:r>
    <w:r w:rsidRPr="00C8449A">
      <w:rPr>
        <w:rFonts w:ascii="C39T30Lfz" w:hAnsi="C39T30Lfz"/>
        <w:kern w:val="14"/>
        <w:sz w:val="56"/>
      </w:rPr>
      <w:t></w:t>
    </w:r>
    <w:r w:rsidRPr="00C8449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E08" w:rsidRPr="001075E9" w:rsidRDefault="00CC2E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2E08" w:rsidRDefault="00CC2E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8449A" w:rsidRPr="00D307B9" w:rsidRDefault="00C8449A" w:rsidP="00C8449A">
      <w:pPr>
        <w:pStyle w:val="FootnoteText"/>
      </w:pPr>
      <w:r>
        <w:tab/>
      </w:r>
      <w:r w:rsidRPr="00C8449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(ECE/TRANS/WP.15/237, приложение V</w:t>
      </w:r>
      <w:r w:rsidR="009B3D64">
        <w:t>,</w:t>
      </w:r>
      <w:r>
        <w:t xml:space="preserve"> (9.2)).</w:t>
      </w:r>
    </w:p>
  </w:footnote>
  <w:footnote w:id="2">
    <w:p w:rsidR="00C8449A" w:rsidRPr="00D307B9" w:rsidRDefault="00C8449A" w:rsidP="00C8449A">
      <w:pPr>
        <w:pStyle w:val="FootnoteText"/>
      </w:pPr>
      <w:r>
        <w:tab/>
      </w:r>
      <w:r w:rsidRPr="00C8449A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9A" w:rsidRPr="00C8449A" w:rsidRDefault="0045744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A201B">
      <w:t>ECE/TRANS/WP.15/AC.1/2019/11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9A" w:rsidRPr="00C8449A" w:rsidRDefault="00457447" w:rsidP="00C844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A201B">
      <w:t>ECE/TRANS/WP.15/AC.1/2019/11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9A" w:rsidRDefault="00C8449A" w:rsidP="00C8449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08"/>
    <w:rsid w:val="00033EE1"/>
    <w:rsid w:val="00042B72"/>
    <w:rsid w:val="000558BD"/>
    <w:rsid w:val="000A5AB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1EA5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5744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5566"/>
    <w:rsid w:val="00617A43"/>
    <w:rsid w:val="006345DB"/>
    <w:rsid w:val="00640F49"/>
    <w:rsid w:val="00680D03"/>
    <w:rsid w:val="00681A10"/>
    <w:rsid w:val="006A1ED8"/>
    <w:rsid w:val="006A201B"/>
    <w:rsid w:val="006C2031"/>
    <w:rsid w:val="006D433E"/>
    <w:rsid w:val="006D461A"/>
    <w:rsid w:val="006F35EE"/>
    <w:rsid w:val="007021FF"/>
    <w:rsid w:val="00712895"/>
    <w:rsid w:val="00734ACB"/>
    <w:rsid w:val="00757357"/>
    <w:rsid w:val="00792497"/>
    <w:rsid w:val="0080180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B3D64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8449A"/>
    <w:rsid w:val="00C92939"/>
    <w:rsid w:val="00C94C45"/>
    <w:rsid w:val="00CA1679"/>
    <w:rsid w:val="00CB151C"/>
    <w:rsid w:val="00CC2E08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4A82A4-DCE6-403D-ABAF-3D31F9F5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ECE/TRANS/WP.15/AC.1/2019/11</vt:lpstr>
      <vt:lpstr>ECE/TRANS/WP.15/AC.1/2019/11</vt:lpstr>
      <vt:lpstr>A/</vt:lpstr>
    </vt:vector>
  </TitlesOfParts>
  <Company>DCM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ECE/TRANS/WP.15/AC.1/2019/11</dc:title>
  <dc:subject/>
  <dc:creator>Olga OVTCHINNIKOVA</dc:creator>
  <cp:keywords/>
  <cp:lastModifiedBy>Christine Barrio-Champeau</cp:lastModifiedBy>
  <cp:revision>2</cp:revision>
  <cp:lastPrinted>2019-01-03T09:38:00Z</cp:lastPrinted>
  <dcterms:created xsi:type="dcterms:W3CDTF">2019-01-07T14:00:00Z</dcterms:created>
  <dcterms:modified xsi:type="dcterms:W3CDTF">2019-01-07T14:00:00Z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