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24C70" w:rsidRPr="001F310D">
        <w:trPr>
          <w:trHeight w:hRule="exact" w:val="851"/>
        </w:trPr>
        <w:tc>
          <w:tcPr>
            <w:tcW w:w="1276" w:type="dxa"/>
            <w:tcBorders>
              <w:bottom w:val="single" w:sz="4" w:space="0" w:color="auto"/>
            </w:tcBorders>
          </w:tcPr>
          <w:p w:rsidR="00B24C70" w:rsidRDefault="00B24C70"/>
        </w:tc>
        <w:tc>
          <w:tcPr>
            <w:tcW w:w="2268" w:type="dxa"/>
            <w:tcBorders>
              <w:bottom w:val="single" w:sz="4" w:space="0" w:color="auto"/>
            </w:tcBorders>
            <w:vAlign w:val="bottom"/>
          </w:tcPr>
          <w:p w:rsidR="00B24C70" w:rsidRDefault="001F310D">
            <w:pPr>
              <w:spacing w:after="80" w:line="300" w:lineRule="exact"/>
              <w:rPr>
                <w:sz w:val="28"/>
              </w:rPr>
            </w:pPr>
            <w:r>
              <w:rPr>
                <w:sz w:val="28"/>
              </w:rPr>
              <w:t>Nations Unies</w:t>
            </w:r>
          </w:p>
        </w:tc>
        <w:tc>
          <w:tcPr>
            <w:tcW w:w="6095" w:type="dxa"/>
            <w:gridSpan w:val="2"/>
            <w:tcBorders>
              <w:bottom w:val="single" w:sz="4" w:space="0" w:color="auto"/>
            </w:tcBorders>
            <w:vAlign w:val="bottom"/>
          </w:tcPr>
          <w:p w:rsidR="00B24C70" w:rsidRDefault="001F310D">
            <w:pPr>
              <w:jc w:val="right"/>
              <w:rPr>
                <w:lang w:val="en-US"/>
              </w:rPr>
            </w:pPr>
            <w:r>
              <w:rPr>
                <w:sz w:val="40"/>
                <w:lang w:val="en-US"/>
              </w:rPr>
              <w:t>ECE</w:t>
            </w:r>
            <w:r>
              <w:rPr>
                <w:lang w:val="en-US"/>
              </w:rPr>
              <w:t>/TRANS/WP.15/AC.1/2019/</w:t>
            </w:r>
            <w:r w:rsidR="005D3CB8">
              <w:rPr>
                <w:lang w:val="en-US"/>
              </w:rPr>
              <w:t>11</w:t>
            </w:r>
          </w:p>
        </w:tc>
      </w:tr>
      <w:tr w:rsidR="00B24C70">
        <w:trPr>
          <w:trHeight w:hRule="exact" w:val="2835"/>
        </w:trPr>
        <w:tc>
          <w:tcPr>
            <w:tcW w:w="1276" w:type="dxa"/>
            <w:tcBorders>
              <w:top w:val="single" w:sz="4" w:space="0" w:color="auto"/>
              <w:bottom w:val="single" w:sz="12" w:space="0" w:color="auto"/>
            </w:tcBorders>
          </w:tcPr>
          <w:p w:rsidR="00B24C70" w:rsidRDefault="001F310D">
            <w:pPr>
              <w:spacing w:before="120"/>
              <w:jc w:val="center"/>
            </w:pPr>
            <w:r>
              <w:rPr>
                <w:noProof/>
                <w:lang w:val="en-US"/>
              </w:rPr>
              <w:drawing>
                <wp:inline distT="0" distB="0" distL="0" distR="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24C70" w:rsidRDefault="001F310D">
            <w:pPr>
              <w:spacing w:before="120" w:line="420" w:lineRule="exact"/>
              <w:rPr>
                <w:b/>
                <w:sz w:val="40"/>
                <w:szCs w:val="40"/>
              </w:rPr>
            </w:pPr>
            <w:r>
              <w:rPr>
                <w:b/>
                <w:sz w:val="40"/>
                <w:szCs w:val="40"/>
              </w:rPr>
              <w:t>Conseil économique et social</w:t>
            </w:r>
          </w:p>
        </w:tc>
        <w:tc>
          <w:tcPr>
            <w:tcW w:w="2835" w:type="dxa"/>
            <w:tcBorders>
              <w:top w:val="single" w:sz="4" w:space="0" w:color="auto"/>
              <w:bottom w:val="single" w:sz="12" w:space="0" w:color="auto"/>
            </w:tcBorders>
          </w:tcPr>
          <w:p w:rsidR="00B24C70" w:rsidRDefault="001F310D">
            <w:pPr>
              <w:spacing w:before="240"/>
            </w:pPr>
            <w:proofErr w:type="spellStart"/>
            <w:r>
              <w:t>Distr</w:t>
            </w:r>
            <w:proofErr w:type="spellEnd"/>
            <w:r>
              <w:t>. générale</w:t>
            </w:r>
          </w:p>
          <w:p w:rsidR="00B24C70" w:rsidRDefault="000821A4">
            <w:pPr>
              <w:spacing w:line="240" w:lineRule="exact"/>
            </w:pPr>
            <w:r>
              <w:t>27</w:t>
            </w:r>
            <w:r w:rsidR="001F310D">
              <w:t xml:space="preserve"> décembre 2018</w:t>
            </w:r>
          </w:p>
          <w:p w:rsidR="00B24C70" w:rsidRDefault="00B24C70">
            <w:pPr>
              <w:spacing w:line="240" w:lineRule="exact"/>
            </w:pPr>
          </w:p>
          <w:p w:rsidR="00B24C70" w:rsidRDefault="001F310D">
            <w:pPr>
              <w:spacing w:line="240" w:lineRule="exact"/>
            </w:pPr>
            <w:r>
              <w:t>Original :  français</w:t>
            </w:r>
          </w:p>
        </w:tc>
      </w:tr>
    </w:tbl>
    <w:p w:rsidR="00B24C70" w:rsidRDefault="001F310D">
      <w:pPr>
        <w:spacing w:before="120"/>
        <w:rPr>
          <w:b/>
          <w:sz w:val="28"/>
          <w:szCs w:val="28"/>
        </w:rPr>
      </w:pPr>
      <w:r>
        <w:rPr>
          <w:b/>
          <w:sz w:val="28"/>
          <w:szCs w:val="28"/>
        </w:rPr>
        <w:t>Commission économique pour l’Europe</w:t>
      </w:r>
    </w:p>
    <w:p w:rsidR="00B24C70" w:rsidRDefault="001F310D">
      <w:pPr>
        <w:spacing w:before="120"/>
        <w:rPr>
          <w:sz w:val="28"/>
          <w:szCs w:val="28"/>
        </w:rPr>
      </w:pPr>
      <w:r>
        <w:rPr>
          <w:sz w:val="28"/>
          <w:szCs w:val="28"/>
        </w:rPr>
        <w:t>Comité des transports intérieurs</w:t>
      </w:r>
    </w:p>
    <w:p w:rsidR="00B24C70" w:rsidRDefault="001F310D">
      <w:pPr>
        <w:spacing w:before="120"/>
        <w:rPr>
          <w:b/>
          <w:sz w:val="24"/>
          <w:szCs w:val="24"/>
        </w:rPr>
      </w:pPr>
      <w:r>
        <w:rPr>
          <w:b/>
          <w:sz w:val="24"/>
          <w:szCs w:val="24"/>
        </w:rPr>
        <w:t>Groupe de travail des transports de marchandises dangereuses</w:t>
      </w:r>
    </w:p>
    <w:p w:rsidR="00B24C70" w:rsidRDefault="001F310D">
      <w:pPr>
        <w:spacing w:before="120"/>
        <w:rPr>
          <w:b/>
        </w:rPr>
      </w:pPr>
      <w:r>
        <w:rPr>
          <w:b/>
        </w:rPr>
        <w:t>Réunion commune de la Commission d’experts du RID et</w:t>
      </w:r>
      <w:r>
        <w:rPr>
          <w:b/>
        </w:rPr>
        <w:br/>
        <w:t>du Groupe de travail des transports de marchandises dangereuses</w:t>
      </w:r>
    </w:p>
    <w:p w:rsidR="00B24C70" w:rsidRDefault="001F310D">
      <w:r>
        <w:t>Berne, 18-22 mars 2019</w:t>
      </w:r>
    </w:p>
    <w:p w:rsidR="00B24C70" w:rsidRDefault="001F310D">
      <w:r>
        <w:t>Point 5 b) de l’ordre du jour provisoire</w:t>
      </w:r>
    </w:p>
    <w:p w:rsidR="00B24C70" w:rsidRDefault="001F310D">
      <w:pPr>
        <w:rPr>
          <w:highlight w:val="yellow"/>
        </w:rPr>
      </w:pPr>
      <w:bookmarkStart w:id="0" w:name="bookmark_16"/>
      <w:r>
        <w:rPr>
          <w:b/>
        </w:rPr>
        <w:t xml:space="preserve">Propositions diverses d’amendements au RID/ADR/ADN : </w:t>
      </w:r>
      <w:r>
        <w:rPr>
          <w:b/>
        </w:rPr>
        <w:br/>
        <w:t>nouvelles propositions</w:t>
      </w:r>
      <w:bookmarkEnd w:id="0"/>
    </w:p>
    <w:p w:rsidR="00B24C70" w:rsidRDefault="00B24C70">
      <w:pPr>
        <w:rPr>
          <w:b/>
        </w:rPr>
      </w:pPr>
    </w:p>
    <w:p w:rsidR="00B24C70" w:rsidRDefault="001F310D">
      <w:pPr>
        <w:pStyle w:val="HChG"/>
      </w:pPr>
      <w:r>
        <w:rPr>
          <w:lang w:val="fr-FR"/>
        </w:rPr>
        <w:tab/>
      </w:r>
      <w:r>
        <w:rPr>
          <w:lang w:val="fr-FR"/>
        </w:rPr>
        <w:tab/>
        <w:t>Champ d’application de la disposition spéciale 667</w:t>
      </w:r>
    </w:p>
    <w:p w:rsidR="00B24C70" w:rsidRDefault="001F310D">
      <w:pPr>
        <w:pStyle w:val="HChG"/>
        <w:kinsoku/>
        <w:overflowPunct/>
        <w:autoSpaceDE/>
        <w:autoSpaceDN/>
        <w:adjustRightInd/>
        <w:snapToGrid/>
        <w:rPr>
          <w:sz w:val="24"/>
          <w:szCs w:val="24"/>
        </w:rPr>
      </w:pPr>
      <w:r>
        <w:rPr>
          <w:sz w:val="24"/>
          <w:lang w:val="fr-FR"/>
        </w:rPr>
        <w:tab/>
      </w:r>
      <w:r>
        <w:rPr>
          <w:sz w:val="24"/>
          <w:lang w:val="fr-FR"/>
        </w:rPr>
        <w:tab/>
        <w:t xml:space="preserve">Communication du Gouvernement </w:t>
      </w:r>
      <w:r w:rsidR="00D63F0C">
        <w:rPr>
          <w:sz w:val="24"/>
          <w:lang w:val="fr-FR"/>
        </w:rPr>
        <w:t>la S</w:t>
      </w:r>
      <w:r>
        <w:rPr>
          <w:sz w:val="24"/>
          <w:lang w:val="fr-FR"/>
        </w:rPr>
        <w:t>uisse</w:t>
      </w:r>
      <w:r w:rsidR="00A22B93" w:rsidRPr="008544D2">
        <w:rPr>
          <w:rStyle w:val="FootnoteReference"/>
          <w:sz w:val="20"/>
        </w:rPr>
        <w:footnoteReference w:customMarkFollows="1" w:id="2"/>
        <w:t>*</w:t>
      </w:r>
      <w:r w:rsidR="00A22B93" w:rsidRPr="00DF7ED3">
        <w:rPr>
          <w:rStyle w:val="FootnoteReference"/>
          <w:sz w:val="20"/>
        </w:rPr>
        <w:t>,</w:t>
      </w:r>
      <w:r w:rsidR="00A22B93">
        <w:rPr>
          <w:sz w:val="20"/>
        </w:rPr>
        <w:t xml:space="preserve"> </w:t>
      </w:r>
      <w:r w:rsidR="00A22B93" w:rsidRPr="00DF7ED3">
        <w:rPr>
          <w:rStyle w:val="FootnoteReference"/>
          <w:sz w:val="20"/>
        </w:rPr>
        <w:footnoteReference w:customMarkFollows="1" w:id="3"/>
        <w:t>**</w:t>
      </w:r>
    </w:p>
    <w:p w:rsidR="00B24C70" w:rsidRDefault="001F310D">
      <w:pPr>
        <w:pStyle w:val="HChG"/>
      </w:pPr>
      <w:r>
        <w:rPr>
          <w:lang w:val="fr-FR"/>
        </w:rPr>
        <w:tab/>
      </w:r>
      <w:r>
        <w:rPr>
          <w:lang w:val="fr-FR"/>
        </w:rPr>
        <w:tab/>
      </w:r>
      <w:r>
        <w:rPr>
          <w:lang w:val="fr-FR"/>
        </w:rPr>
        <w:tab/>
        <w:t>Introduction</w:t>
      </w:r>
    </w:p>
    <w:p w:rsidR="00B24C70" w:rsidRDefault="001F310D">
      <w:pPr>
        <w:pStyle w:val="SingleTxtG"/>
        <w:kinsoku/>
        <w:overflowPunct/>
        <w:autoSpaceDE/>
        <w:autoSpaceDN/>
        <w:adjustRightInd/>
        <w:snapToGrid/>
        <w:rPr>
          <w:rFonts w:eastAsia="Times New Roman"/>
        </w:rPr>
      </w:pPr>
      <w:r>
        <w:rPr>
          <w:lang w:val="fr-FR"/>
        </w:rPr>
        <w:t>1.</w:t>
      </w:r>
      <w:r>
        <w:rPr>
          <w:lang w:val="fr-FR"/>
        </w:rPr>
        <w:tab/>
      </w:r>
      <w:r>
        <w:rPr>
          <w:rFonts w:eastAsia="Times New Roman"/>
        </w:rPr>
        <w:t>Nous avons détecté une incohérence dans le RID/ADR/ADN 2019. Les alinéas b) et c) de la disposition spéciale (DS) 667 stipulent :</w:t>
      </w:r>
    </w:p>
    <w:p w:rsidR="00B24C70" w:rsidRDefault="005D3CB8">
      <w:pPr>
        <w:pStyle w:val="SingleTxtG"/>
        <w:kinsoku/>
        <w:overflowPunct/>
        <w:autoSpaceDE/>
        <w:autoSpaceDN/>
        <w:adjustRightInd/>
        <w:snapToGrid/>
        <w:rPr>
          <w:rFonts w:eastAsia="Times New Roman"/>
        </w:rPr>
      </w:pPr>
      <w:r>
        <w:rPr>
          <w:rFonts w:eastAsia="Times New Roman"/>
        </w:rPr>
        <w:tab/>
      </w:r>
      <w:r>
        <w:rPr>
          <w:rFonts w:eastAsia="Times New Roman"/>
        </w:rPr>
        <w:tab/>
      </w:r>
      <w:r w:rsidR="001F310D">
        <w:rPr>
          <w:rFonts w:eastAsia="Times New Roman"/>
        </w:rPr>
        <w:t>« </w:t>
      </w:r>
      <w:proofErr w:type="gramStart"/>
      <w:r w:rsidR="001F310D">
        <w:rPr>
          <w:rFonts w:eastAsia="Times New Roman"/>
        </w:rPr>
        <w:t>b</w:t>
      </w:r>
      <w:proofErr w:type="gramEnd"/>
      <w:r w:rsidR="001F310D">
        <w:rPr>
          <w:rFonts w:eastAsia="Times New Roman"/>
        </w:rPr>
        <w:t>)</w:t>
      </w:r>
      <w:r w:rsidR="001F310D">
        <w:rPr>
          <w:rFonts w:eastAsia="Times New Roman"/>
        </w:rPr>
        <w:tab/>
        <w:t>Les dispositions du 2.2.9.1.7 ne s’appliquent pas aux piles ou batteries au lithium installées dans des véhicules, moteurs, machines ou objets endommagés ou défectueux. Dans ce cas les conditions suivantes doivent être satisfaites:</w:t>
      </w:r>
    </w:p>
    <w:p w:rsidR="00B24C70" w:rsidRDefault="001F310D">
      <w:pPr>
        <w:pStyle w:val="SingleTxtG"/>
        <w:kinsoku/>
        <w:overflowPunct/>
        <w:autoSpaceDE/>
        <w:autoSpaceDN/>
        <w:adjustRightInd/>
        <w:snapToGrid/>
        <w:ind w:left="1701"/>
        <w:rPr>
          <w:rFonts w:eastAsia="Times New Roman"/>
        </w:rPr>
      </w:pPr>
      <w:r>
        <w:rPr>
          <w:rFonts w:eastAsia="Times New Roman"/>
        </w:rPr>
        <w:t>i)</w:t>
      </w:r>
      <w:r>
        <w:rPr>
          <w:rFonts w:eastAsia="Times New Roman"/>
        </w:rPr>
        <w:tab/>
        <w:t xml:space="preserve">Si le dommage ou défaut n'a pas d'impact significatif sur la sécurité de la pile </w:t>
      </w:r>
      <w:r w:rsidR="005D3CB8">
        <w:rPr>
          <w:rFonts w:eastAsia="Times New Roman"/>
        </w:rPr>
        <w:tab/>
      </w:r>
      <w:r w:rsidR="005D3CB8">
        <w:rPr>
          <w:rFonts w:eastAsia="Times New Roman"/>
        </w:rPr>
        <w:tab/>
      </w:r>
      <w:r w:rsidR="005D3CB8">
        <w:rPr>
          <w:rFonts w:eastAsia="Times New Roman"/>
        </w:rPr>
        <w:tab/>
      </w:r>
      <w:r>
        <w:rPr>
          <w:rFonts w:eastAsia="Times New Roman"/>
        </w:rPr>
        <w:t xml:space="preserve">ou batterie, les véhicules, moteurs, machines ou objets endommagés ou </w:t>
      </w:r>
      <w:r w:rsidR="005D3CB8">
        <w:rPr>
          <w:rFonts w:eastAsia="Times New Roman"/>
        </w:rPr>
        <w:tab/>
      </w:r>
      <w:r w:rsidR="005D3CB8">
        <w:rPr>
          <w:rFonts w:eastAsia="Times New Roman"/>
        </w:rPr>
        <w:tab/>
      </w:r>
      <w:r w:rsidR="005D3CB8">
        <w:rPr>
          <w:rFonts w:eastAsia="Times New Roman"/>
        </w:rPr>
        <w:tab/>
      </w:r>
      <w:r>
        <w:rPr>
          <w:rFonts w:eastAsia="Times New Roman"/>
        </w:rPr>
        <w:t xml:space="preserve">défectueux peuvent être transportés sous les conditions définies dans les </w:t>
      </w:r>
      <w:r w:rsidR="005D3CB8">
        <w:rPr>
          <w:rFonts w:eastAsia="Times New Roman"/>
        </w:rPr>
        <w:tab/>
      </w:r>
      <w:r w:rsidR="005D3CB8">
        <w:rPr>
          <w:rFonts w:eastAsia="Times New Roman"/>
        </w:rPr>
        <w:tab/>
      </w:r>
      <w:r w:rsidR="005D3CB8">
        <w:rPr>
          <w:rFonts w:eastAsia="Times New Roman"/>
        </w:rPr>
        <w:tab/>
      </w:r>
      <w:r>
        <w:rPr>
          <w:rFonts w:eastAsia="Times New Roman"/>
        </w:rPr>
        <w:t xml:space="preserve">dispositions spéciales 363 ou 666, comme </w:t>
      </w:r>
      <w:proofErr w:type="gramStart"/>
      <w:r>
        <w:rPr>
          <w:rFonts w:eastAsia="Times New Roman"/>
        </w:rPr>
        <w:t>approprié;</w:t>
      </w:r>
      <w:proofErr w:type="gramEnd"/>
    </w:p>
    <w:p w:rsidR="00B24C70" w:rsidRDefault="001F310D">
      <w:pPr>
        <w:pStyle w:val="SingleTxtG"/>
        <w:kinsoku/>
        <w:overflowPunct/>
        <w:autoSpaceDE/>
        <w:autoSpaceDN/>
        <w:adjustRightInd/>
        <w:snapToGrid/>
        <w:ind w:left="1701"/>
        <w:rPr>
          <w:rFonts w:eastAsia="Times New Roman"/>
        </w:rPr>
      </w:pPr>
      <w:r>
        <w:rPr>
          <w:rFonts w:eastAsia="Times New Roman"/>
        </w:rPr>
        <w:t>ii)</w:t>
      </w:r>
      <w:r>
        <w:rPr>
          <w:rFonts w:eastAsia="Times New Roman"/>
        </w:rPr>
        <w:tab/>
        <w:t xml:space="preserve">Si le dommage ou défaut sur le véhicule a un impact significatif sur la sécurité </w:t>
      </w:r>
      <w:r w:rsidR="005D3CB8">
        <w:rPr>
          <w:rFonts w:eastAsia="Times New Roman"/>
        </w:rPr>
        <w:tab/>
      </w:r>
      <w:r w:rsidR="005D3CB8">
        <w:rPr>
          <w:rFonts w:eastAsia="Times New Roman"/>
        </w:rPr>
        <w:tab/>
      </w:r>
      <w:r>
        <w:rPr>
          <w:rFonts w:eastAsia="Times New Roman"/>
        </w:rPr>
        <w:t xml:space="preserve">de la pile ou batterie, la pile ou batterie au lithium doit être enlevée et </w:t>
      </w:r>
      <w:r w:rsidR="005D3CB8">
        <w:rPr>
          <w:rFonts w:eastAsia="Times New Roman"/>
        </w:rPr>
        <w:tab/>
      </w:r>
      <w:r w:rsidR="005D3CB8">
        <w:rPr>
          <w:rFonts w:eastAsia="Times New Roman"/>
        </w:rPr>
        <w:tab/>
      </w:r>
      <w:r w:rsidR="005D3CB8">
        <w:rPr>
          <w:rFonts w:eastAsia="Times New Roman"/>
        </w:rPr>
        <w:tab/>
      </w:r>
      <w:r>
        <w:rPr>
          <w:rFonts w:eastAsia="Times New Roman"/>
        </w:rPr>
        <w:t>transportée conformément à la disposition spéciale 376.</w:t>
      </w:r>
    </w:p>
    <w:p w:rsidR="00B24C70" w:rsidRDefault="001F310D">
      <w:pPr>
        <w:pStyle w:val="SingleTxtG"/>
        <w:kinsoku/>
        <w:overflowPunct/>
        <w:autoSpaceDE/>
        <w:autoSpaceDN/>
        <w:adjustRightInd/>
        <w:snapToGrid/>
        <w:ind w:left="1701"/>
        <w:rPr>
          <w:rFonts w:eastAsia="Times New Roman"/>
        </w:rPr>
      </w:pPr>
      <w:r>
        <w:rPr>
          <w:rFonts w:eastAsia="Times New Roman"/>
        </w:rPr>
        <w:t>Cependant, s’il n’est pas possible d’enlever en toute sécurité la pile ou batterie ou s’il est impossible d’en vérifier l'état, le véhicule, le moteur, la machine ou l’objet peut être remorqué ou transporté comme indiqué en i).</w:t>
      </w:r>
    </w:p>
    <w:p w:rsidR="00B24C70" w:rsidRDefault="005D3CB8">
      <w:pPr>
        <w:pStyle w:val="SingleTxtG"/>
        <w:kinsoku/>
        <w:overflowPunct/>
        <w:autoSpaceDE/>
        <w:autoSpaceDN/>
        <w:adjustRightInd/>
        <w:snapToGrid/>
        <w:rPr>
          <w:rFonts w:eastAsia="Times New Roman"/>
        </w:rPr>
      </w:pPr>
      <w:r>
        <w:rPr>
          <w:rFonts w:eastAsia="Times New Roman"/>
        </w:rPr>
        <w:tab/>
      </w:r>
      <w:r>
        <w:rPr>
          <w:rFonts w:eastAsia="Times New Roman"/>
        </w:rPr>
        <w:tab/>
      </w:r>
      <w:r w:rsidR="001F310D">
        <w:rPr>
          <w:rFonts w:eastAsia="Times New Roman"/>
        </w:rPr>
        <w:t>c)</w:t>
      </w:r>
      <w:r w:rsidR="001F310D">
        <w:rPr>
          <w:rFonts w:eastAsia="Times New Roman"/>
        </w:rPr>
        <w:tab/>
        <w:t>Les procédures décrites à l’alinéa b) s’appliquent aussi aux piles ou batteries au lithium endommagées contenues dans les véhicules, moteurs, machines ou objets. ».</w:t>
      </w:r>
    </w:p>
    <w:p w:rsidR="00B24C70" w:rsidRDefault="001F310D">
      <w:pPr>
        <w:pStyle w:val="SingleTxtG"/>
        <w:kinsoku/>
        <w:overflowPunct/>
        <w:autoSpaceDE/>
        <w:autoSpaceDN/>
        <w:adjustRightInd/>
        <w:snapToGrid/>
        <w:rPr>
          <w:rFonts w:eastAsia="Times New Roman"/>
        </w:rPr>
      </w:pPr>
      <w:r>
        <w:rPr>
          <w:rFonts w:eastAsia="Times New Roman"/>
        </w:rPr>
        <w:lastRenderedPageBreak/>
        <w:t>2.</w:t>
      </w:r>
      <w:r>
        <w:rPr>
          <w:rFonts w:eastAsia="Times New Roman"/>
        </w:rPr>
        <w:tab/>
        <w:t xml:space="preserve">Dans le RID/ADR/ADN 2019, la DS 667 a été attribuée aux rubriques ONU 3537 à 3548 en plus des rubriques ONU 3166, 3171, 3528, 3529 et 3530. Le texte des alinéas b) et c) se réfère donc aussi aux objets de ces numéros, ce qui n’était pas le but de ce texte lorsqu’il avait été conçu. </w:t>
      </w:r>
    </w:p>
    <w:p w:rsidR="00B24C70" w:rsidRDefault="001F310D">
      <w:pPr>
        <w:pStyle w:val="SingleTxtG"/>
        <w:kinsoku/>
        <w:overflowPunct/>
        <w:autoSpaceDE/>
        <w:autoSpaceDN/>
        <w:adjustRightInd/>
        <w:snapToGrid/>
        <w:rPr>
          <w:rFonts w:eastAsia="Times New Roman"/>
        </w:rPr>
      </w:pPr>
      <w:r>
        <w:rPr>
          <w:rFonts w:eastAsia="Times New Roman"/>
        </w:rPr>
        <w:t>3.</w:t>
      </w:r>
      <w:r>
        <w:rPr>
          <w:rFonts w:eastAsia="Times New Roman"/>
        </w:rPr>
        <w:tab/>
        <w:t xml:space="preserve">Par conséquent, les objets </w:t>
      </w:r>
      <w:proofErr w:type="spellStart"/>
      <w:r>
        <w:rPr>
          <w:rFonts w:eastAsia="Times New Roman"/>
        </w:rPr>
        <w:t>des</w:t>
      </w:r>
      <w:proofErr w:type="spellEnd"/>
      <w:r>
        <w:rPr>
          <w:rFonts w:eastAsia="Times New Roman"/>
        </w:rPr>
        <w:t xml:space="preserve"> Nos ONU 3537 à 3548 dont les piles ne sont pas trop endommagées devront être transportés selon les dispositions spéciales 363 et 666, dispositions qui n’ont jamais été conçues pour ces objets. Nous proposons de remédier à cette incohérence en distinguant les machines soumises aux dispositions spéciales 363 et 666 des objets </w:t>
      </w:r>
      <w:proofErr w:type="spellStart"/>
      <w:r>
        <w:rPr>
          <w:rFonts w:eastAsia="Times New Roman"/>
        </w:rPr>
        <w:t>des</w:t>
      </w:r>
      <w:proofErr w:type="spellEnd"/>
      <w:r>
        <w:rPr>
          <w:rFonts w:eastAsia="Times New Roman"/>
        </w:rPr>
        <w:t xml:space="preserve"> Nos ONU 3537 à 3548.</w:t>
      </w:r>
    </w:p>
    <w:p w:rsidR="00B24C70" w:rsidRDefault="001F310D">
      <w:pPr>
        <w:pStyle w:val="SingleTxtG"/>
        <w:kinsoku/>
        <w:overflowPunct/>
        <w:autoSpaceDE/>
        <w:autoSpaceDN/>
        <w:adjustRightInd/>
        <w:snapToGrid/>
        <w:rPr>
          <w:rFonts w:eastAsia="Times New Roman"/>
        </w:rPr>
      </w:pPr>
      <w:r>
        <w:rPr>
          <w:rFonts w:eastAsia="Times New Roman"/>
        </w:rPr>
        <w:t xml:space="preserve">4. </w:t>
      </w:r>
      <w:r>
        <w:rPr>
          <w:rFonts w:eastAsia="Times New Roman"/>
        </w:rPr>
        <w:tab/>
        <w:t>De plus, l'alinéa c) est inutile dès lors que les « objets » sont déjà cités à l'alinéa b).</w:t>
      </w:r>
    </w:p>
    <w:p w:rsidR="00B24C70" w:rsidRDefault="001F310D">
      <w:pPr>
        <w:pStyle w:val="HChG"/>
      </w:pPr>
      <w:r>
        <w:rPr>
          <w:lang w:val="fr-FR"/>
        </w:rPr>
        <w:tab/>
      </w:r>
      <w:r>
        <w:rPr>
          <w:lang w:val="fr-FR"/>
        </w:rPr>
        <w:tab/>
        <w:t>Proposition</w:t>
      </w:r>
    </w:p>
    <w:p w:rsidR="00B24C70" w:rsidRDefault="001F310D">
      <w:pPr>
        <w:pStyle w:val="SingleTxtG"/>
        <w:kinsoku/>
        <w:overflowPunct/>
        <w:autoSpaceDE/>
        <w:autoSpaceDN/>
        <w:adjustRightInd/>
        <w:snapToGrid/>
      </w:pPr>
      <w:r>
        <w:t xml:space="preserve">5. </w:t>
      </w:r>
      <w:r>
        <w:tab/>
        <w:t>Dans la DS 667, biffer l'alinéa c) et modifier l'alinéa b) i) comme suit :</w:t>
      </w:r>
    </w:p>
    <w:p w:rsidR="00B24C70" w:rsidRDefault="001F310D">
      <w:pPr>
        <w:pStyle w:val="SingleTxtG"/>
        <w:kinsoku/>
        <w:overflowPunct/>
        <w:autoSpaceDE/>
        <w:autoSpaceDN/>
        <w:adjustRightInd/>
        <w:snapToGrid/>
      </w:pPr>
      <w:r>
        <w:t xml:space="preserve"> «b)</w:t>
      </w:r>
      <w:r>
        <w:tab/>
        <w:t xml:space="preserve">Les dispositions du 2.2.9.1.7 ne s’appliquent pas aux piles ou batteries au lithium installées </w:t>
      </w:r>
      <w:r>
        <w:rPr>
          <w:rFonts w:eastAsia="Times New Roman"/>
        </w:rPr>
        <w:t>dans</w:t>
      </w:r>
      <w:r>
        <w:t xml:space="preserve"> des véhicules, moteurs, machines ou objets endommagés ou défectueux. Dans ce cas les conditions suivantes doivent être satisfaites:</w:t>
      </w:r>
    </w:p>
    <w:p w:rsidR="00B24C70" w:rsidRDefault="001F310D">
      <w:pPr>
        <w:pStyle w:val="SingleTxtG"/>
        <w:kinsoku/>
        <w:overflowPunct/>
        <w:autoSpaceDE/>
        <w:autoSpaceDN/>
        <w:adjustRightInd/>
        <w:snapToGrid/>
        <w:ind w:left="1701"/>
        <w:rPr>
          <w:sz w:val="22"/>
          <w:szCs w:val="22"/>
        </w:rPr>
      </w:pPr>
      <w:r>
        <w:t>i)</w:t>
      </w:r>
      <w:r>
        <w:tab/>
        <w:t xml:space="preserve">Si le dommage ou défaut n'a pas d'impact significatif sur la sécurité de la pile </w:t>
      </w:r>
      <w:r w:rsidR="005D3CB8">
        <w:tab/>
      </w:r>
      <w:r w:rsidR="005D3CB8">
        <w:tab/>
      </w:r>
      <w:r w:rsidR="005D3CB8">
        <w:tab/>
      </w:r>
      <w:r>
        <w:t xml:space="preserve">ou batterie, les véhicules </w:t>
      </w:r>
      <w:proofErr w:type="spellStart"/>
      <w:r>
        <w:rPr>
          <w:b/>
          <w:u w:val="single"/>
        </w:rPr>
        <w:t>des</w:t>
      </w:r>
      <w:proofErr w:type="spellEnd"/>
      <w:r>
        <w:rPr>
          <w:b/>
          <w:u w:val="single"/>
        </w:rPr>
        <w:t xml:space="preserve"> Nos ONU 3166 et 3171</w:t>
      </w:r>
      <w:r>
        <w:t>,</w:t>
      </w:r>
      <w:r>
        <w:rPr>
          <w:b/>
          <w:u w:val="single"/>
        </w:rPr>
        <w:t xml:space="preserve"> les </w:t>
      </w:r>
      <w:r>
        <w:t>moteurs</w:t>
      </w:r>
      <w:r>
        <w:rPr>
          <w:b/>
          <w:u w:val="single"/>
        </w:rPr>
        <w:t xml:space="preserve"> et</w:t>
      </w:r>
      <w:r>
        <w:rPr>
          <w:b/>
          <w:u w:val="single"/>
          <w:lang w:val="fr-FR"/>
        </w:rPr>
        <w:t xml:space="preserve"> </w:t>
      </w:r>
      <w:r>
        <w:rPr>
          <w:lang w:val="fr-FR"/>
        </w:rPr>
        <w:t>machines</w:t>
      </w:r>
      <w:r>
        <w:rPr>
          <w:b/>
          <w:u w:val="single"/>
          <w:lang w:val="fr-FR"/>
        </w:rPr>
        <w:t xml:space="preserve"> </w:t>
      </w:r>
      <w:r w:rsidR="005D3CB8">
        <w:rPr>
          <w:b/>
          <w:u w:val="single"/>
          <w:lang w:val="fr-FR"/>
        </w:rPr>
        <w:tab/>
      </w:r>
      <w:r w:rsidR="005D3CB8" w:rsidRPr="005D3CB8">
        <w:rPr>
          <w:b/>
          <w:lang w:val="fr-FR"/>
        </w:rPr>
        <w:tab/>
      </w:r>
      <w:proofErr w:type="spellStart"/>
      <w:r>
        <w:rPr>
          <w:b/>
          <w:u w:val="single"/>
          <w:lang w:val="fr-FR"/>
        </w:rPr>
        <w:t>des</w:t>
      </w:r>
      <w:proofErr w:type="spellEnd"/>
      <w:r>
        <w:rPr>
          <w:b/>
          <w:u w:val="single"/>
          <w:lang w:val="fr-FR"/>
        </w:rPr>
        <w:t xml:space="preserve"> Nos ONU 3528, 3529 et 3530,</w:t>
      </w:r>
      <w:r>
        <w:rPr>
          <w:lang w:val="fr-FR"/>
        </w:rPr>
        <w:t> </w:t>
      </w:r>
      <w:r>
        <w:rPr>
          <w:bCs/>
          <w:strike/>
          <w:lang w:val="fr-FR"/>
        </w:rPr>
        <w:t>ou objets</w:t>
      </w:r>
      <w:r>
        <w:t xml:space="preserve"> endommagés ou défectueux</w:t>
      </w:r>
      <w:r>
        <w:rPr>
          <w:b/>
          <w:u w:val="single"/>
        </w:rPr>
        <w:t>,</w:t>
      </w:r>
      <w:r>
        <w:t xml:space="preserve"> </w:t>
      </w:r>
      <w:r w:rsidR="005D3CB8">
        <w:tab/>
      </w:r>
      <w:r w:rsidR="005D3CB8">
        <w:tab/>
      </w:r>
      <w:r w:rsidR="005D3CB8">
        <w:tab/>
      </w:r>
      <w:r>
        <w:t xml:space="preserve">peuvent être transportés sous les conditions définies dans les dispositions </w:t>
      </w:r>
      <w:r w:rsidR="005D3CB8">
        <w:tab/>
      </w:r>
      <w:r w:rsidR="005D3CB8">
        <w:tab/>
      </w:r>
      <w:r w:rsidR="005D3CB8">
        <w:tab/>
      </w:r>
      <w:r>
        <w:t xml:space="preserve">spéciales 363 ou 666, comme approprié. </w:t>
      </w:r>
      <w:r>
        <w:rPr>
          <w:b/>
          <w:bCs/>
          <w:u w:val="single"/>
        </w:rPr>
        <w:t xml:space="preserve">Les objets </w:t>
      </w:r>
      <w:proofErr w:type="spellStart"/>
      <w:r>
        <w:rPr>
          <w:b/>
          <w:bCs/>
          <w:u w:val="single"/>
        </w:rPr>
        <w:t>des</w:t>
      </w:r>
      <w:proofErr w:type="spellEnd"/>
      <w:r>
        <w:rPr>
          <w:b/>
          <w:bCs/>
          <w:u w:val="single"/>
        </w:rPr>
        <w:t xml:space="preserve"> Nos ONU 3537 à 3548 </w:t>
      </w:r>
      <w:r w:rsidR="005D3CB8">
        <w:rPr>
          <w:b/>
          <w:bCs/>
          <w:u w:val="single"/>
        </w:rPr>
        <w:tab/>
      </w:r>
      <w:r w:rsidR="005D3CB8" w:rsidRPr="005D3CB8">
        <w:rPr>
          <w:b/>
          <w:bCs/>
        </w:rPr>
        <w:tab/>
      </w:r>
      <w:r>
        <w:rPr>
          <w:b/>
          <w:bCs/>
          <w:u w:val="single"/>
        </w:rPr>
        <w:t xml:space="preserve">endommagés ou défectueux peuvent être transportés </w:t>
      </w:r>
      <w:r>
        <w:rPr>
          <w:b/>
          <w:iCs/>
          <w:u w:val="single"/>
        </w:rPr>
        <w:t xml:space="preserve">selon les dispositions </w:t>
      </w:r>
      <w:r w:rsidR="005D3CB8">
        <w:rPr>
          <w:b/>
          <w:iCs/>
          <w:u w:val="single"/>
        </w:rPr>
        <w:tab/>
      </w:r>
      <w:r w:rsidR="005D3CB8" w:rsidRPr="005D3CB8">
        <w:rPr>
          <w:b/>
          <w:iCs/>
        </w:rPr>
        <w:tab/>
      </w:r>
      <w:r>
        <w:rPr>
          <w:b/>
          <w:iCs/>
          <w:u w:val="single"/>
        </w:rPr>
        <w:t>de la rubrique pertinente</w:t>
      </w:r>
      <w:r>
        <w:rPr>
          <w:b/>
          <w:u w:val="single"/>
        </w:rPr>
        <w:t> </w:t>
      </w:r>
      <w:r>
        <w:t>;</w:t>
      </w:r>
      <w:r w:rsidR="000821A4">
        <w:t> ».</w:t>
      </w:r>
      <w:bookmarkStart w:id="1" w:name="_GoBack"/>
      <w:bookmarkEnd w:id="1"/>
    </w:p>
    <w:p w:rsidR="00B24C70" w:rsidRDefault="001F310D">
      <w:pPr>
        <w:pStyle w:val="SingleTxtG"/>
        <w:kinsoku/>
        <w:overflowPunct/>
        <w:autoSpaceDE/>
        <w:autoSpaceDN/>
        <w:adjustRightInd/>
        <w:snapToGrid/>
      </w:pPr>
      <w:r>
        <w:t>6.</w:t>
      </w:r>
      <w:r>
        <w:tab/>
        <w:t>Amendement de conséquence :</w:t>
      </w:r>
    </w:p>
    <w:p w:rsidR="00B24C70" w:rsidRDefault="001F310D">
      <w:pPr>
        <w:pStyle w:val="SingleTxtG"/>
        <w:kinsoku/>
        <w:overflowPunct/>
        <w:autoSpaceDE/>
        <w:autoSpaceDN/>
        <w:adjustRightInd/>
        <w:snapToGrid/>
      </w:pPr>
      <w:r>
        <w:t>Dans le dernier paragraphe de la disposition spéciale 388, remplacer la référence à l'alinéa c) par celle à l'alinéa b):</w:t>
      </w:r>
    </w:p>
    <w:p w:rsidR="00B24C70" w:rsidRDefault="001F310D">
      <w:pPr>
        <w:pStyle w:val="SingleTxtG"/>
        <w:kinsoku/>
        <w:overflowPunct/>
        <w:autoSpaceDE/>
        <w:autoSpaceDN/>
        <w:adjustRightInd/>
        <w:snapToGrid/>
        <w:rPr>
          <w:iCs/>
        </w:rPr>
      </w:pPr>
      <w:r>
        <w:t>« </w:t>
      </w:r>
      <w:r>
        <w:rPr>
          <w:iCs/>
        </w:rPr>
        <w:t xml:space="preserve">Quand une pile ou batterie au lithium installée dans un véhicule ou équipement est endommagée ou </w:t>
      </w:r>
      <w:r>
        <w:t>défectueuse</w:t>
      </w:r>
      <w:r>
        <w:rPr>
          <w:iCs/>
        </w:rPr>
        <w:t xml:space="preserve">, le véhicule ou l’équipement doit être transporté suivant les conditions définies dans la disposition spéciale 667 </w:t>
      </w:r>
      <w:r>
        <w:rPr>
          <w:b/>
          <w:iCs/>
          <w:strike/>
        </w:rPr>
        <w:t>c)</w:t>
      </w:r>
      <w:r>
        <w:rPr>
          <w:b/>
          <w:iCs/>
          <w:u w:val="single"/>
        </w:rPr>
        <w:t xml:space="preserve"> b)</w:t>
      </w:r>
      <w:r>
        <w:rPr>
          <w:iCs/>
        </w:rPr>
        <w:t>. »</w:t>
      </w:r>
    </w:p>
    <w:p w:rsidR="005D3CB8" w:rsidRPr="005D3CB8" w:rsidRDefault="005D3CB8" w:rsidP="005D3CB8">
      <w:pPr>
        <w:pStyle w:val="SingleTxtG"/>
        <w:kinsoku/>
        <w:overflowPunct/>
        <w:autoSpaceDE/>
        <w:autoSpaceDN/>
        <w:adjustRightInd/>
        <w:snapToGrid/>
        <w:spacing w:before="240" w:after="0"/>
        <w:jc w:val="center"/>
        <w:rPr>
          <w:iCs/>
          <w:u w:val="single"/>
        </w:rPr>
      </w:pPr>
      <w:r>
        <w:rPr>
          <w:iCs/>
          <w:u w:val="single"/>
        </w:rPr>
        <w:tab/>
      </w:r>
      <w:r>
        <w:rPr>
          <w:iCs/>
          <w:u w:val="single"/>
        </w:rPr>
        <w:tab/>
      </w:r>
      <w:r>
        <w:rPr>
          <w:iCs/>
          <w:u w:val="single"/>
        </w:rPr>
        <w:tab/>
      </w:r>
    </w:p>
    <w:sectPr w:rsidR="005D3CB8" w:rsidRPr="005D3CB8">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C70" w:rsidRDefault="00B24C70">
      <w:pPr>
        <w:spacing w:line="240" w:lineRule="auto"/>
      </w:pPr>
    </w:p>
  </w:endnote>
  <w:endnote w:type="continuationSeparator" w:id="0">
    <w:p w:rsidR="00B24C70" w:rsidRDefault="00B24C70">
      <w:pPr>
        <w:pStyle w:val="Footer"/>
      </w:pPr>
    </w:p>
  </w:endnote>
  <w:endnote w:type="continuationNotice" w:id="1">
    <w:p w:rsidR="00B24C70" w:rsidRDefault="00B24C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70" w:rsidRDefault="001F310D">
    <w:pPr>
      <w:pStyle w:val="Footer"/>
      <w:tabs>
        <w:tab w:val="right" w:pos="9638"/>
      </w:tabs>
    </w:pPr>
    <w:r>
      <w:rPr>
        <w:b/>
        <w:sz w:val="18"/>
      </w:rPr>
      <w:fldChar w:fldCharType="begin"/>
    </w:r>
    <w:r>
      <w:rPr>
        <w:b/>
        <w:sz w:val="18"/>
      </w:rPr>
      <w:instrText xml:space="preserve"> PAGE  \* MERGEFORMAT </w:instrText>
    </w:r>
    <w:r>
      <w:rPr>
        <w:b/>
        <w:sz w:val="18"/>
      </w:rPr>
      <w:fldChar w:fldCharType="separate"/>
    </w:r>
    <w:r>
      <w:rPr>
        <w:b/>
        <w:noProof/>
        <w:sz w:val="18"/>
      </w:rPr>
      <w:t>2</w:t>
    </w:r>
    <w:r>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70" w:rsidRDefault="001F310D">
    <w:pPr>
      <w:pStyle w:val="Footer"/>
      <w:tabs>
        <w:tab w:val="right" w:pos="9638"/>
      </w:tabs>
      <w:rPr>
        <w:b/>
        <w:sz w:val="18"/>
      </w:rPr>
    </w:pPr>
    <w:r>
      <w:t>GE.17-23049</w:t>
    </w:r>
    <w:r>
      <w:tab/>
    </w:r>
    <w:r>
      <w:rPr>
        <w:b/>
        <w:sz w:val="18"/>
      </w:rPr>
      <w:fldChar w:fldCharType="begin"/>
    </w:r>
    <w:r>
      <w:rPr>
        <w:b/>
        <w:sz w:val="18"/>
      </w:rPr>
      <w:instrText xml:space="preserve"> PAGE  \* MERGEFORMAT </w:instrText>
    </w:r>
    <w:r>
      <w:rPr>
        <w:b/>
        <w:sz w:val="18"/>
      </w:rPr>
      <w:fldChar w:fldCharType="separate"/>
    </w:r>
    <w:r>
      <w:rPr>
        <w:b/>
        <w:noProof/>
        <w:sz w:val="18"/>
      </w:rPr>
      <w:t>3</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70" w:rsidRDefault="00B24C70">
    <w:pPr>
      <w:pStyle w:val="Footer"/>
      <w:spacing w:before="12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C70" w:rsidRDefault="001F310D">
      <w:pPr>
        <w:pStyle w:val="Footer"/>
        <w:tabs>
          <w:tab w:val="right" w:pos="2155"/>
        </w:tabs>
        <w:spacing w:after="80" w:line="240" w:lineRule="atLeast"/>
        <w:ind w:left="680"/>
        <w:rPr>
          <w:u w:val="single"/>
        </w:rPr>
      </w:pPr>
      <w:r>
        <w:rPr>
          <w:u w:val="single"/>
        </w:rPr>
        <w:tab/>
      </w:r>
    </w:p>
  </w:footnote>
  <w:footnote w:type="continuationSeparator" w:id="0">
    <w:p w:rsidR="00B24C70" w:rsidRDefault="001F310D">
      <w:pPr>
        <w:pStyle w:val="Footer"/>
        <w:tabs>
          <w:tab w:val="right" w:pos="2155"/>
        </w:tabs>
        <w:spacing w:after="80" w:line="240" w:lineRule="atLeast"/>
        <w:ind w:left="680"/>
        <w:rPr>
          <w:u w:val="single"/>
        </w:rPr>
      </w:pPr>
      <w:r>
        <w:rPr>
          <w:u w:val="single"/>
        </w:rPr>
        <w:tab/>
      </w:r>
    </w:p>
  </w:footnote>
  <w:footnote w:type="continuationNotice" w:id="1">
    <w:p w:rsidR="00B24C70" w:rsidRDefault="00B24C70">
      <w:pPr>
        <w:spacing w:line="240" w:lineRule="auto"/>
        <w:rPr>
          <w:sz w:val="2"/>
          <w:szCs w:val="2"/>
        </w:rPr>
      </w:pPr>
    </w:p>
  </w:footnote>
  <w:footnote w:id="2">
    <w:p w:rsidR="00A22B93" w:rsidRPr="008544D2" w:rsidRDefault="00A22B93" w:rsidP="00A22B93">
      <w:pPr>
        <w:pStyle w:val="FootnoteText"/>
      </w:pPr>
      <w:r>
        <w:rPr>
          <w:rStyle w:val="FootnoteReference"/>
        </w:rPr>
        <w:tab/>
      </w:r>
      <w:r w:rsidRPr="00DF7ED3">
        <w:rPr>
          <w:rStyle w:val="FootnoteReference"/>
          <w:sz w:val="20"/>
        </w:rPr>
        <w:t>*</w:t>
      </w:r>
      <w:r>
        <w:rPr>
          <w:rStyle w:val="FootnoteReference"/>
          <w:sz w:val="20"/>
        </w:rPr>
        <w:tab/>
      </w:r>
      <w:r w:rsidRPr="004809ED">
        <w:rPr>
          <w:szCs w:val="18"/>
        </w:rPr>
        <w:t>Conformément au programme de travail du Comité des</w:t>
      </w:r>
      <w:r>
        <w:rPr>
          <w:szCs w:val="18"/>
        </w:rPr>
        <w:t xml:space="preserve"> transports intérieurs pour 2018-2019 (ECE/TRANS</w:t>
      </w:r>
      <w:r w:rsidRPr="004809ED">
        <w:rPr>
          <w:szCs w:val="18"/>
        </w:rPr>
        <w:t>/</w:t>
      </w:r>
      <w:r>
        <w:rPr>
          <w:szCs w:val="18"/>
        </w:rPr>
        <w:t>WP.15/237, annexe V, (</w:t>
      </w:r>
      <w:r w:rsidRPr="004809ED">
        <w:rPr>
          <w:szCs w:val="18"/>
        </w:rPr>
        <w:t>9.2)</w:t>
      </w:r>
      <w:r>
        <w:rPr>
          <w:szCs w:val="18"/>
        </w:rPr>
        <w:t>)</w:t>
      </w:r>
      <w:r w:rsidRPr="004809ED">
        <w:rPr>
          <w:szCs w:val="18"/>
        </w:rPr>
        <w:t>.</w:t>
      </w:r>
    </w:p>
  </w:footnote>
  <w:footnote w:id="3">
    <w:p w:rsidR="00A22B93" w:rsidRPr="00DF7ED3" w:rsidRDefault="00A22B93" w:rsidP="00A22B93">
      <w:pPr>
        <w:pStyle w:val="FootnoteText"/>
      </w:pPr>
      <w:r>
        <w:rPr>
          <w:rStyle w:val="FootnoteReference"/>
        </w:rPr>
        <w:tab/>
      </w:r>
      <w:r w:rsidRPr="00DF7ED3">
        <w:rPr>
          <w:rStyle w:val="FootnoteReference"/>
          <w:sz w:val="20"/>
        </w:rPr>
        <w:t>**</w:t>
      </w:r>
      <w:r>
        <w:tab/>
      </w:r>
      <w:r>
        <w:rPr>
          <w:lang w:val="fr-FR"/>
        </w:rPr>
        <w:t>Diffusée par l’Organisation intergouvernementale pour les transports internationaux ferroviaires (OTIF) sous la cote OTIF/RID/RC/2019/11.</w:t>
      </w:r>
      <w:r>
        <w:rPr>
          <w:rStyle w:val="FootnoteReference"/>
          <w:sz w:val="20"/>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70" w:rsidRDefault="005D3CB8">
    <w:pPr>
      <w:pStyle w:val="Header"/>
    </w:pPr>
    <w:r>
      <w:t>ECE/TRANS/WP.15/AC.1/2019/11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C70" w:rsidRDefault="00A22B93">
    <w:pPr>
      <w:pStyle w:val="Header"/>
      <w:jc w:val="right"/>
    </w:pPr>
    <w:fldSimple w:instr=" TITLE  \* MERGEFORMAT ">
      <w:r w:rsidR="001F310D">
        <w:t>ECE/TRANS/WP.15/AC.1/2018/4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8E1AEC9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8B70F7B"/>
    <w:multiLevelType w:val="hybridMultilevel"/>
    <w:tmpl w:val="41780A32"/>
    <w:lvl w:ilvl="0" w:tplc="04090017">
      <w:start w:val="1"/>
      <w:numFmt w:val="lowerLetter"/>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2" w15:restartNumberingAfterBreak="0">
    <w:nsid w:val="3ACF4EB2"/>
    <w:multiLevelType w:val="hybridMultilevel"/>
    <w:tmpl w:val="979CD29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6700CE80"/>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lvlOverride w:ilvl="0">
      <w:lvl w:ilvl="0" w:tplc="04090017">
        <w:start w:val="1"/>
        <w:numFmt w:val="lowerLetter"/>
        <w:lvlText w:val="%1)"/>
        <w:lvlJc w:val="left"/>
        <w:pPr>
          <w:ind w:left="1854" w:hanging="360"/>
        </w:pPr>
      </w:lvl>
    </w:lvlOverride>
  </w:num>
  <w:num w:numId="18">
    <w:abstractNumId w:val="13"/>
  </w:num>
  <w:num w:numId="19">
    <w:abstractNumId w:val="1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C70"/>
    <w:rsid w:val="000821A4"/>
    <w:rsid w:val="001F310D"/>
    <w:rsid w:val="005D3CB8"/>
    <w:rsid w:val="0085172F"/>
    <w:rsid w:val="00A22B93"/>
    <w:rsid w:val="00B24C70"/>
    <w:rsid w:val="00D63F0C"/>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F78F603"/>
  <w15:docId w15:val="{ECE65C54-0A2C-4509-987B-C62EB0686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pPr>
      <w:keepNext/>
      <w:keepLines/>
      <w:spacing w:after="0" w:line="240" w:lineRule="auto"/>
      <w:ind w:right="0"/>
      <w:jc w:val="left"/>
      <w:outlineLvl w:val="0"/>
    </w:pPr>
  </w:style>
  <w:style w:type="paragraph" w:styleId="Heading2">
    <w:name w:val="heading 2"/>
    <w:basedOn w:val="Normal"/>
    <w:next w:val="Normal"/>
    <w:link w:val="Heading2Char"/>
    <w:semiHidden/>
    <w:qFormat/>
    <w:pPr>
      <w:outlineLvl w:val="1"/>
    </w:pPr>
  </w:style>
  <w:style w:type="paragraph" w:styleId="Heading3">
    <w:name w:val="heading 3"/>
    <w:basedOn w:val="Normal"/>
    <w:next w:val="Normal"/>
    <w:link w:val="Heading3Char"/>
    <w:semiHidden/>
    <w:qFormat/>
    <w:pPr>
      <w:outlineLvl w:val="2"/>
    </w:pPr>
  </w:style>
  <w:style w:type="paragraph" w:styleId="Heading4">
    <w:name w:val="heading 4"/>
    <w:basedOn w:val="Normal"/>
    <w:next w:val="Normal"/>
    <w:link w:val="Heading4Char"/>
    <w:semiHidden/>
    <w:qFormat/>
    <w:pPr>
      <w:outlineLvl w:val="3"/>
    </w:pPr>
  </w:style>
  <w:style w:type="paragraph" w:styleId="Heading5">
    <w:name w:val="heading 5"/>
    <w:basedOn w:val="Normal"/>
    <w:next w:val="Normal"/>
    <w:link w:val="Heading5Char"/>
    <w:semiHidden/>
    <w:qFormat/>
    <w:pPr>
      <w:outlineLvl w:val="4"/>
    </w:pPr>
  </w:style>
  <w:style w:type="paragraph" w:styleId="Heading6">
    <w:name w:val="heading 6"/>
    <w:basedOn w:val="Normal"/>
    <w:next w:val="Normal"/>
    <w:link w:val="Heading6Char"/>
    <w:semiHidden/>
    <w:qFormat/>
    <w:pPr>
      <w:outlineLvl w:val="5"/>
    </w:pPr>
  </w:style>
  <w:style w:type="paragraph" w:styleId="Heading7">
    <w:name w:val="heading 7"/>
    <w:basedOn w:val="Normal"/>
    <w:next w:val="Normal"/>
    <w:link w:val="Heading7Char"/>
    <w:semiHidden/>
    <w:qFormat/>
    <w:pPr>
      <w:outlineLvl w:val="6"/>
    </w:pPr>
  </w:style>
  <w:style w:type="paragraph" w:styleId="Heading8">
    <w:name w:val="heading 8"/>
    <w:basedOn w:val="Normal"/>
    <w:next w:val="Normal"/>
    <w:link w:val="Heading8Char"/>
    <w:semiHidden/>
    <w:qFormat/>
    <w:pPr>
      <w:outlineLvl w:val="7"/>
    </w:pPr>
  </w:style>
  <w:style w:type="paragraph" w:styleId="Heading9">
    <w:name w:val="heading 9"/>
    <w:basedOn w:val="Normal"/>
    <w:next w:val="Normal"/>
    <w:link w:val="Heading9Char"/>
    <w:semiHidden/>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pPr>
      <w:spacing w:line="240" w:lineRule="auto"/>
    </w:pPr>
    <w:rPr>
      <w:sz w:val="16"/>
    </w:rPr>
  </w:style>
  <w:style w:type="character" w:customStyle="1" w:styleId="FooterChar">
    <w:name w:val="Footer Char"/>
    <w:aliases w:val="3_G Char"/>
    <w:basedOn w:val="DefaultParagraphFont"/>
    <w:link w:val="Footer"/>
    <w:rPr>
      <w:rFonts w:ascii="Times New Roman" w:eastAsiaTheme="minorHAnsi" w:hAnsi="Times New Roman" w:cs="Times New Roman"/>
      <w:sz w:val="16"/>
      <w:szCs w:val="20"/>
      <w:lang w:eastAsia="en-US"/>
    </w:rPr>
  </w:style>
  <w:style w:type="paragraph" w:customStyle="1" w:styleId="HMG">
    <w:name w:val="_ H __M_G"/>
    <w:basedOn w:val="Normal"/>
    <w:next w:val="Normal"/>
    <w:qFormat/>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pPr>
      <w:spacing w:after="120"/>
      <w:ind w:left="1134" w:right="1134"/>
      <w:jc w:val="both"/>
    </w:p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qFormat/>
    <w:pPr>
      <w:numPr>
        <w:numId w:val="18"/>
      </w:numPr>
      <w:spacing w:after="120"/>
      <w:ind w:right="1134"/>
      <w:jc w:val="both"/>
    </w:pPr>
  </w:style>
  <w:style w:type="paragraph" w:customStyle="1" w:styleId="Bullet2G">
    <w:name w:val="_Bullet 2_G"/>
    <w:basedOn w:val="Normal"/>
    <w:qFormat/>
    <w:pPr>
      <w:numPr>
        <w:numId w:val="19"/>
      </w:numPr>
      <w:spacing w:after="120"/>
      <w:ind w:right="1134"/>
      <w:jc w:val="both"/>
    </w:pPr>
  </w:style>
  <w:style w:type="paragraph" w:customStyle="1" w:styleId="ParNoG">
    <w:name w:val="_ParNo_G"/>
    <w:basedOn w:val="Normal"/>
    <w:qFormat/>
    <w:pPr>
      <w:numPr>
        <w:numId w:val="20"/>
      </w:numPr>
      <w:tabs>
        <w:tab w:val="clear" w:pos="1701"/>
      </w:tabs>
      <w:spacing w:after="120"/>
      <w:ind w:right="1134"/>
      <w:jc w:val="both"/>
    </w:pPr>
  </w:style>
  <w:style w:type="character" w:styleId="FootnoteReference">
    <w:name w:val="footnote reference"/>
    <w:aliases w:val="4_G"/>
    <w:basedOn w:val="DefaultParagraphFont"/>
    <w:qFormat/>
    <w:rPr>
      <w:rFonts w:ascii="Times New Roman" w:hAnsi="Times New Roman"/>
      <w:sz w:val="18"/>
      <w:vertAlign w:val="superscript"/>
      <w:lang w:val="fr-CH"/>
    </w:rPr>
  </w:style>
  <w:style w:type="character" w:styleId="EndnoteReference">
    <w:name w:val="endnote reference"/>
    <w:aliases w:val="1_G"/>
    <w:basedOn w:val="FootnoteReference"/>
    <w:qFormat/>
    <w:rPr>
      <w:rFonts w:ascii="Times New Roman" w:hAnsi="Times New Roman"/>
      <w:sz w:val="18"/>
      <w:vertAlign w:val="superscript"/>
      <w:lang w:val="fr-CH"/>
    </w:rPr>
  </w:style>
  <w:style w:type="table" w:styleId="TableGrid">
    <w:name w:val="Table Grid"/>
    <w:basedOn w:val="TableNormal"/>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Pr>
      <w:color w:val="0000FF"/>
      <w:u w:val="none"/>
    </w:rPr>
  </w:style>
  <w:style w:type="character" w:styleId="FollowedHyperlink">
    <w:name w:val="FollowedHyperlink"/>
    <w:basedOn w:val="DefaultParagraphFont"/>
    <w:unhideWhenUsed/>
    <w:rPr>
      <w:color w:val="0000FF"/>
      <w:u w:val="none"/>
    </w:rPr>
  </w:style>
  <w:style w:type="paragraph" w:styleId="FootnoteText">
    <w:name w:val="footnote text"/>
    <w:aliases w:val="5_G"/>
    <w:basedOn w:val="Normal"/>
    <w:link w:val="FootnoteTextChar"/>
    <w:qFormat/>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style>
  <w:style w:type="character" w:customStyle="1" w:styleId="EndnoteTextChar">
    <w:name w:val="Endnote Text Char"/>
    <w:aliases w:val="2_G Char"/>
    <w:basedOn w:val="DefaultParagraphFont"/>
    <w:link w:val="EndnoteText"/>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Pr>
      <w:rFonts w:ascii="Times New Roman" w:hAnsi="Times New Roman"/>
      <w:b/>
      <w:sz w:val="18"/>
      <w:lang w:val="fr-CH"/>
    </w:rPr>
  </w:style>
  <w:style w:type="character" w:customStyle="1" w:styleId="Heading1Char">
    <w:name w:val="Heading 1 Char"/>
    <w:aliases w:val="Table_G Char"/>
    <w:basedOn w:val="DefaultParagraphFont"/>
    <w:link w:val="Heading1"/>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Pr>
      <w:rFonts w:ascii="Times New Roman" w:eastAsiaTheme="minorHAnsi" w:hAnsi="Times New Roman" w:cs="Times New Roman"/>
      <w:sz w:val="20"/>
      <w:szCs w:val="20"/>
      <w:lang w:eastAsia="en-US"/>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H1GChar">
    <w:name w:val="_ H_1_G Char"/>
    <w:link w:val="H1G"/>
    <w:rPr>
      <w:rFonts w:ascii="Times New Roman" w:eastAsiaTheme="minorHAnsi" w:hAnsi="Times New Roman" w:cs="Times New Roman"/>
      <w:b/>
      <w:sz w:val="24"/>
      <w:szCs w:val="20"/>
      <w:lang w:eastAsia="en-US"/>
    </w:rPr>
  </w:style>
  <w:style w:type="character" w:customStyle="1" w:styleId="HChGChar">
    <w:name w:val="_ H _Ch_G Char"/>
    <w:link w:val="HChG"/>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rPr>
      <w:rFonts w:ascii="Times New Roman" w:eastAsiaTheme="minorHAnsi" w:hAnsi="Times New Roman" w:cs="Times New Roman"/>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5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587</Words>
  <Characters>3318</Characters>
  <Application>Microsoft Office Word</Application>
  <DocSecurity>0</DocSecurity>
  <Lines>75</Lines>
  <Paragraphs>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ECE/TRANS/WP.15/AC.1/2018/4</vt:lpstr>
      <vt:lpstr>ECE/TRANS/WP.15/AC.1/2018/4</vt:lpstr>
    </vt:vector>
  </TitlesOfParts>
  <Company>DCM</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ECE/TRANS/WP.15/AC.1/2018/4</dc:title>
  <dc:subject/>
  <dc:creator>Fabienne CRELIER</dc:creator>
  <cp:keywords/>
  <cp:lastModifiedBy>Christine Barrio-Champeau</cp:lastModifiedBy>
  <cp:revision>6</cp:revision>
  <cp:lastPrinted>2018-01-10T16:02:00Z</cp:lastPrinted>
  <dcterms:created xsi:type="dcterms:W3CDTF">2018-12-27T11:24:00Z</dcterms:created>
  <dcterms:modified xsi:type="dcterms:W3CDTF">2018-12-27T15:02:00Z</dcterms:modified>
</cp:coreProperties>
</file>