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B26E389" w14:textId="77777777" w:rsidTr="00B20551">
        <w:trPr>
          <w:cantSplit/>
          <w:trHeight w:hRule="exact" w:val="851"/>
        </w:trPr>
        <w:tc>
          <w:tcPr>
            <w:tcW w:w="1276" w:type="dxa"/>
            <w:tcBorders>
              <w:bottom w:val="single" w:sz="4" w:space="0" w:color="auto"/>
            </w:tcBorders>
            <w:vAlign w:val="bottom"/>
          </w:tcPr>
          <w:p w14:paraId="47B796E0" w14:textId="77777777" w:rsidR="009E6CB7" w:rsidRDefault="009E6CB7" w:rsidP="00B20551">
            <w:pPr>
              <w:spacing w:after="80"/>
            </w:pPr>
          </w:p>
        </w:tc>
        <w:tc>
          <w:tcPr>
            <w:tcW w:w="2268" w:type="dxa"/>
            <w:tcBorders>
              <w:bottom w:val="single" w:sz="4" w:space="0" w:color="auto"/>
            </w:tcBorders>
            <w:vAlign w:val="bottom"/>
          </w:tcPr>
          <w:p w14:paraId="6923D7C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F18F2CA" w14:textId="77777777" w:rsidR="009E6CB7" w:rsidRPr="00D47EEA" w:rsidRDefault="00065273" w:rsidP="00065273">
            <w:pPr>
              <w:jc w:val="right"/>
            </w:pPr>
            <w:r w:rsidRPr="00065273">
              <w:rPr>
                <w:sz w:val="40"/>
              </w:rPr>
              <w:t>ECE</w:t>
            </w:r>
            <w:r>
              <w:t>/TRANS/WP.15/AC.1/154/Add.1</w:t>
            </w:r>
          </w:p>
        </w:tc>
      </w:tr>
      <w:tr w:rsidR="009E6CB7" w14:paraId="61AFC1C2" w14:textId="77777777" w:rsidTr="00B20551">
        <w:trPr>
          <w:cantSplit/>
          <w:trHeight w:hRule="exact" w:val="2835"/>
        </w:trPr>
        <w:tc>
          <w:tcPr>
            <w:tcW w:w="1276" w:type="dxa"/>
            <w:tcBorders>
              <w:top w:val="single" w:sz="4" w:space="0" w:color="auto"/>
              <w:bottom w:val="single" w:sz="12" w:space="0" w:color="auto"/>
            </w:tcBorders>
          </w:tcPr>
          <w:p w14:paraId="3DF3C26E" w14:textId="77777777" w:rsidR="009E6CB7" w:rsidRDefault="00686A48" w:rsidP="00B20551">
            <w:pPr>
              <w:spacing w:before="120"/>
            </w:pPr>
            <w:r>
              <w:rPr>
                <w:noProof/>
                <w:lang w:eastAsia="en-GB"/>
              </w:rPr>
              <w:drawing>
                <wp:inline distT="0" distB="0" distL="0" distR="0" wp14:anchorId="33BE8A24" wp14:editId="2FC65F3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76D0A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2E5BB9" w14:textId="77777777" w:rsidR="009E6CB7" w:rsidRPr="002F2959" w:rsidRDefault="00065273" w:rsidP="00065273">
            <w:pPr>
              <w:spacing w:before="240" w:line="240" w:lineRule="exact"/>
            </w:pPr>
            <w:r w:rsidRPr="002F2959">
              <w:t>Distr.: General</w:t>
            </w:r>
          </w:p>
          <w:p w14:paraId="15819AA2" w14:textId="6657A200" w:rsidR="00065273" w:rsidRPr="002F2959" w:rsidRDefault="002F2959" w:rsidP="00065273">
            <w:pPr>
              <w:spacing w:line="240" w:lineRule="exact"/>
            </w:pPr>
            <w:r w:rsidRPr="002F2959">
              <w:t>15</w:t>
            </w:r>
            <w:r w:rsidR="00065273" w:rsidRPr="002F2959">
              <w:t xml:space="preserve"> April 2019</w:t>
            </w:r>
          </w:p>
          <w:p w14:paraId="2815E4D6" w14:textId="77777777" w:rsidR="00065273" w:rsidRPr="002F2959" w:rsidRDefault="00065273" w:rsidP="00065273">
            <w:pPr>
              <w:spacing w:line="240" w:lineRule="exact"/>
            </w:pPr>
          </w:p>
          <w:p w14:paraId="6AF8B11E" w14:textId="77777777" w:rsidR="00065273" w:rsidRDefault="00065273" w:rsidP="00065273">
            <w:pPr>
              <w:spacing w:line="240" w:lineRule="exact"/>
            </w:pPr>
            <w:r w:rsidRPr="002F2959">
              <w:t>Original: English</w:t>
            </w:r>
          </w:p>
        </w:tc>
      </w:tr>
    </w:tbl>
    <w:p w14:paraId="2EA9250A" w14:textId="77777777" w:rsidR="00186ED4" w:rsidRPr="00F77891" w:rsidRDefault="00186ED4" w:rsidP="00186ED4">
      <w:pPr>
        <w:spacing w:before="120"/>
        <w:rPr>
          <w:b/>
          <w:sz w:val="28"/>
          <w:szCs w:val="28"/>
        </w:rPr>
      </w:pPr>
      <w:r w:rsidRPr="00F77891">
        <w:rPr>
          <w:b/>
          <w:sz w:val="28"/>
          <w:szCs w:val="28"/>
        </w:rPr>
        <w:t>Economic Commission for Europe</w:t>
      </w:r>
    </w:p>
    <w:p w14:paraId="29FECA40" w14:textId="77777777" w:rsidR="00186ED4" w:rsidRPr="00F77891" w:rsidRDefault="00186ED4" w:rsidP="00186ED4">
      <w:pPr>
        <w:spacing w:before="120"/>
        <w:outlineLvl w:val="0"/>
        <w:rPr>
          <w:sz w:val="28"/>
          <w:szCs w:val="28"/>
        </w:rPr>
      </w:pPr>
      <w:r w:rsidRPr="00F77891">
        <w:rPr>
          <w:sz w:val="28"/>
          <w:szCs w:val="28"/>
        </w:rPr>
        <w:t>Inland Transport Committee</w:t>
      </w:r>
    </w:p>
    <w:p w14:paraId="2EA1B605" w14:textId="77777777" w:rsidR="00186ED4" w:rsidRPr="00F77891" w:rsidRDefault="00186ED4" w:rsidP="00186ED4">
      <w:pPr>
        <w:spacing w:before="120"/>
        <w:outlineLvl w:val="0"/>
        <w:rPr>
          <w:b/>
          <w:sz w:val="24"/>
          <w:szCs w:val="24"/>
        </w:rPr>
      </w:pPr>
      <w:r w:rsidRPr="00F77891">
        <w:rPr>
          <w:b/>
          <w:sz w:val="24"/>
          <w:szCs w:val="24"/>
        </w:rPr>
        <w:t>Working Party on the Transport of Dangerous Goods</w:t>
      </w:r>
    </w:p>
    <w:p w14:paraId="0CD09D36" w14:textId="77777777" w:rsidR="00186ED4" w:rsidRPr="00F77891" w:rsidRDefault="00186ED4" w:rsidP="00186ED4">
      <w:pPr>
        <w:spacing w:before="120"/>
        <w:rPr>
          <w:b/>
        </w:rPr>
      </w:pPr>
      <w:r w:rsidRPr="00F77891">
        <w:rPr>
          <w:b/>
        </w:rPr>
        <w:t>Joint Meeting of the RID Committee of Experts and the</w:t>
      </w:r>
      <w:r w:rsidRPr="00F77891">
        <w:rPr>
          <w:b/>
        </w:rPr>
        <w:br/>
        <w:t>Working Party on the Transport of Dangerous Goods</w:t>
      </w:r>
    </w:p>
    <w:p w14:paraId="3A2BC75B" w14:textId="77777777" w:rsidR="00186ED4" w:rsidRPr="00F77891" w:rsidRDefault="00186ED4" w:rsidP="00186ED4">
      <w:pPr>
        <w:pStyle w:val="HChG"/>
      </w:pPr>
      <w:r w:rsidRPr="00F77891">
        <w:tab/>
      </w:r>
      <w:r w:rsidRPr="00F77891">
        <w:tab/>
        <w:t>Report of the Joint Meeting of the RID Committee of Experts and the Working Party on the Transport of Dangerous Goods on its spring 2019 session</w:t>
      </w:r>
      <w:r w:rsidRPr="00186ED4">
        <w:rPr>
          <w:rStyle w:val="FootnoteReference"/>
          <w:sz w:val="20"/>
          <w:vertAlign w:val="baseline"/>
        </w:rPr>
        <w:footnoteReference w:customMarkFollows="1" w:id="2"/>
        <w:t>*</w:t>
      </w:r>
    </w:p>
    <w:p w14:paraId="3C8BC460" w14:textId="77777777" w:rsidR="00186ED4" w:rsidRPr="00F77891" w:rsidRDefault="00186ED4" w:rsidP="00186ED4">
      <w:pPr>
        <w:pStyle w:val="H56G"/>
      </w:pPr>
      <w:r w:rsidRPr="00F77891">
        <w:tab/>
      </w:r>
      <w:r w:rsidRPr="00F77891">
        <w:tab/>
        <w:t xml:space="preserve">held in </w:t>
      </w:r>
      <w:r>
        <w:t>Bern</w:t>
      </w:r>
      <w:r w:rsidRPr="00F77891">
        <w:t xml:space="preserve"> from 18 to 22 March 2019</w:t>
      </w:r>
    </w:p>
    <w:p w14:paraId="58F97A4E" w14:textId="77777777" w:rsidR="001C6663" w:rsidRPr="000B2F3F" w:rsidRDefault="000B2F3F" w:rsidP="000B2F3F">
      <w:pPr>
        <w:pStyle w:val="H23G"/>
      </w:pPr>
      <w:r>
        <w:tab/>
      </w:r>
      <w:r>
        <w:tab/>
      </w:r>
      <w:r w:rsidR="00186ED4" w:rsidRPr="000B2F3F">
        <w:t>Addendum</w:t>
      </w:r>
      <w:r w:rsidR="00186ED4" w:rsidRPr="000B2F3F">
        <w:rPr>
          <w:rStyle w:val="FootnoteReference"/>
          <w:sz w:val="20"/>
          <w:vertAlign w:val="baseline"/>
        </w:rPr>
        <w:footnoteReference w:customMarkFollows="1" w:id="3"/>
        <w:t>**</w:t>
      </w:r>
    </w:p>
    <w:p w14:paraId="75D5DD98" w14:textId="77777777" w:rsidR="000B2F3F" w:rsidRDefault="000B2F3F" w:rsidP="000B2F3F">
      <w:pPr>
        <w:pStyle w:val="H1G"/>
      </w:pPr>
      <w:r>
        <w:tab/>
      </w:r>
      <w:r>
        <w:tab/>
        <w:t>Annex I</w:t>
      </w:r>
    </w:p>
    <w:p w14:paraId="28A31990" w14:textId="77777777" w:rsidR="000B2F3F" w:rsidRDefault="000B2F3F" w:rsidP="000B2F3F">
      <w:pPr>
        <w:pStyle w:val="H1G"/>
      </w:pPr>
      <w:r>
        <w:tab/>
      </w:r>
      <w:r>
        <w:tab/>
        <w:t>Report of the Working Group on Tanks</w:t>
      </w:r>
    </w:p>
    <w:p w14:paraId="14188135" w14:textId="090E138C" w:rsidR="000B2F3F" w:rsidRPr="00F60C0F" w:rsidRDefault="000B2F3F" w:rsidP="000B2F3F">
      <w:pPr>
        <w:pStyle w:val="SingleTxtG"/>
      </w:pPr>
      <w:r w:rsidRPr="00F60C0F">
        <w:t>1.</w:t>
      </w:r>
      <w:r w:rsidRPr="00F60C0F">
        <w:tab/>
        <w:t xml:space="preserve">The Working Group on Tanks met </w:t>
      </w:r>
      <w:r w:rsidRPr="00530C3E">
        <w:t>from 1</w:t>
      </w:r>
      <w:r>
        <w:t>8</w:t>
      </w:r>
      <w:r w:rsidRPr="00530C3E">
        <w:t xml:space="preserve"> to </w:t>
      </w:r>
      <w:r>
        <w:t>20</w:t>
      </w:r>
      <w:r w:rsidRPr="00F60C0F">
        <w:t xml:space="preserve"> </w:t>
      </w:r>
      <w:r>
        <w:t xml:space="preserve">March </w:t>
      </w:r>
      <w:r w:rsidRPr="00F60C0F">
        <w:t>201</w:t>
      </w:r>
      <w:r>
        <w:t>9</w:t>
      </w:r>
      <w:r w:rsidRPr="00F60C0F">
        <w:t xml:space="preserve"> in </w:t>
      </w:r>
      <w:r>
        <w:t>Bern</w:t>
      </w:r>
      <w:r w:rsidRPr="00F60C0F">
        <w:t xml:space="preserve"> </w:t>
      </w:r>
      <w:proofErr w:type="gramStart"/>
      <w:r w:rsidRPr="00F60C0F">
        <w:t>on the basis of</w:t>
      </w:r>
      <w:proofErr w:type="gramEnd"/>
      <w:r w:rsidRPr="00F60C0F">
        <w:t xml:space="preserve"> the mandate from the RID/ADR/ADN Joint Meeting, under the chairmanship of </w:t>
      </w:r>
      <w:r w:rsidR="00BF63DF">
        <w:br/>
      </w:r>
      <w:r w:rsidRPr="00530C3E">
        <w:t>Mr. Arne Bale (United Kingdom) Mr. Kees de Putter (Netherlands)</w:t>
      </w:r>
      <w:r w:rsidRPr="00F60C0F">
        <w:t xml:space="preserve"> as secretary. The relevant documents were submitted to the plenary session and transferred to the Working Group for consideration.</w:t>
      </w:r>
    </w:p>
    <w:p w14:paraId="0B218435" w14:textId="77777777" w:rsidR="000B2F3F" w:rsidRPr="00F60C0F" w:rsidRDefault="000B2F3F" w:rsidP="000B2F3F">
      <w:pPr>
        <w:pStyle w:val="SingleTxtG"/>
      </w:pPr>
      <w:r w:rsidRPr="00F60C0F">
        <w:t>2.</w:t>
      </w:r>
      <w:r w:rsidRPr="00F60C0F">
        <w:tab/>
        <w:t xml:space="preserve">The Working Group on Tanks, consisting of </w:t>
      </w:r>
      <w:r w:rsidRPr="00695EE9">
        <w:t xml:space="preserve">26 experts from 13 countries and 4 non-governmental organizations, the </w:t>
      </w:r>
      <w:r w:rsidR="00B84083">
        <w:t>European Union (</w:t>
      </w:r>
      <w:r w:rsidRPr="00695EE9">
        <w:t>European Comm</w:t>
      </w:r>
      <w:r>
        <w:t>ission and European Union Agency for Railways</w:t>
      </w:r>
      <w:r w:rsidR="00B84083">
        <w:t>)</w:t>
      </w:r>
      <w:r>
        <w:t xml:space="preserve">, </w:t>
      </w:r>
      <w:r w:rsidRPr="00F60C0F">
        <w:t>dealt with the following official and informal documents:</w:t>
      </w:r>
    </w:p>
    <w:p w14:paraId="74E25575" w14:textId="77777777" w:rsidR="00AF0DED" w:rsidRDefault="00AF0DED">
      <w:pPr>
        <w:suppressAutoHyphens w:val="0"/>
        <w:spacing w:line="240" w:lineRule="auto"/>
        <w:rPr>
          <w:i/>
          <w:lang w:val="fr-CH"/>
        </w:rPr>
      </w:pPr>
      <w:r>
        <w:rPr>
          <w:i/>
          <w:lang w:val="fr-CH"/>
        </w:rPr>
        <w:br w:type="page"/>
      </w:r>
    </w:p>
    <w:p w14:paraId="1FD99057" w14:textId="518BA268" w:rsidR="00B84083" w:rsidRPr="002A0513" w:rsidRDefault="000B2F3F" w:rsidP="008D3329">
      <w:pPr>
        <w:pStyle w:val="SingleTxtG"/>
        <w:tabs>
          <w:tab w:val="left" w:pos="2300"/>
        </w:tabs>
        <w:spacing w:after="0"/>
        <w:ind w:left="3119" w:hanging="1985"/>
        <w:jc w:val="left"/>
        <w:rPr>
          <w:lang w:val="fr-CH"/>
        </w:rPr>
      </w:pPr>
      <w:proofErr w:type="gramStart"/>
      <w:r w:rsidRPr="002A0513">
        <w:rPr>
          <w:i/>
          <w:lang w:val="fr-CH"/>
        </w:rPr>
        <w:lastRenderedPageBreak/>
        <w:t>Documents</w:t>
      </w:r>
      <w:r w:rsidRPr="002A0513">
        <w:rPr>
          <w:lang w:val="fr-CH"/>
        </w:rPr>
        <w:t>:</w:t>
      </w:r>
      <w:proofErr w:type="gramEnd"/>
      <w:r w:rsidRPr="002A0513">
        <w:rPr>
          <w:lang w:val="fr-CH"/>
        </w:rPr>
        <w:tab/>
      </w:r>
      <w:r w:rsidRPr="002A0513">
        <w:rPr>
          <w:lang w:val="fr-CH"/>
        </w:rPr>
        <w:tab/>
        <w:t>ECE/TRANS/WP.15/AC.1/2019/1 (Belarus)</w:t>
      </w:r>
    </w:p>
    <w:p w14:paraId="78831E16" w14:textId="77777777" w:rsidR="00B84083" w:rsidRDefault="00B84083" w:rsidP="008D3329">
      <w:pPr>
        <w:pStyle w:val="SingleTxtG"/>
        <w:tabs>
          <w:tab w:val="left" w:pos="2300"/>
        </w:tabs>
        <w:spacing w:after="0"/>
        <w:ind w:left="3119" w:hanging="1985"/>
        <w:jc w:val="left"/>
      </w:pPr>
      <w:r w:rsidRPr="002A0513">
        <w:rPr>
          <w:i/>
          <w:lang w:val="fr-CH"/>
        </w:rPr>
        <w:tab/>
      </w:r>
      <w:r w:rsidRPr="002A0513">
        <w:rPr>
          <w:i/>
          <w:lang w:val="fr-CH"/>
        </w:rPr>
        <w:tab/>
      </w:r>
      <w:r w:rsidR="000B2F3F" w:rsidRPr="00530C3E">
        <w:t>ECE/TRANS/WP.15/AC.1/201</w:t>
      </w:r>
      <w:r w:rsidR="000B2F3F">
        <w:t>9</w:t>
      </w:r>
      <w:r w:rsidR="000B2F3F" w:rsidRPr="00530C3E">
        <w:t>/</w:t>
      </w:r>
      <w:r w:rsidR="000B2F3F">
        <w:t>3</w:t>
      </w:r>
      <w:r w:rsidR="000B2F3F" w:rsidRPr="00530C3E">
        <w:t xml:space="preserve"> (</w:t>
      </w:r>
      <w:r w:rsidR="000B2F3F">
        <w:t>Belgium)</w:t>
      </w:r>
    </w:p>
    <w:p w14:paraId="592632F1" w14:textId="164A189A" w:rsidR="000B2F3F" w:rsidRDefault="00B84083" w:rsidP="004D246B">
      <w:pPr>
        <w:pStyle w:val="SingleTxtG"/>
        <w:tabs>
          <w:tab w:val="left" w:pos="2300"/>
        </w:tabs>
        <w:spacing w:after="0"/>
        <w:ind w:left="3119" w:hanging="1985"/>
        <w:jc w:val="left"/>
      </w:pPr>
      <w:r>
        <w:tab/>
      </w:r>
      <w:r>
        <w:tab/>
        <w:t>E</w:t>
      </w:r>
      <w:r w:rsidR="000B2F3F" w:rsidRPr="00F60C0F">
        <w:t>CE/TRANS/WP.15/AC.1/201</w:t>
      </w:r>
      <w:r w:rsidR="000B2F3F">
        <w:t>9</w:t>
      </w:r>
      <w:r w:rsidR="000B2F3F" w:rsidRPr="00F60C0F">
        <w:t>/</w:t>
      </w:r>
      <w:r w:rsidR="000B2F3F">
        <w:t>6 (ITCO)</w:t>
      </w:r>
    </w:p>
    <w:p w14:paraId="297D389F" w14:textId="77777777" w:rsidR="000B2F3F" w:rsidRDefault="000B2F3F" w:rsidP="00CB09D3">
      <w:pPr>
        <w:pStyle w:val="SingleTxtG"/>
        <w:tabs>
          <w:tab w:val="left" w:pos="2300"/>
        </w:tabs>
        <w:spacing w:after="0"/>
        <w:ind w:left="3119" w:hanging="1985"/>
        <w:jc w:val="left"/>
      </w:pPr>
      <w:r>
        <w:rPr>
          <w:i/>
        </w:rPr>
        <w:tab/>
      </w:r>
      <w:r>
        <w:rPr>
          <w:i/>
        </w:rPr>
        <w:tab/>
      </w:r>
      <w:r w:rsidRPr="00777FDC">
        <w:t>ECE/TRANS/WP.15/AC.1/2019/7 (Romania)</w:t>
      </w:r>
    </w:p>
    <w:p w14:paraId="50CE4642" w14:textId="504F3958" w:rsidR="00A74326" w:rsidRPr="00777FDC" w:rsidRDefault="00AF0DED" w:rsidP="00CB09D3">
      <w:pPr>
        <w:pStyle w:val="SingleTxtG"/>
        <w:tabs>
          <w:tab w:val="left" w:pos="2300"/>
        </w:tabs>
        <w:spacing w:after="0"/>
        <w:ind w:left="3119" w:hanging="1985"/>
        <w:jc w:val="left"/>
      </w:pPr>
      <w:r>
        <w:tab/>
      </w:r>
      <w:r>
        <w:tab/>
      </w:r>
      <w:r w:rsidR="00A74326">
        <w:t>ECE/TRANS/WP.15/AC.1/2019/17 (United Kingdom)</w:t>
      </w:r>
    </w:p>
    <w:p w14:paraId="43F1E2E9" w14:textId="2289F82C" w:rsidR="000B2F3F" w:rsidRPr="00F60C0F" w:rsidRDefault="000B2F3F" w:rsidP="006E7207">
      <w:pPr>
        <w:pStyle w:val="SingleTxtG"/>
        <w:keepNext/>
        <w:keepLines/>
        <w:spacing w:after="0"/>
        <w:ind w:left="3119" w:hanging="1985"/>
        <w:jc w:val="left"/>
      </w:pPr>
      <w:r w:rsidRPr="00F60C0F">
        <w:tab/>
        <w:t>ECE/TRANS/WP.15/AC.1/201</w:t>
      </w:r>
      <w:r>
        <w:t>9</w:t>
      </w:r>
      <w:r w:rsidRPr="00F60C0F">
        <w:t>/</w:t>
      </w:r>
      <w:r>
        <w:t xml:space="preserve">18 </w:t>
      </w:r>
      <w:r w:rsidRPr="00F60C0F">
        <w:t>(</w:t>
      </w:r>
      <w:r>
        <w:t>United Kingdom</w:t>
      </w:r>
      <w:r w:rsidRPr="00F60C0F">
        <w:t>)</w:t>
      </w:r>
    </w:p>
    <w:p w14:paraId="319AD27F" w14:textId="77777777" w:rsidR="000B2F3F" w:rsidRDefault="000B2F3F" w:rsidP="00CB09D3">
      <w:pPr>
        <w:pStyle w:val="SingleTxtG"/>
        <w:tabs>
          <w:tab w:val="left" w:pos="2300"/>
          <w:tab w:val="left" w:pos="3119"/>
        </w:tabs>
        <w:spacing w:after="240"/>
        <w:ind w:left="3119" w:hanging="1985"/>
        <w:jc w:val="left"/>
      </w:pPr>
      <w:r w:rsidRPr="00F60C0F">
        <w:tab/>
      </w:r>
      <w:r w:rsidRPr="00F60C0F">
        <w:tab/>
        <w:t>ECE/TRANS/WP.15/AC.1/201</w:t>
      </w:r>
      <w:r>
        <w:t>9</w:t>
      </w:r>
      <w:r w:rsidRPr="00F60C0F">
        <w:t>/</w:t>
      </w:r>
      <w:r>
        <w:t>19</w:t>
      </w:r>
      <w:r w:rsidRPr="00F60C0F">
        <w:t xml:space="preserve"> (</w:t>
      </w:r>
      <w:r>
        <w:t>Poland)</w:t>
      </w:r>
    </w:p>
    <w:p w14:paraId="1D3099BB" w14:textId="012157F5" w:rsidR="000B2F3F" w:rsidRPr="006B3D1C" w:rsidRDefault="000B2F3F" w:rsidP="00CB09D3">
      <w:pPr>
        <w:pStyle w:val="SingleTxtG"/>
        <w:keepNext/>
        <w:keepLines/>
        <w:tabs>
          <w:tab w:val="left" w:pos="5954"/>
        </w:tabs>
        <w:spacing w:after="0"/>
        <w:ind w:left="3119" w:hanging="1985"/>
        <w:jc w:val="left"/>
      </w:pPr>
      <w:r w:rsidRPr="006B3D1C">
        <w:rPr>
          <w:i/>
        </w:rPr>
        <w:t>Informal documents</w:t>
      </w:r>
      <w:r w:rsidRPr="006B3D1C">
        <w:t>:</w:t>
      </w:r>
      <w:r w:rsidR="008D3329">
        <w:tab/>
      </w:r>
      <w:r w:rsidRPr="006B3D1C">
        <w:t>INF.5 (</w:t>
      </w:r>
      <w:r w:rsidR="00A74326">
        <w:t>United Kingdom</w:t>
      </w:r>
      <w:r w:rsidRPr="006B3D1C">
        <w:t>)</w:t>
      </w:r>
      <w:r w:rsidRPr="000B2F3F">
        <w:t xml:space="preserve"> </w:t>
      </w:r>
    </w:p>
    <w:p w14:paraId="6C865394" w14:textId="7737F751" w:rsidR="000B2F3F" w:rsidRPr="006B3D1C" w:rsidRDefault="000B2F3F" w:rsidP="00CB09D3">
      <w:pPr>
        <w:pStyle w:val="SingleTxtG"/>
        <w:keepNext/>
        <w:keepLines/>
        <w:tabs>
          <w:tab w:val="left" w:pos="5954"/>
        </w:tabs>
        <w:spacing w:after="0"/>
        <w:ind w:left="3119" w:hanging="1985"/>
        <w:jc w:val="left"/>
      </w:pPr>
      <w:r>
        <w:tab/>
      </w:r>
      <w:r w:rsidRPr="006B3D1C">
        <w:t>INF.11 (United Kingdom)</w:t>
      </w:r>
    </w:p>
    <w:p w14:paraId="78413AE4" w14:textId="3917C9CD" w:rsidR="000B2F3F" w:rsidRPr="006B3D1C" w:rsidRDefault="007A3678" w:rsidP="00CB09D3">
      <w:pPr>
        <w:pStyle w:val="SingleTxtG"/>
        <w:tabs>
          <w:tab w:val="left" w:pos="5954"/>
        </w:tabs>
        <w:spacing w:after="0"/>
        <w:ind w:left="3119" w:hanging="1985"/>
        <w:jc w:val="left"/>
      </w:pPr>
      <w:r>
        <w:tab/>
      </w:r>
      <w:r w:rsidR="000B2F3F" w:rsidRPr="00F60C0F">
        <w:t>INF.</w:t>
      </w:r>
      <w:r w:rsidR="000B2F3F">
        <w:t>12</w:t>
      </w:r>
      <w:r w:rsidR="000B2F3F" w:rsidRPr="00F60C0F">
        <w:t xml:space="preserve"> (</w:t>
      </w:r>
      <w:r w:rsidR="000B2F3F">
        <w:t>United Kingdom</w:t>
      </w:r>
      <w:r w:rsidR="000B2F3F" w:rsidRPr="00F60C0F">
        <w:t>)</w:t>
      </w:r>
      <w:r w:rsidR="000B2F3F" w:rsidRPr="000B2F3F">
        <w:t xml:space="preserve"> </w:t>
      </w:r>
    </w:p>
    <w:p w14:paraId="797D2CD8" w14:textId="60A587BA" w:rsidR="000B2F3F" w:rsidRPr="00F60C0F" w:rsidRDefault="008D3329" w:rsidP="00CB09D3">
      <w:pPr>
        <w:pStyle w:val="SingleTxtG"/>
        <w:tabs>
          <w:tab w:val="left" w:pos="5954"/>
        </w:tabs>
        <w:spacing w:after="0"/>
        <w:ind w:left="3119" w:hanging="1985"/>
        <w:jc w:val="left"/>
      </w:pPr>
      <w:r>
        <w:tab/>
      </w:r>
      <w:r w:rsidR="000B2F3F" w:rsidRPr="00F60C0F">
        <w:t>INF.</w:t>
      </w:r>
      <w:r w:rsidR="000B2F3F">
        <w:t>13</w:t>
      </w:r>
      <w:r w:rsidR="000B2F3F" w:rsidRPr="00F60C0F">
        <w:t xml:space="preserve"> (</w:t>
      </w:r>
      <w:r w:rsidR="000B2F3F">
        <w:t>United Kingdom</w:t>
      </w:r>
      <w:r w:rsidR="000B2F3F" w:rsidRPr="00F60C0F">
        <w:t>)</w:t>
      </w:r>
    </w:p>
    <w:p w14:paraId="522E4996" w14:textId="4954C4A2" w:rsidR="000B2F3F" w:rsidRDefault="008D3329" w:rsidP="00CB09D3">
      <w:pPr>
        <w:pStyle w:val="SingleTxtG"/>
        <w:tabs>
          <w:tab w:val="left" w:pos="5954"/>
        </w:tabs>
        <w:spacing w:after="0"/>
        <w:ind w:left="3119" w:hanging="1985"/>
        <w:jc w:val="left"/>
      </w:pPr>
      <w:r>
        <w:tab/>
      </w:r>
      <w:r w:rsidR="000B2F3F" w:rsidRPr="00F60C0F">
        <w:t>INF.1</w:t>
      </w:r>
      <w:r w:rsidR="000B2F3F">
        <w:t>4</w:t>
      </w:r>
      <w:r w:rsidR="000B2F3F" w:rsidRPr="00F60C0F">
        <w:t xml:space="preserve"> (</w:t>
      </w:r>
      <w:r w:rsidR="000B2F3F">
        <w:t>Netherlands</w:t>
      </w:r>
      <w:r w:rsidR="000B2F3F" w:rsidRPr="00F60C0F">
        <w:t>)</w:t>
      </w:r>
      <w:r w:rsidR="000B2F3F">
        <w:t xml:space="preserve"> </w:t>
      </w:r>
    </w:p>
    <w:p w14:paraId="54C9E7B7" w14:textId="5408616D" w:rsidR="000B2F3F" w:rsidRDefault="008D3329" w:rsidP="00CB09D3">
      <w:pPr>
        <w:pStyle w:val="SingleTxtG"/>
        <w:tabs>
          <w:tab w:val="left" w:pos="5954"/>
        </w:tabs>
        <w:spacing w:after="0"/>
        <w:ind w:left="3119" w:hanging="1985"/>
        <w:jc w:val="left"/>
      </w:pPr>
      <w:r>
        <w:tab/>
      </w:r>
      <w:r w:rsidR="000B2F3F">
        <w:t>INF.16 (UIP)</w:t>
      </w:r>
    </w:p>
    <w:p w14:paraId="60CB4AB8" w14:textId="608E85FC" w:rsidR="000B2F3F" w:rsidRDefault="008D3329" w:rsidP="00CB09D3">
      <w:pPr>
        <w:pStyle w:val="SingleTxtG"/>
        <w:tabs>
          <w:tab w:val="left" w:pos="5954"/>
        </w:tabs>
        <w:spacing w:after="0"/>
        <w:ind w:left="3119" w:hanging="1985"/>
        <w:jc w:val="left"/>
      </w:pPr>
      <w:r>
        <w:tab/>
      </w:r>
      <w:r w:rsidR="000B2F3F" w:rsidRPr="006B3D1C">
        <w:t>INF.</w:t>
      </w:r>
      <w:r w:rsidR="000B2F3F">
        <w:t>19</w:t>
      </w:r>
      <w:r w:rsidR="000B2F3F" w:rsidRPr="006B3D1C">
        <w:t xml:space="preserve"> (</w:t>
      </w:r>
      <w:r w:rsidR="000B2F3F">
        <w:t>Germany</w:t>
      </w:r>
      <w:r w:rsidR="007A3678">
        <w:t>)</w:t>
      </w:r>
    </w:p>
    <w:p w14:paraId="71FE5C9E" w14:textId="56B70A42" w:rsidR="000B2F3F" w:rsidRDefault="008D3329" w:rsidP="00CB09D3">
      <w:pPr>
        <w:pStyle w:val="SingleTxtG"/>
        <w:tabs>
          <w:tab w:val="left" w:pos="5954"/>
        </w:tabs>
        <w:spacing w:after="0"/>
        <w:ind w:left="3119" w:hanging="1985"/>
        <w:jc w:val="left"/>
      </w:pPr>
      <w:r>
        <w:tab/>
      </w:r>
      <w:r w:rsidR="000B2F3F" w:rsidRPr="00695EE9">
        <w:t>I</w:t>
      </w:r>
      <w:r w:rsidR="000B2F3F">
        <w:t>NF.21 (Netherlands)</w:t>
      </w:r>
    </w:p>
    <w:p w14:paraId="46340931" w14:textId="47116D87" w:rsidR="000B2F3F" w:rsidRDefault="008D3329" w:rsidP="00CB09D3">
      <w:pPr>
        <w:pStyle w:val="SingleTxtG"/>
        <w:tabs>
          <w:tab w:val="left" w:pos="5954"/>
        </w:tabs>
        <w:spacing w:after="0"/>
        <w:ind w:left="3119" w:hanging="1985"/>
        <w:jc w:val="left"/>
      </w:pPr>
      <w:r>
        <w:tab/>
      </w:r>
      <w:r w:rsidR="000B2F3F">
        <w:t xml:space="preserve">INF.25 (European </w:t>
      </w:r>
      <w:r w:rsidR="00A74326">
        <w:t>Commission</w:t>
      </w:r>
      <w:r w:rsidR="000B2F3F">
        <w:t>)</w:t>
      </w:r>
    </w:p>
    <w:p w14:paraId="555176F0" w14:textId="02A3AEEF" w:rsidR="000B2F3F" w:rsidRPr="000D2983" w:rsidRDefault="008D3329" w:rsidP="00CB09D3">
      <w:pPr>
        <w:pStyle w:val="SingleTxtG"/>
        <w:tabs>
          <w:tab w:val="left" w:pos="5954"/>
        </w:tabs>
        <w:spacing w:after="240"/>
        <w:ind w:left="3119" w:hanging="1985"/>
        <w:jc w:val="left"/>
        <w:rPr>
          <w:strike/>
        </w:rPr>
      </w:pPr>
      <w:r>
        <w:tab/>
      </w:r>
      <w:r w:rsidR="000B2F3F">
        <w:t>INF.29 (United Kingdom)</w:t>
      </w:r>
    </w:p>
    <w:p w14:paraId="68D76F33" w14:textId="50375259" w:rsidR="000B2F3F" w:rsidRPr="006A092C" w:rsidRDefault="00B84083" w:rsidP="000B2F3F">
      <w:pPr>
        <w:pStyle w:val="SingleTxtG"/>
        <w:spacing w:after="0"/>
      </w:pPr>
      <w:r>
        <w:t>3.</w:t>
      </w:r>
      <w:r>
        <w:tab/>
      </w:r>
      <w:r w:rsidR="000B2F3F" w:rsidRPr="007A3678">
        <w:t xml:space="preserve">Due to time constraints </w:t>
      </w:r>
      <w:r w:rsidR="007A3678">
        <w:t>informal documents INF</w:t>
      </w:r>
      <w:r w:rsidR="00BA385F">
        <w:t>.</w:t>
      </w:r>
      <w:r w:rsidR="007A3678">
        <w:t xml:space="preserve">30 and INF.31 (United Kingdom) </w:t>
      </w:r>
      <w:r w:rsidR="000B2F3F" w:rsidRPr="007A3678">
        <w:t>could not be discussed</w:t>
      </w:r>
      <w:r w:rsidR="007A3678">
        <w:t xml:space="preserve">. </w:t>
      </w:r>
      <w:r w:rsidR="000B2F3F">
        <w:t xml:space="preserve">The Working Group on Tanks </w:t>
      </w:r>
      <w:r w:rsidR="007A3678">
        <w:t xml:space="preserve">noted </w:t>
      </w:r>
      <w:r w:rsidR="000B2F3F">
        <w:t xml:space="preserve">that </w:t>
      </w:r>
      <w:r w:rsidR="007A3678">
        <w:t xml:space="preserve">document </w:t>
      </w:r>
      <w:r w:rsidR="007A3678" w:rsidRPr="00F60C0F">
        <w:t>ECE/TRANS/WP.15/AC.1/</w:t>
      </w:r>
      <w:r w:rsidR="000B2F3F">
        <w:t xml:space="preserve">2019/2 </w:t>
      </w:r>
      <w:r w:rsidR="007A3678">
        <w:t xml:space="preserve">would be discussed by </w:t>
      </w:r>
      <w:r w:rsidR="000B2F3F">
        <w:t xml:space="preserve">the </w:t>
      </w:r>
      <w:r w:rsidR="007A3678">
        <w:t xml:space="preserve">Working Group on Standards before being considered </w:t>
      </w:r>
      <w:r w:rsidR="000B2F3F">
        <w:t>in plenary.</w:t>
      </w:r>
    </w:p>
    <w:p w14:paraId="2BD1ED9E" w14:textId="4C8D893B" w:rsidR="007A3678" w:rsidRDefault="007A3678" w:rsidP="007A3678">
      <w:pPr>
        <w:pStyle w:val="H23G"/>
      </w:pPr>
      <w:r>
        <w:tab/>
      </w:r>
      <w:r w:rsidR="000B2F3F">
        <w:t xml:space="preserve">Item 1: </w:t>
      </w:r>
      <w:r>
        <w:tab/>
      </w:r>
      <w:r w:rsidR="000B2F3F" w:rsidRPr="00A24CAF">
        <w:t>Amendment to the text of 6.8.2.5.1 of ADR</w:t>
      </w:r>
      <w:r w:rsidR="000B2F3F">
        <w:t xml:space="preserve"> </w:t>
      </w:r>
    </w:p>
    <w:p w14:paraId="2F958411" w14:textId="7BA2BD8F" w:rsidR="007A3678" w:rsidRDefault="007A3678" w:rsidP="00CB09D3">
      <w:pPr>
        <w:pStyle w:val="SingleTxtG"/>
        <w:tabs>
          <w:tab w:val="left" w:pos="3119"/>
        </w:tabs>
        <w:rPr>
          <w:highlight w:val="yellow"/>
        </w:rPr>
      </w:pPr>
      <w:r w:rsidRPr="00F60C0F">
        <w:rPr>
          <w:i/>
        </w:rPr>
        <w:t>Document</w:t>
      </w:r>
      <w:r w:rsidRPr="00F60C0F">
        <w:t>:</w:t>
      </w:r>
      <w:r w:rsidRPr="00F60C0F">
        <w:tab/>
        <w:t>ECE/TRANS/WP.15/AC.1/201</w:t>
      </w:r>
      <w:r>
        <w:t>9</w:t>
      </w:r>
      <w:r w:rsidRPr="00F60C0F">
        <w:t>/</w:t>
      </w:r>
      <w:r>
        <w:t xml:space="preserve">1 </w:t>
      </w:r>
      <w:r w:rsidRPr="00F60C0F">
        <w:t>(</w:t>
      </w:r>
      <w:r>
        <w:t>Belarus</w:t>
      </w:r>
      <w:r w:rsidRPr="00F60C0F">
        <w:t>)</w:t>
      </w:r>
      <w:r w:rsidRPr="00530C3E">
        <w:rPr>
          <w:highlight w:val="yellow"/>
        </w:rPr>
        <w:t xml:space="preserve"> </w:t>
      </w:r>
    </w:p>
    <w:p w14:paraId="15F84676" w14:textId="77777777" w:rsidR="000B2F3F" w:rsidRPr="00A24CAF" w:rsidRDefault="007A3678" w:rsidP="00CB09D3">
      <w:pPr>
        <w:pStyle w:val="SingleTxtG"/>
        <w:tabs>
          <w:tab w:val="left" w:pos="3119"/>
        </w:tabs>
      </w:pPr>
      <w:r w:rsidRPr="00CB09D3">
        <w:rPr>
          <w:i/>
          <w:iCs/>
        </w:rPr>
        <w:t>Informal document</w:t>
      </w:r>
      <w:r>
        <w:t xml:space="preserve">: </w:t>
      </w:r>
      <w:r>
        <w:tab/>
        <w:t>INF.29 (United Kingdom)</w:t>
      </w:r>
    </w:p>
    <w:p w14:paraId="70B3DEE0" w14:textId="730BD846" w:rsidR="000B2F3F" w:rsidRDefault="00B84083" w:rsidP="00CB09D3">
      <w:pPr>
        <w:pStyle w:val="SingleTxtG"/>
      </w:pPr>
      <w:r>
        <w:t>4</w:t>
      </w:r>
      <w:r w:rsidR="000B2F3F">
        <w:t>.</w:t>
      </w:r>
      <w:r w:rsidR="000B2F3F">
        <w:tab/>
        <w:t xml:space="preserve">The proposal to amend 6.8.2.5.1 by replacing the term “test” by “inspection” was widely supported and adopted. It was said that periodic inspection and intermediate inspection contained several elements among others one or more tests and that the date was only applied when all elements of the inspection were completed with positive results. </w:t>
      </w:r>
    </w:p>
    <w:p w14:paraId="3F7A388D" w14:textId="2874F76F" w:rsidR="007A3678" w:rsidRDefault="008D3329" w:rsidP="00CB09D3">
      <w:pPr>
        <w:pStyle w:val="H23G"/>
      </w:pPr>
      <w:r>
        <w:tab/>
      </w:r>
      <w:r>
        <w:tab/>
      </w:r>
      <w:r w:rsidR="000B2F3F" w:rsidRPr="002400DA">
        <w:t xml:space="preserve">Proposal </w:t>
      </w:r>
      <w:r w:rsidR="000B2F3F">
        <w:t>1</w:t>
      </w:r>
      <w:r w:rsidR="000B2F3F" w:rsidRPr="002400DA">
        <w:t>:</w:t>
      </w:r>
    </w:p>
    <w:p w14:paraId="4ED858C1" w14:textId="1C59711B" w:rsidR="000B2F3F" w:rsidRPr="008B41A7" w:rsidRDefault="00B84083" w:rsidP="00707A43">
      <w:pPr>
        <w:pStyle w:val="SingleTxtG"/>
      </w:pPr>
      <w:r>
        <w:t>6.8.2.5.1</w:t>
      </w:r>
      <w:r>
        <w:tab/>
      </w:r>
      <w:r w:rsidR="000B2F3F" w:rsidRPr="00707A43">
        <w:t xml:space="preserve">Amend the </w:t>
      </w:r>
      <w:r w:rsidR="007A3678" w:rsidRPr="00707A43">
        <w:t xml:space="preserve">ninth </w:t>
      </w:r>
      <w:r w:rsidR="000B2F3F" w:rsidRPr="008B41A7">
        <w:t xml:space="preserve">indent of 6.8.2.5.1 </w:t>
      </w:r>
      <w:r w:rsidR="00707A43">
        <w:t>(</w:t>
      </w:r>
      <w:r w:rsidR="000B2F3F" w:rsidRPr="00707A43">
        <w:t>RID</w:t>
      </w:r>
      <w:r w:rsidR="00707A43">
        <w:t>/A</w:t>
      </w:r>
      <w:r w:rsidR="000B2F3F" w:rsidRPr="00707A43">
        <w:t>DR</w:t>
      </w:r>
      <w:r w:rsidR="00707A43">
        <w:t>)</w:t>
      </w:r>
      <w:r w:rsidR="000B2F3F" w:rsidRPr="00707A43">
        <w:t xml:space="preserve"> to read (new wording in </w:t>
      </w:r>
      <w:r w:rsidR="000B2F3F" w:rsidRPr="00CB09D3">
        <w:rPr>
          <w:i/>
          <w:iCs/>
          <w:u w:val="single"/>
        </w:rPr>
        <w:t>italics/underlined</w:t>
      </w:r>
      <w:r w:rsidR="000B2F3F" w:rsidRPr="00707A43">
        <w:t xml:space="preserve"> and deleted wording </w:t>
      </w:r>
      <w:r w:rsidR="000B2F3F" w:rsidRPr="00CB09D3">
        <w:rPr>
          <w:strike/>
        </w:rPr>
        <w:t>stricken through</w:t>
      </w:r>
      <w:r w:rsidR="000B2F3F" w:rsidRPr="00707A43">
        <w:t>)</w:t>
      </w:r>
      <w:r w:rsidR="007A3678" w:rsidRPr="00707A43">
        <w:t>:</w:t>
      </w:r>
    </w:p>
    <w:p w14:paraId="5CD1D4A7" w14:textId="77777777" w:rsidR="000B2F3F" w:rsidRPr="0019746E" w:rsidRDefault="000B2F3F" w:rsidP="00CB09D3">
      <w:pPr>
        <w:pStyle w:val="SingleTxtG"/>
        <w:ind w:left="2127" w:hanging="426"/>
      </w:pPr>
      <w:r>
        <w:t>“</w:t>
      </w:r>
      <w:r w:rsidRPr="0019746E">
        <w:t xml:space="preserve">- </w:t>
      </w:r>
      <w:r w:rsidR="008D3329">
        <w:tab/>
      </w:r>
      <w:r w:rsidRPr="0019746E">
        <w:t xml:space="preserve">date and type of the most recent </w:t>
      </w:r>
      <w:r w:rsidRPr="005D0619">
        <w:rPr>
          <w:strike/>
        </w:rPr>
        <w:t>test</w:t>
      </w:r>
      <w:r w:rsidRPr="005D0619">
        <w:t xml:space="preserve"> </w:t>
      </w:r>
      <w:r w:rsidRPr="001F01A6">
        <w:rPr>
          <w:i/>
          <w:u w:val="single"/>
        </w:rPr>
        <w:t>inspection</w:t>
      </w:r>
      <w:r w:rsidRPr="001F01A6">
        <w:rPr>
          <w:u w:val="single"/>
        </w:rPr>
        <w:t>:</w:t>
      </w:r>
      <w:r w:rsidRPr="0019746E">
        <w:t xml:space="preserve"> </w:t>
      </w:r>
      <w:r>
        <w:t>“</w:t>
      </w:r>
      <w:r w:rsidRPr="0019746E">
        <w:t>month, year</w:t>
      </w:r>
      <w:r>
        <w:t>”</w:t>
      </w:r>
      <w:r w:rsidRPr="0019746E">
        <w:t xml:space="preserve"> followed by a </w:t>
      </w:r>
      <w:r>
        <w:t>“</w:t>
      </w:r>
      <w:r w:rsidRPr="0019746E">
        <w:t>P</w:t>
      </w:r>
      <w:r>
        <w:t>”</w:t>
      </w:r>
      <w:r w:rsidRPr="0019746E">
        <w:t xml:space="preserve"> when the inspection is the initial</w:t>
      </w:r>
      <w:r>
        <w:t xml:space="preserve"> </w:t>
      </w:r>
      <w:r w:rsidRPr="005D0619">
        <w:rPr>
          <w:strike/>
        </w:rPr>
        <w:t>test</w:t>
      </w:r>
      <w:r w:rsidRPr="005D0619">
        <w:t xml:space="preserve"> </w:t>
      </w:r>
      <w:r w:rsidRPr="001F01A6">
        <w:rPr>
          <w:i/>
          <w:u w:val="single"/>
        </w:rPr>
        <w:t>inspection</w:t>
      </w:r>
      <w:r w:rsidRPr="0019746E">
        <w:t xml:space="preserve"> or a periodic </w:t>
      </w:r>
      <w:r w:rsidRPr="005D0619">
        <w:rPr>
          <w:strike/>
        </w:rPr>
        <w:t>test</w:t>
      </w:r>
      <w:r>
        <w:t xml:space="preserve"> </w:t>
      </w:r>
      <w:r w:rsidRPr="001F01A6">
        <w:rPr>
          <w:i/>
          <w:u w:val="single"/>
        </w:rPr>
        <w:t>inspection</w:t>
      </w:r>
      <w:r w:rsidRPr="0019746E">
        <w:t xml:space="preserve"> in accordance with 6.8.2.4.1 and 6.8.2.4.2, or </w:t>
      </w:r>
      <w:r>
        <w:t>“</w:t>
      </w:r>
      <w:r w:rsidRPr="0019746E">
        <w:t>month, year</w:t>
      </w:r>
      <w:r>
        <w:t>”</w:t>
      </w:r>
      <w:r w:rsidRPr="0019746E">
        <w:t xml:space="preserve"> followed by an </w:t>
      </w:r>
      <w:r>
        <w:t>“</w:t>
      </w:r>
      <w:r w:rsidRPr="0019746E">
        <w:t>L</w:t>
      </w:r>
      <w:r>
        <w:t>”</w:t>
      </w:r>
      <w:r w:rsidRPr="0019746E">
        <w:t xml:space="preserve"> when the </w:t>
      </w:r>
      <w:r w:rsidRPr="005D0619">
        <w:rPr>
          <w:strike/>
        </w:rPr>
        <w:t>test</w:t>
      </w:r>
      <w:r w:rsidRPr="005D0619">
        <w:t xml:space="preserve"> </w:t>
      </w:r>
      <w:r w:rsidRPr="001F01A6">
        <w:rPr>
          <w:i/>
          <w:u w:val="single"/>
        </w:rPr>
        <w:t>inspection</w:t>
      </w:r>
      <w:r w:rsidRPr="0019746E">
        <w:t xml:space="preserve"> is an intermediate </w:t>
      </w:r>
      <w:r w:rsidRPr="005D0619">
        <w:rPr>
          <w:strike/>
        </w:rPr>
        <w:t>test</w:t>
      </w:r>
      <w:r>
        <w:t xml:space="preserve"> </w:t>
      </w:r>
      <w:r w:rsidRPr="001F01A6">
        <w:rPr>
          <w:i/>
          <w:u w:val="single"/>
        </w:rPr>
        <w:t>inspection</w:t>
      </w:r>
      <w:r w:rsidRPr="0019746E">
        <w:t xml:space="preserve"> in accordance with 6.8.2.4.3;</w:t>
      </w:r>
      <w:r>
        <w:t>”</w:t>
      </w:r>
      <w:r w:rsidR="00707A43">
        <w:t>.</w:t>
      </w:r>
    </w:p>
    <w:p w14:paraId="78D80420" w14:textId="5B481245" w:rsidR="000B2F3F" w:rsidRDefault="00B84083" w:rsidP="00CB09D3">
      <w:pPr>
        <w:pStyle w:val="SingleTxtG"/>
      </w:pPr>
      <w:r>
        <w:t>5</w:t>
      </w:r>
      <w:r w:rsidR="000B2F3F">
        <w:t>.</w:t>
      </w:r>
      <w:r w:rsidR="000B2F3F">
        <w:tab/>
        <w:t xml:space="preserve">The consequential amendments in informal document INF.29 were </w:t>
      </w:r>
      <w:r w:rsidR="007A3678">
        <w:t>adopted</w:t>
      </w:r>
      <w:r w:rsidR="000B2F3F">
        <w:t>. However</w:t>
      </w:r>
      <w:r w:rsidR="002F4C45">
        <w:t>,</w:t>
      </w:r>
      <w:r w:rsidR="000B2F3F">
        <w:t xml:space="preserve"> it was decided that “inspection” in the </w:t>
      </w:r>
      <w:r w:rsidR="007A3678">
        <w:t xml:space="preserve">tenth </w:t>
      </w:r>
      <w:r w:rsidR="000B2F3F">
        <w:t>indent of 6.8.2.5.</w:t>
      </w:r>
      <w:r w:rsidR="00BA385F">
        <w:t>1</w:t>
      </w:r>
      <w:r w:rsidR="000B2F3F">
        <w:t xml:space="preserve"> and the </w:t>
      </w:r>
      <w:r w:rsidR="007A3678">
        <w:t xml:space="preserve">eighth </w:t>
      </w:r>
      <w:r w:rsidR="000B2F3F">
        <w:t>indent of 6.8.3.5.10 should be singular as each entry of a date would be done by one expert or one inspection body. It was also agreed that in 6.8.4 (d) TT6 the wording could be further simplified.</w:t>
      </w:r>
    </w:p>
    <w:p w14:paraId="12232A53" w14:textId="1B60C80B" w:rsidR="008D3329" w:rsidRDefault="008D3329" w:rsidP="00CB09D3">
      <w:pPr>
        <w:pStyle w:val="H23G"/>
      </w:pPr>
      <w:r>
        <w:tab/>
      </w:r>
      <w:r>
        <w:tab/>
      </w:r>
      <w:r w:rsidR="000B2F3F" w:rsidRPr="002400DA">
        <w:t xml:space="preserve">Proposal </w:t>
      </w:r>
      <w:r w:rsidR="000B2F3F">
        <w:t>2</w:t>
      </w:r>
      <w:r w:rsidR="00B84083">
        <w:t>:</w:t>
      </w:r>
    </w:p>
    <w:p w14:paraId="6A1B7ECD" w14:textId="43042EE6" w:rsidR="000B2F3F" w:rsidRPr="00CB09D3" w:rsidRDefault="000B2F3F" w:rsidP="007B0054">
      <w:pPr>
        <w:pStyle w:val="SingleTxtG"/>
      </w:pPr>
      <w:r w:rsidRPr="00CB09D3">
        <w:t xml:space="preserve">Amend the following </w:t>
      </w:r>
      <w:r w:rsidRPr="00707A43">
        <w:t xml:space="preserve">paragraphs </w:t>
      </w:r>
      <w:r w:rsidRPr="008B41A7">
        <w:t xml:space="preserve">(new wording in </w:t>
      </w:r>
      <w:r w:rsidRPr="00CB09D3">
        <w:rPr>
          <w:i/>
          <w:iCs/>
          <w:u w:val="single"/>
        </w:rPr>
        <w:t>italics/underlined</w:t>
      </w:r>
      <w:r w:rsidRPr="00707A43">
        <w:t xml:space="preserve"> and deleted wording </w:t>
      </w:r>
      <w:r w:rsidRPr="00CB09D3">
        <w:rPr>
          <w:strike/>
        </w:rPr>
        <w:t>stricken through</w:t>
      </w:r>
      <w:r w:rsidRPr="00707A43">
        <w:t>):</w:t>
      </w:r>
    </w:p>
    <w:p w14:paraId="3BDC77B5" w14:textId="3D04DB8D" w:rsidR="00707A43" w:rsidRPr="00707A43" w:rsidRDefault="000B2F3F" w:rsidP="00707A43">
      <w:pPr>
        <w:pStyle w:val="SingleTxtG"/>
      </w:pPr>
      <w:r w:rsidRPr="00707A43">
        <w:lastRenderedPageBreak/>
        <w:t>6.8.2.5.1</w:t>
      </w:r>
      <w:r w:rsidR="00707A43">
        <w:t xml:space="preserve"> </w:t>
      </w:r>
      <w:r w:rsidR="00707A43" w:rsidRPr="00707A43">
        <w:t>(RID</w:t>
      </w:r>
      <w:r w:rsidR="00707A43">
        <w:t>/</w:t>
      </w:r>
      <w:r w:rsidR="00707A43" w:rsidRPr="00707A43">
        <w:t>ADR)</w:t>
      </w:r>
      <w:r w:rsidR="00707A43">
        <w:t>, tenth</w:t>
      </w:r>
      <w:r w:rsidRPr="00707A43">
        <w:t xml:space="preserve"> indent</w:t>
      </w:r>
      <w:r w:rsidR="00707A43">
        <w:t>:</w:t>
      </w:r>
    </w:p>
    <w:p w14:paraId="13E9308D" w14:textId="77777777" w:rsidR="000B2F3F" w:rsidRDefault="00707A43" w:rsidP="007B0054">
      <w:pPr>
        <w:pStyle w:val="SingleTxtG"/>
        <w:tabs>
          <w:tab w:val="left" w:pos="2268"/>
          <w:tab w:val="left" w:pos="3261"/>
        </w:tabs>
        <w:ind w:left="1701"/>
        <w:rPr>
          <w:lang w:eastAsia="ru-RU"/>
        </w:rPr>
      </w:pPr>
      <w:r>
        <w:rPr>
          <w:lang w:eastAsia="ru-RU"/>
        </w:rPr>
        <w:t>“-</w:t>
      </w:r>
      <w:r>
        <w:rPr>
          <w:lang w:eastAsia="ru-RU"/>
        </w:rPr>
        <w:tab/>
      </w:r>
      <w:r w:rsidR="000B2F3F">
        <w:rPr>
          <w:lang w:eastAsia="ru-RU"/>
        </w:rPr>
        <w:t>s</w:t>
      </w:r>
      <w:r w:rsidR="000B2F3F" w:rsidRPr="00622441">
        <w:rPr>
          <w:lang w:eastAsia="ru-RU"/>
        </w:rPr>
        <w:t xml:space="preserve">tamp of the expert who carried out the </w:t>
      </w:r>
      <w:r w:rsidR="000B2F3F" w:rsidRPr="00082628">
        <w:rPr>
          <w:strike/>
          <w:lang w:eastAsia="ru-RU"/>
        </w:rPr>
        <w:t>tests</w:t>
      </w:r>
      <w:r w:rsidR="000B2F3F" w:rsidRPr="00622441">
        <w:rPr>
          <w:b/>
          <w:lang w:eastAsia="ru-RU"/>
        </w:rPr>
        <w:t xml:space="preserve"> </w:t>
      </w:r>
      <w:r w:rsidR="000B2F3F" w:rsidRPr="001F01A6">
        <w:rPr>
          <w:i/>
          <w:u w:val="single"/>
          <w:lang w:eastAsia="ru-RU"/>
        </w:rPr>
        <w:t>inspection</w:t>
      </w:r>
      <w:r w:rsidR="000B2F3F" w:rsidRPr="00622441">
        <w:rPr>
          <w:lang w:eastAsia="ru-RU"/>
        </w:rPr>
        <w:t>”.</w:t>
      </w:r>
    </w:p>
    <w:p w14:paraId="73F843DF" w14:textId="622BBBE2" w:rsidR="000B2F3F" w:rsidRPr="00707A43" w:rsidRDefault="000B2F3F" w:rsidP="00BA385F">
      <w:pPr>
        <w:pStyle w:val="SingleTxtG"/>
      </w:pPr>
      <w:r w:rsidRPr="00707A43">
        <w:t>6.8.3.5.10</w:t>
      </w:r>
      <w:r w:rsidR="00707A43">
        <w:t xml:space="preserve"> </w:t>
      </w:r>
      <w:r w:rsidR="00707A43" w:rsidRPr="00707A43">
        <w:t>(RID/ADR)</w:t>
      </w:r>
      <w:r w:rsidR="00707A43">
        <w:t xml:space="preserve">, seventh </w:t>
      </w:r>
      <w:r w:rsidRPr="00707A43">
        <w:t xml:space="preserve">and </w:t>
      </w:r>
      <w:r w:rsidR="00707A43">
        <w:t>eighth</w:t>
      </w:r>
      <w:r w:rsidRPr="00707A43">
        <w:t xml:space="preserve"> indent</w:t>
      </w:r>
      <w:r w:rsidR="00707A43">
        <w:t>s:</w:t>
      </w:r>
    </w:p>
    <w:p w14:paraId="1650BA20" w14:textId="77777777" w:rsidR="000B2F3F" w:rsidRDefault="00707A43" w:rsidP="007B0054">
      <w:pPr>
        <w:pStyle w:val="SingleTxtG"/>
        <w:ind w:left="2268" w:hanging="567"/>
        <w:rPr>
          <w:lang w:eastAsia="ru-RU"/>
        </w:rPr>
      </w:pPr>
      <w:r>
        <w:rPr>
          <w:lang w:eastAsia="ru-RU"/>
        </w:rPr>
        <w:t xml:space="preserve">“- </w:t>
      </w:r>
      <w:r>
        <w:rPr>
          <w:lang w:eastAsia="ru-RU"/>
        </w:rPr>
        <w:tab/>
      </w:r>
      <w:r w:rsidR="000B2F3F" w:rsidRPr="00FC7FF5">
        <w:rPr>
          <w:lang w:eastAsia="ru-RU"/>
        </w:rPr>
        <w:t xml:space="preserve">date (month and year) of initial </w:t>
      </w:r>
      <w:r w:rsidR="000B2F3F" w:rsidRPr="00082628">
        <w:rPr>
          <w:strike/>
          <w:lang w:eastAsia="ru-RU"/>
        </w:rPr>
        <w:t>test</w:t>
      </w:r>
      <w:r w:rsidR="000B2F3F" w:rsidRPr="00ED28F5">
        <w:rPr>
          <w:b/>
          <w:lang w:eastAsia="ru-RU"/>
        </w:rPr>
        <w:t xml:space="preserve"> </w:t>
      </w:r>
      <w:r w:rsidR="000B2F3F" w:rsidRPr="001F01A6">
        <w:rPr>
          <w:i/>
          <w:u w:val="single"/>
          <w:lang w:eastAsia="ru-RU"/>
        </w:rPr>
        <w:t>inspection</w:t>
      </w:r>
      <w:r w:rsidR="000B2F3F" w:rsidRPr="00FC7FF5">
        <w:rPr>
          <w:lang w:eastAsia="ru-RU"/>
        </w:rPr>
        <w:t xml:space="preserve"> and most recent periodic </w:t>
      </w:r>
      <w:r w:rsidR="000B2F3F" w:rsidRPr="00082628">
        <w:rPr>
          <w:strike/>
          <w:lang w:eastAsia="ru-RU"/>
        </w:rPr>
        <w:t>test</w:t>
      </w:r>
      <w:r w:rsidR="000B2F3F" w:rsidRPr="00FC7FF5">
        <w:rPr>
          <w:lang w:eastAsia="ru-RU"/>
        </w:rPr>
        <w:t xml:space="preserve"> </w:t>
      </w:r>
      <w:r w:rsidR="000B2F3F" w:rsidRPr="00A729A2">
        <w:rPr>
          <w:i/>
          <w:lang w:eastAsia="ru-RU"/>
        </w:rPr>
        <w:t>inspection</w:t>
      </w:r>
      <w:r w:rsidR="000B2F3F" w:rsidRPr="00FC7FF5">
        <w:rPr>
          <w:lang w:eastAsia="ru-RU"/>
        </w:rPr>
        <w:t xml:space="preserve"> in accordance with 6.8.3.4.12 and 6.8.3.4.15)</w:t>
      </w:r>
      <w:r>
        <w:rPr>
          <w:lang w:eastAsia="ru-RU"/>
        </w:rPr>
        <w:t>”.</w:t>
      </w:r>
    </w:p>
    <w:p w14:paraId="320117B2" w14:textId="77777777" w:rsidR="000B2F3F" w:rsidRDefault="00707A43" w:rsidP="007B0054">
      <w:pPr>
        <w:pStyle w:val="SingleTxtG"/>
        <w:tabs>
          <w:tab w:val="left" w:pos="2552"/>
        </w:tabs>
        <w:ind w:left="2268" w:hanging="567"/>
        <w:rPr>
          <w:lang w:eastAsia="ru-RU"/>
        </w:rPr>
      </w:pPr>
      <w:r>
        <w:rPr>
          <w:lang w:eastAsia="ru-RU"/>
        </w:rPr>
        <w:t>“-</w:t>
      </w:r>
      <w:r>
        <w:rPr>
          <w:lang w:eastAsia="ru-RU"/>
        </w:rPr>
        <w:tab/>
      </w:r>
      <w:r w:rsidR="000B2F3F">
        <w:rPr>
          <w:lang w:eastAsia="ru-RU"/>
        </w:rPr>
        <w:t xml:space="preserve">stamp of the expert who carried out the </w:t>
      </w:r>
      <w:r w:rsidR="000B2F3F" w:rsidRPr="00082628">
        <w:rPr>
          <w:strike/>
          <w:lang w:eastAsia="ru-RU"/>
        </w:rPr>
        <w:t>tests</w:t>
      </w:r>
      <w:r w:rsidR="000B2F3F" w:rsidRPr="00ED28F5">
        <w:rPr>
          <w:b/>
          <w:lang w:eastAsia="ru-RU"/>
        </w:rPr>
        <w:t xml:space="preserve"> </w:t>
      </w:r>
      <w:r w:rsidR="000B2F3F" w:rsidRPr="001F01A6">
        <w:rPr>
          <w:i/>
          <w:u w:val="single"/>
          <w:lang w:eastAsia="ru-RU"/>
        </w:rPr>
        <w:t>inspection</w:t>
      </w:r>
      <w:r w:rsidR="000B2F3F">
        <w:rPr>
          <w:lang w:eastAsia="ru-RU"/>
        </w:rPr>
        <w:t>.</w:t>
      </w:r>
      <w:r w:rsidR="000B2F3F" w:rsidRPr="00FC7FF5">
        <w:rPr>
          <w:lang w:eastAsia="ru-RU"/>
        </w:rPr>
        <w:t>”</w:t>
      </w:r>
      <w:r>
        <w:rPr>
          <w:lang w:eastAsia="ru-RU"/>
        </w:rPr>
        <w:t>.</w:t>
      </w:r>
    </w:p>
    <w:p w14:paraId="6EF6D8BC" w14:textId="0BCBB4C3" w:rsidR="000B2F3F" w:rsidRPr="00707A43" w:rsidRDefault="000B2F3F" w:rsidP="00BA385F">
      <w:pPr>
        <w:pStyle w:val="SingleTxtG"/>
        <w:keepNext/>
        <w:keepLines/>
      </w:pPr>
      <w:r w:rsidRPr="00707A43">
        <w:t>6.8.3.5.11</w:t>
      </w:r>
      <w:r w:rsidR="00707A43">
        <w:t xml:space="preserve"> </w:t>
      </w:r>
      <w:r w:rsidR="00707A43" w:rsidRPr="00707A43">
        <w:t>(RID only)</w:t>
      </w:r>
      <w:r w:rsidR="00707A43">
        <w:t xml:space="preserve">, </w:t>
      </w:r>
      <w:r w:rsidRPr="00707A43">
        <w:t>last indent</w:t>
      </w:r>
      <w:r w:rsidR="00BA385F">
        <w:t xml:space="preserve"> in the left-hand column</w:t>
      </w:r>
      <w:r w:rsidR="00707A43">
        <w:t>:</w:t>
      </w:r>
    </w:p>
    <w:p w14:paraId="0EE592AB" w14:textId="4FF417FA" w:rsidR="000B2F3F" w:rsidRDefault="00707A43" w:rsidP="007B0054">
      <w:pPr>
        <w:pStyle w:val="SingleTxtG"/>
        <w:ind w:left="2268" w:hanging="567"/>
        <w:rPr>
          <w:lang w:eastAsia="ru-RU"/>
        </w:rPr>
      </w:pPr>
      <w:r>
        <w:rPr>
          <w:lang w:eastAsia="ru-RU"/>
        </w:rPr>
        <w:t>“</w:t>
      </w:r>
      <w:r w:rsidR="000B2F3F">
        <w:rPr>
          <w:lang w:eastAsia="ru-RU"/>
        </w:rPr>
        <w:t>-</w:t>
      </w:r>
      <w:r w:rsidR="000B2F3F">
        <w:rPr>
          <w:lang w:eastAsia="ru-RU"/>
        </w:rPr>
        <w:tab/>
        <w:t xml:space="preserve">the date (month, year) of the next </w:t>
      </w:r>
      <w:r w:rsidR="000B2F3F" w:rsidRPr="00082628">
        <w:rPr>
          <w:strike/>
          <w:lang w:eastAsia="ru-RU"/>
        </w:rPr>
        <w:t>test</w:t>
      </w:r>
      <w:r w:rsidR="000B2F3F">
        <w:rPr>
          <w:lang w:eastAsia="ru-RU"/>
        </w:rPr>
        <w:t xml:space="preserve"> </w:t>
      </w:r>
      <w:r w:rsidR="000B2F3F" w:rsidRPr="001F01A6">
        <w:rPr>
          <w:i/>
          <w:u w:val="single"/>
          <w:lang w:eastAsia="ru-RU"/>
        </w:rPr>
        <w:t>inspection</w:t>
      </w:r>
      <w:r w:rsidR="000B2F3F">
        <w:rPr>
          <w:lang w:eastAsia="ru-RU"/>
        </w:rPr>
        <w:t xml:space="preserve"> </w:t>
      </w:r>
      <w:r w:rsidR="000B2F3F" w:rsidRPr="00053F4D">
        <w:rPr>
          <w:lang w:eastAsia="ru-RU"/>
        </w:rPr>
        <w:t>in</w:t>
      </w:r>
      <w:r w:rsidR="000B2F3F">
        <w:rPr>
          <w:lang w:eastAsia="ru-RU"/>
        </w:rPr>
        <w:t xml:space="preserve"> accordance with 6.8.2.4.3 and 6.8.3.4.15.”</w:t>
      </w:r>
      <w:r>
        <w:rPr>
          <w:lang w:eastAsia="ru-RU"/>
        </w:rPr>
        <w:t>.</w:t>
      </w:r>
    </w:p>
    <w:p w14:paraId="18387307" w14:textId="371B7558" w:rsidR="000B2F3F" w:rsidRDefault="000B2F3F" w:rsidP="00CB09D3">
      <w:pPr>
        <w:pStyle w:val="SingleTxtG"/>
      </w:pPr>
      <w:r w:rsidRPr="00CB09D3">
        <w:t xml:space="preserve">6.8.4 </w:t>
      </w:r>
      <w:r w:rsidR="00BA385F">
        <w:t xml:space="preserve">(d) </w:t>
      </w:r>
      <w:r w:rsidRPr="00CB09D3">
        <w:t>(RID</w:t>
      </w:r>
      <w:r w:rsidR="00707A43">
        <w:t>/</w:t>
      </w:r>
      <w:r w:rsidRPr="00CB09D3">
        <w:t>ADR)</w:t>
      </w:r>
    </w:p>
    <w:p w14:paraId="33718FFB" w14:textId="555C6BF5" w:rsidR="00BA385F" w:rsidRPr="00CB09D3" w:rsidRDefault="00BA385F" w:rsidP="00CB09D3">
      <w:pPr>
        <w:pStyle w:val="SingleTxtG"/>
      </w:pPr>
      <w:r>
        <w:tab/>
      </w:r>
      <w:r w:rsidRPr="00BA385F">
        <w:rPr>
          <w:b/>
          <w:bCs/>
        </w:rPr>
        <w:t>TT6</w:t>
      </w:r>
      <w:r>
        <w:tab/>
        <w:t>Amend the text in the left-hand column to read:</w:t>
      </w:r>
    </w:p>
    <w:p w14:paraId="48A1A344" w14:textId="10643D34" w:rsidR="007A3678" w:rsidRDefault="007A3678" w:rsidP="00BA385F">
      <w:pPr>
        <w:pStyle w:val="SingleTxtG"/>
        <w:ind w:left="2835" w:hanging="567"/>
        <w:rPr>
          <w:lang w:eastAsia="ru-RU"/>
        </w:rPr>
      </w:pPr>
      <w:r>
        <w:rPr>
          <w:b/>
          <w:lang w:eastAsia="ru-RU"/>
        </w:rPr>
        <w:t>“</w:t>
      </w:r>
      <w:r w:rsidRPr="007B0054">
        <w:rPr>
          <w:bCs/>
          <w:lang w:eastAsia="ru-RU"/>
        </w:rPr>
        <w:t>TT6</w:t>
      </w:r>
      <w:r>
        <w:rPr>
          <w:b/>
          <w:lang w:eastAsia="ru-RU"/>
        </w:rPr>
        <w:tab/>
      </w:r>
      <w:proofErr w:type="gramStart"/>
      <w:r>
        <w:rPr>
          <w:lang w:eastAsia="ru-RU"/>
        </w:rPr>
        <w:t>The</w:t>
      </w:r>
      <w:proofErr w:type="gramEnd"/>
      <w:r>
        <w:rPr>
          <w:lang w:eastAsia="ru-RU"/>
        </w:rPr>
        <w:t xml:space="preserve"> periodic </w:t>
      </w:r>
      <w:r w:rsidRPr="00082628">
        <w:rPr>
          <w:strike/>
          <w:lang w:eastAsia="ru-RU"/>
        </w:rPr>
        <w:t>tests</w:t>
      </w:r>
      <w:r w:rsidRPr="00ED28F5">
        <w:rPr>
          <w:b/>
          <w:lang w:eastAsia="ru-RU"/>
        </w:rPr>
        <w:t xml:space="preserve"> </w:t>
      </w:r>
      <w:r w:rsidRPr="001F01A6">
        <w:rPr>
          <w:i/>
          <w:u w:val="single"/>
          <w:lang w:eastAsia="ru-RU"/>
        </w:rPr>
        <w:t>inspection</w:t>
      </w:r>
      <w:r w:rsidRPr="001C5C3E">
        <w:rPr>
          <w:strike/>
          <w:lang w:eastAsia="ru-RU"/>
        </w:rPr>
        <w:t xml:space="preserve">, including the hydraulic pressure test, </w:t>
      </w:r>
      <w:r>
        <w:rPr>
          <w:lang w:eastAsia="ru-RU"/>
        </w:rPr>
        <w:t>shall be carried out at least every 3 years.”</w:t>
      </w:r>
      <w:r w:rsidR="00707A43">
        <w:rPr>
          <w:lang w:eastAsia="ru-RU"/>
        </w:rPr>
        <w:t>.</w:t>
      </w:r>
    </w:p>
    <w:p w14:paraId="708CB8AC" w14:textId="5564696D" w:rsidR="00BA385F" w:rsidRPr="00BA385F" w:rsidRDefault="00BA385F" w:rsidP="00BA385F">
      <w:pPr>
        <w:pStyle w:val="SingleTxtG"/>
        <w:ind w:firstLine="567"/>
        <w:rPr>
          <w:bCs/>
          <w:lang w:eastAsia="ru-RU"/>
        </w:rPr>
      </w:pPr>
      <w:r>
        <w:rPr>
          <w:b/>
          <w:lang w:eastAsia="ru-RU"/>
        </w:rPr>
        <w:t>TT8</w:t>
      </w:r>
      <w:r>
        <w:rPr>
          <w:b/>
          <w:lang w:eastAsia="ru-RU"/>
        </w:rPr>
        <w:tab/>
      </w:r>
      <w:r w:rsidRPr="00BA385F">
        <w:rPr>
          <w:bCs/>
          <w:lang w:eastAsia="ru-RU"/>
        </w:rPr>
        <w:t>Amend the first paragraph to read:</w:t>
      </w:r>
    </w:p>
    <w:p w14:paraId="7C014BBB" w14:textId="082D6EAA" w:rsidR="007A3678" w:rsidRPr="001C5C3E" w:rsidRDefault="00707A43" w:rsidP="00BA385F">
      <w:pPr>
        <w:pStyle w:val="SingleTxtG"/>
        <w:ind w:left="2268"/>
        <w:rPr>
          <w:b/>
          <w:lang w:eastAsia="ru-RU"/>
        </w:rPr>
      </w:pPr>
      <w:r w:rsidRPr="00BA385F">
        <w:rPr>
          <w:bCs/>
          <w:lang w:eastAsia="ru-RU"/>
        </w:rPr>
        <w:t>“</w:t>
      </w:r>
      <w:r w:rsidR="007A3678" w:rsidRPr="00294C86">
        <w:rPr>
          <w:lang w:eastAsia="ru-RU"/>
        </w:rPr>
        <w:t>Tanks on which the proper shipping name required for the entry UN 1005 AMMONIA, ANHYDROUS is marked in accordance with 6.8.3.5.1 to 6.8.3.5.3 and constructed of fine</w:t>
      </w:r>
      <w:r w:rsidR="007B0054">
        <w:rPr>
          <w:lang w:eastAsia="ru-RU"/>
        </w:rPr>
        <w:t>-</w:t>
      </w:r>
      <w:r w:rsidR="007A3678" w:rsidRPr="00294C86">
        <w:rPr>
          <w:lang w:eastAsia="ru-RU"/>
        </w:rPr>
        <w:t>grained steel with a yield strength of more than 400 N/mm</w:t>
      </w:r>
      <w:r w:rsidR="007A3678" w:rsidRPr="00294C86">
        <w:rPr>
          <w:vertAlign w:val="superscript"/>
          <w:lang w:eastAsia="ru-RU"/>
        </w:rPr>
        <w:t>2</w:t>
      </w:r>
      <w:r w:rsidR="007A3678" w:rsidRPr="00294C86">
        <w:rPr>
          <w:lang w:eastAsia="ru-RU"/>
        </w:rPr>
        <w:t xml:space="preserve"> in accordance with the material standard, shall be subjected at each periodic </w:t>
      </w:r>
      <w:r w:rsidR="007A3678" w:rsidRPr="00082628">
        <w:rPr>
          <w:strike/>
          <w:lang w:eastAsia="ru-RU"/>
        </w:rPr>
        <w:t>test</w:t>
      </w:r>
      <w:r w:rsidR="007A3678" w:rsidRPr="00294C86">
        <w:rPr>
          <w:b/>
          <w:lang w:eastAsia="ru-RU"/>
        </w:rPr>
        <w:t xml:space="preserve"> </w:t>
      </w:r>
      <w:r w:rsidR="007A3678" w:rsidRPr="001F01A6">
        <w:rPr>
          <w:i/>
          <w:u w:val="single"/>
          <w:lang w:eastAsia="ru-RU"/>
        </w:rPr>
        <w:t>inspection</w:t>
      </w:r>
      <w:r w:rsidR="007A3678" w:rsidRPr="00294C86">
        <w:rPr>
          <w:lang w:eastAsia="ru-RU"/>
        </w:rPr>
        <w:t xml:space="preserve"> according to 6.8.2.4.2, to magnetic particle inspections to detect surface cracking.”</w:t>
      </w:r>
      <w:r>
        <w:rPr>
          <w:lang w:eastAsia="ru-RU"/>
        </w:rPr>
        <w:t>.</w:t>
      </w:r>
    </w:p>
    <w:p w14:paraId="58A1552E" w14:textId="77777777" w:rsidR="00BA385F" w:rsidRDefault="000B2F3F" w:rsidP="00CB09D3">
      <w:pPr>
        <w:pStyle w:val="SingleTxtG"/>
      </w:pPr>
      <w:r w:rsidRPr="00CB09D3">
        <w:t xml:space="preserve">6.10.4 </w:t>
      </w:r>
      <w:r w:rsidR="00BA385F">
        <w:tab/>
      </w:r>
      <w:r w:rsidR="00BA385F">
        <w:tab/>
        <w:t xml:space="preserve">Amend as follows: </w:t>
      </w:r>
    </w:p>
    <w:p w14:paraId="63BB3208" w14:textId="2F955EA6" w:rsidR="00BA385F" w:rsidRDefault="000B2F3F" w:rsidP="00BA385F">
      <w:pPr>
        <w:pStyle w:val="SingleTxtG"/>
        <w:ind w:left="1701" w:firstLine="567"/>
      </w:pPr>
      <w:r w:rsidRPr="00CB09D3">
        <w:t>(RID</w:t>
      </w:r>
      <w:r w:rsidR="00BA385F">
        <w:t>:)</w:t>
      </w:r>
    </w:p>
    <w:p w14:paraId="365680BB" w14:textId="5B889474" w:rsidR="00BA385F" w:rsidRPr="00E01D2B" w:rsidRDefault="00BA385F" w:rsidP="00BA385F">
      <w:pPr>
        <w:pStyle w:val="SingleTxtG"/>
        <w:ind w:left="2268"/>
        <w:rPr>
          <w:lang w:eastAsia="ru-RU"/>
        </w:rPr>
      </w:pPr>
      <w:r w:rsidRPr="00E01D2B">
        <w:rPr>
          <w:lang w:eastAsia="ru-RU"/>
        </w:rPr>
        <w:t>“Vacuum-operated waste tanks shall be subject at least every two and a half years for tank-containers and tank swap bodies to an examination of the internal condition, in addition to the</w:t>
      </w:r>
      <w:r w:rsidRPr="00E01D2B">
        <w:rPr>
          <w:b/>
          <w:lang w:eastAsia="ru-RU"/>
        </w:rPr>
        <w:t xml:space="preserve"> </w:t>
      </w:r>
      <w:r w:rsidRPr="00082628">
        <w:rPr>
          <w:strike/>
          <w:lang w:eastAsia="ru-RU"/>
        </w:rPr>
        <w:t>tests</w:t>
      </w:r>
      <w:r w:rsidRPr="00082628">
        <w:rPr>
          <w:lang w:eastAsia="ru-RU"/>
        </w:rPr>
        <w:t xml:space="preserve"> </w:t>
      </w:r>
      <w:r w:rsidRPr="001F01A6">
        <w:rPr>
          <w:i/>
          <w:u w:val="single"/>
          <w:lang w:eastAsia="ru-RU"/>
        </w:rPr>
        <w:t>inspection</w:t>
      </w:r>
      <w:r w:rsidRPr="00E01D2B">
        <w:rPr>
          <w:lang w:eastAsia="ru-RU"/>
        </w:rPr>
        <w:t xml:space="preserve"> according to 6.8.2.4.3”</w:t>
      </w:r>
      <w:r>
        <w:rPr>
          <w:lang w:eastAsia="ru-RU"/>
        </w:rPr>
        <w:t>.</w:t>
      </w:r>
    </w:p>
    <w:p w14:paraId="58C33194" w14:textId="566BB8F9" w:rsidR="000B2F3F" w:rsidRPr="00CB09D3" w:rsidRDefault="00BA385F" w:rsidP="00BA385F">
      <w:pPr>
        <w:pStyle w:val="SingleTxtG"/>
        <w:ind w:left="1701" w:firstLine="567"/>
      </w:pPr>
      <w:r>
        <w:t>(A</w:t>
      </w:r>
      <w:r w:rsidR="000B2F3F" w:rsidRPr="00CB09D3">
        <w:t>DR</w:t>
      </w:r>
      <w:r>
        <w:t>:</w:t>
      </w:r>
      <w:r w:rsidR="000B2F3F" w:rsidRPr="00CB09D3">
        <w:t>)</w:t>
      </w:r>
    </w:p>
    <w:p w14:paraId="5351E34A" w14:textId="77777777" w:rsidR="000B2F3F" w:rsidRPr="00E01D2B" w:rsidRDefault="000B2F3F" w:rsidP="00BA385F">
      <w:pPr>
        <w:pStyle w:val="SingleTxtG"/>
        <w:ind w:left="2268"/>
        <w:rPr>
          <w:lang w:eastAsia="ru-RU"/>
        </w:rPr>
      </w:pPr>
      <w:r w:rsidRPr="00E01D2B">
        <w:rPr>
          <w:lang w:eastAsia="ru-RU"/>
        </w:rPr>
        <w:t>“Vacuum-operated waste tanks shall be subject every three years for fixed tanks or demountable tanks and at least every two and a half years for tank-containers and tank swap bodies to an examination of the internal condition, in addition to the</w:t>
      </w:r>
      <w:r w:rsidRPr="00E01D2B">
        <w:rPr>
          <w:b/>
          <w:lang w:eastAsia="ru-RU"/>
        </w:rPr>
        <w:t xml:space="preserve"> </w:t>
      </w:r>
      <w:r w:rsidRPr="00082628">
        <w:rPr>
          <w:strike/>
          <w:lang w:eastAsia="ru-RU"/>
        </w:rPr>
        <w:t>tests</w:t>
      </w:r>
      <w:r w:rsidRPr="00082628">
        <w:rPr>
          <w:lang w:eastAsia="ru-RU"/>
        </w:rPr>
        <w:t xml:space="preserve"> </w:t>
      </w:r>
      <w:r w:rsidRPr="001F01A6">
        <w:rPr>
          <w:i/>
          <w:u w:val="single"/>
          <w:lang w:eastAsia="ru-RU"/>
        </w:rPr>
        <w:t>inspection</w:t>
      </w:r>
      <w:r w:rsidRPr="00E01D2B">
        <w:rPr>
          <w:lang w:eastAsia="ru-RU"/>
        </w:rPr>
        <w:t xml:space="preserve"> according to 6.8.2.4.3”</w:t>
      </w:r>
      <w:r w:rsidR="00707A43">
        <w:rPr>
          <w:lang w:eastAsia="ru-RU"/>
        </w:rPr>
        <w:t>.</w:t>
      </w:r>
    </w:p>
    <w:p w14:paraId="078976A3" w14:textId="30838967" w:rsidR="000B2F3F" w:rsidRPr="00082628" w:rsidRDefault="00B84083" w:rsidP="000B2F3F">
      <w:pPr>
        <w:pStyle w:val="SingleTxtG"/>
        <w:spacing w:before="120"/>
      </w:pPr>
      <w:r>
        <w:t>6</w:t>
      </w:r>
      <w:r w:rsidR="000B2F3F" w:rsidRPr="00CB09D3">
        <w:t>.</w:t>
      </w:r>
      <w:r w:rsidR="000B2F3F">
        <w:rPr>
          <w:b/>
        </w:rPr>
        <w:tab/>
      </w:r>
      <w:r w:rsidR="000B2F3F" w:rsidRPr="00082628">
        <w:t xml:space="preserve">Regarding the question raised by Belgium in </w:t>
      </w:r>
      <w:r w:rsidR="000B2F3F">
        <w:t>p</w:t>
      </w:r>
      <w:r w:rsidR="000B2F3F" w:rsidRPr="00082628">
        <w:t xml:space="preserve">lenary it was decided that the </w:t>
      </w:r>
      <w:r w:rsidR="00BA385F">
        <w:t xml:space="preserve">term </w:t>
      </w:r>
      <w:r w:rsidR="000B2F3F" w:rsidRPr="00082628">
        <w:t>“</w:t>
      </w:r>
      <w:r w:rsidR="000B2F3F">
        <w:t>e</w:t>
      </w:r>
      <w:r w:rsidR="000B2F3F" w:rsidRPr="00082628">
        <w:t xml:space="preserve">xceptional check” in 6.8.2.4.4 should be </w:t>
      </w:r>
      <w:r w:rsidR="00BA385F">
        <w:t xml:space="preserve">replaced by </w:t>
      </w:r>
      <w:r w:rsidR="000B2F3F" w:rsidRPr="00082628">
        <w:t>“exceptional inspection”</w:t>
      </w:r>
      <w:r w:rsidR="000B2F3F">
        <w:t xml:space="preserve">. As there was no formal proposal for the amendment it </w:t>
      </w:r>
      <w:r>
        <w:t xml:space="preserve">was </w:t>
      </w:r>
      <w:r w:rsidR="000B2F3F">
        <w:t xml:space="preserve">suggested that the </w:t>
      </w:r>
      <w:r w:rsidR="000B2F3F" w:rsidRPr="00082628">
        <w:t xml:space="preserve">informal working group on </w:t>
      </w:r>
      <w:r w:rsidR="000B2F3F">
        <w:t xml:space="preserve">the inspection and certification of tanks that would meet in London in June 2019 </w:t>
      </w:r>
      <w:r>
        <w:t xml:space="preserve">(the “London” working group) </w:t>
      </w:r>
      <w:r w:rsidR="000B2F3F">
        <w:t>should take this on board.</w:t>
      </w:r>
      <w:r w:rsidR="000B2F3F" w:rsidRPr="00082628">
        <w:t xml:space="preserve"> </w:t>
      </w:r>
      <w:r w:rsidR="000B2F3F">
        <w:t xml:space="preserve">During </w:t>
      </w:r>
      <w:r>
        <w:t xml:space="preserve">the </w:t>
      </w:r>
      <w:r w:rsidR="000B2F3F">
        <w:t xml:space="preserve">discussion it was recognized that other consequential amendments concerning changing </w:t>
      </w:r>
      <w:r>
        <w:t>“</w:t>
      </w:r>
      <w:r w:rsidR="000B2F3F">
        <w:t>test(s)</w:t>
      </w:r>
      <w:r>
        <w:t>”</w:t>
      </w:r>
      <w:r w:rsidR="000B2F3F">
        <w:t xml:space="preserve"> to </w:t>
      </w:r>
      <w:r>
        <w:t>“</w:t>
      </w:r>
      <w:r w:rsidR="000B2F3F">
        <w:t>inspection(s)</w:t>
      </w:r>
      <w:r>
        <w:t>”</w:t>
      </w:r>
      <w:r w:rsidR="000B2F3F">
        <w:t xml:space="preserve"> were required. It was agreed </w:t>
      </w:r>
      <w:r>
        <w:t xml:space="preserve">to entrust their consideration to </w:t>
      </w:r>
      <w:r w:rsidR="000B2F3F">
        <w:t>the London working group as well.</w:t>
      </w:r>
    </w:p>
    <w:p w14:paraId="3F98FC25" w14:textId="01C70EC0" w:rsidR="000B2F3F" w:rsidRDefault="007A3678" w:rsidP="007A3678">
      <w:pPr>
        <w:pStyle w:val="H23G"/>
      </w:pPr>
      <w:r>
        <w:tab/>
      </w:r>
      <w:r w:rsidR="000B2F3F" w:rsidRPr="00F60C0F">
        <w:t xml:space="preserve">Item </w:t>
      </w:r>
      <w:r w:rsidR="000B2F3F">
        <w:t>2</w:t>
      </w:r>
      <w:r w:rsidR="000B2F3F" w:rsidRPr="00F60C0F">
        <w:t xml:space="preserve">: </w:t>
      </w:r>
      <w:r>
        <w:tab/>
      </w:r>
      <w:r w:rsidR="000B2F3F" w:rsidRPr="008D3329">
        <w:t>Application of 6.7.1.3</w:t>
      </w:r>
      <w:r w:rsidR="000522D7">
        <w:t>,</w:t>
      </w:r>
      <w:r w:rsidR="000B2F3F" w:rsidRPr="008D3329">
        <w:t xml:space="preserve"> </w:t>
      </w:r>
      <w:r w:rsidR="000522D7">
        <w:t>c</w:t>
      </w:r>
      <w:r w:rsidR="000B2F3F" w:rsidRPr="008D3329">
        <w:t>arriage of a pr</w:t>
      </w:r>
      <w:r w:rsidR="000B2F3F" w:rsidRPr="00707A43">
        <w:t>oduct classified under UN No. 3160 in T50 portable tanks</w:t>
      </w:r>
    </w:p>
    <w:p w14:paraId="6B0DE25E" w14:textId="77777777" w:rsidR="008D3329" w:rsidRDefault="008D3329" w:rsidP="008D3329">
      <w:pPr>
        <w:pStyle w:val="SingleTxtG"/>
        <w:tabs>
          <w:tab w:val="left" w:pos="3119"/>
        </w:tabs>
        <w:rPr>
          <w:highlight w:val="yellow"/>
        </w:rPr>
      </w:pPr>
      <w:r w:rsidRPr="00F60C0F">
        <w:rPr>
          <w:i/>
        </w:rPr>
        <w:t>Document</w:t>
      </w:r>
      <w:r w:rsidRPr="00F60C0F">
        <w:t>:</w:t>
      </w:r>
      <w:r w:rsidRPr="00F60C0F">
        <w:tab/>
      </w:r>
      <w:r w:rsidRPr="008D3329">
        <w:t>ECE/TRANS/WP.15/AC.1/2019/3 (Belgium)</w:t>
      </w:r>
      <w:r w:rsidRPr="00530C3E">
        <w:rPr>
          <w:highlight w:val="yellow"/>
        </w:rPr>
        <w:t xml:space="preserve"> </w:t>
      </w:r>
    </w:p>
    <w:p w14:paraId="0EB22291" w14:textId="02667A55" w:rsidR="000B2F3F" w:rsidRPr="00D724B4" w:rsidRDefault="004D246B" w:rsidP="007A3678">
      <w:pPr>
        <w:pStyle w:val="SingleTxtG"/>
        <w:rPr>
          <w:b/>
        </w:rPr>
      </w:pPr>
      <w:r>
        <w:t>7</w:t>
      </w:r>
      <w:r w:rsidR="000B2F3F" w:rsidRPr="00CB09D3">
        <w:t>.</w:t>
      </w:r>
      <w:r w:rsidR="000B2F3F">
        <w:rPr>
          <w:b/>
        </w:rPr>
        <w:tab/>
      </w:r>
      <w:r w:rsidR="000522D7">
        <w:rPr>
          <w:bCs/>
        </w:rPr>
        <w:t xml:space="preserve">The Working Group noted that </w:t>
      </w:r>
      <w:proofErr w:type="spellStart"/>
      <w:r w:rsidR="000522D7">
        <w:t>t</w:t>
      </w:r>
      <w:r w:rsidR="000B2F3F" w:rsidRPr="00D724B4">
        <w:t>rifl</w:t>
      </w:r>
      <w:r w:rsidR="000B2F3F">
        <w:t>uo</w:t>
      </w:r>
      <w:r w:rsidR="000B2F3F" w:rsidRPr="00D724B4">
        <w:t>rochloroethylene</w:t>
      </w:r>
      <w:proofErr w:type="spellEnd"/>
      <w:r w:rsidR="000B2F3F" w:rsidRPr="00D724B4">
        <w:t xml:space="preserve"> assigned to UN</w:t>
      </w:r>
      <w:r w:rsidR="000B2F3F">
        <w:t> </w:t>
      </w:r>
      <w:r w:rsidR="000B2F3F" w:rsidRPr="00D724B4">
        <w:t xml:space="preserve">3160 </w:t>
      </w:r>
      <w:proofErr w:type="gramStart"/>
      <w:r w:rsidR="000B2F3F" w:rsidRPr="00D724B4">
        <w:t>is allowed to</w:t>
      </w:r>
      <w:proofErr w:type="gramEnd"/>
      <w:r w:rsidR="000B2F3F" w:rsidRPr="00D724B4">
        <w:t xml:space="preserve"> be carried in portable tanks under an interim approval according to 6.7.1.3 of the </w:t>
      </w:r>
      <w:r w:rsidR="000B2F3F" w:rsidRPr="00D724B4">
        <w:lastRenderedPageBreak/>
        <w:t xml:space="preserve">IMDG </w:t>
      </w:r>
      <w:r w:rsidR="000B2F3F">
        <w:t>C</w:t>
      </w:r>
      <w:r w:rsidR="000B2F3F" w:rsidRPr="00D724B4">
        <w:t>ode. Belgium is requested by a consign</w:t>
      </w:r>
      <w:r w:rsidR="000B2F3F">
        <w:t>o</w:t>
      </w:r>
      <w:r w:rsidR="000B2F3F" w:rsidRPr="00D724B4">
        <w:t xml:space="preserve">r to issue an interim approval </w:t>
      </w:r>
      <w:r w:rsidR="000B2F3F">
        <w:t xml:space="preserve">for inland carriage </w:t>
      </w:r>
      <w:r w:rsidR="000522D7">
        <w:t>since</w:t>
      </w:r>
      <w:r w:rsidR="000B2F3F" w:rsidRPr="00D724B4">
        <w:t xml:space="preserve"> the country of origin will </w:t>
      </w:r>
      <w:r w:rsidR="000522D7">
        <w:t xml:space="preserve">now </w:t>
      </w:r>
      <w:r w:rsidR="000B2F3F" w:rsidRPr="00D724B4">
        <w:t>be Belgium</w:t>
      </w:r>
      <w:r w:rsidR="000B2F3F" w:rsidRPr="00CB09D3">
        <w:t>.</w:t>
      </w:r>
    </w:p>
    <w:p w14:paraId="62E4D63C" w14:textId="42EDDBD6" w:rsidR="000B2F3F" w:rsidRDefault="004D246B" w:rsidP="007A3678">
      <w:pPr>
        <w:pStyle w:val="SingleTxtG"/>
      </w:pPr>
      <w:r>
        <w:t>8</w:t>
      </w:r>
      <w:r w:rsidR="000B2F3F">
        <w:t>.</w:t>
      </w:r>
      <w:r w:rsidR="000B2F3F">
        <w:tab/>
      </w:r>
      <w:r w:rsidR="000522D7">
        <w:t>It was also noted that the</w:t>
      </w:r>
      <w:r w:rsidR="000B2F3F">
        <w:t xml:space="preserve"> interim approval </w:t>
      </w:r>
      <w:r w:rsidR="000522D7">
        <w:t xml:space="preserve">had been </w:t>
      </w:r>
      <w:r w:rsidR="000B2F3F">
        <w:t>made under the IMDG Code to allow for carriage</w:t>
      </w:r>
      <w:r w:rsidR="000522D7">
        <w:t xml:space="preserve"> </w:t>
      </w:r>
      <w:r w:rsidR="000B2F3F">
        <w:t xml:space="preserve">while applying for introduction of applicable provisions in the regulations. </w:t>
      </w:r>
    </w:p>
    <w:p w14:paraId="7FFBB986" w14:textId="0AF49C78" w:rsidR="000B2F3F" w:rsidRDefault="004D246B" w:rsidP="007A3678">
      <w:pPr>
        <w:pStyle w:val="SingleTxtG"/>
      </w:pPr>
      <w:r>
        <w:t>9</w:t>
      </w:r>
      <w:r w:rsidR="000522D7">
        <w:t>.</w:t>
      </w:r>
      <w:r w:rsidR="000522D7">
        <w:tab/>
      </w:r>
      <w:r w:rsidR="000B2F3F">
        <w:t>A proposal for assigning a portable tank instruction for this substance should be submitted to the Sub-Committee of Experts on the Transport of Dangerous Goods.</w:t>
      </w:r>
    </w:p>
    <w:p w14:paraId="770941F0" w14:textId="7D35533C" w:rsidR="000B2F3F" w:rsidRDefault="007A3678" w:rsidP="007A3678">
      <w:pPr>
        <w:pStyle w:val="H23G"/>
      </w:pPr>
      <w:r>
        <w:tab/>
      </w:r>
      <w:r w:rsidR="000B2F3F" w:rsidRPr="00F60C0F">
        <w:t xml:space="preserve">Item </w:t>
      </w:r>
      <w:r w:rsidR="000B2F3F">
        <w:t>3</w:t>
      </w:r>
      <w:r w:rsidR="000B2F3F" w:rsidRPr="00F60C0F">
        <w:t xml:space="preserve">: </w:t>
      </w:r>
      <w:r>
        <w:tab/>
      </w:r>
      <w:r w:rsidR="000B2F3F" w:rsidRPr="00400DCF">
        <w:rPr>
          <w:szCs w:val="28"/>
        </w:rPr>
        <w:t>Amendment of section 1.2.1</w:t>
      </w:r>
      <w:r w:rsidR="00707A43">
        <w:rPr>
          <w:szCs w:val="28"/>
        </w:rPr>
        <w:t xml:space="preserve"> (</w:t>
      </w:r>
      <w:r w:rsidR="000B2F3F" w:rsidRPr="00400DCF">
        <w:rPr>
          <w:szCs w:val="28"/>
        </w:rPr>
        <w:t>Definitions</w:t>
      </w:r>
      <w:r w:rsidR="00707A43">
        <w:rPr>
          <w:szCs w:val="28"/>
        </w:rPr>
        <w:t>)</w:t>
      </w:r>
    </w:p>
    <w:p w14:paraId="3933828F" w14:textId="77777777" w:rsidR="008D3329" w:rsidRPr="002A0513" w:rsidRDefault="008D3329" w:rsidP="008D3329">
      <w:pPr>
        <w:pStyle w:val="SingleTxtG"/>
        <w:tabs>
          <w:tab w:val="left" w:pos="3119"/>
        </w:tabs>
        <w:rPr>
          <w:highlight w:val="yellow"/>
          <w:lang w:val="fr-CH"/>
        </w:rPr>
      </w:pPr>
      <w:proofErr w:type="gramStart"/>
      <w:r w:rsidRPr="002A0513">
        <w:rPr>
          <w:i/>
          <w:lang w:val="fr-CH"/>
        </w:rPr>
        <w:t>Document</w:t>
      </w:r>
      <w:r w:rsidRPr="002A0513">
        <w:rPr>
          <w:lang w:val="fr-CH"/>
        </w:rPr>
        <w:t>:</w:t>
      </w:r>
      <w:proofErr w:type="gramEnd"/>
      <w:r w:rsidRPr="002A0513">
        <w:rPr>
          <w:lang w:val="fr-CH"/>
        </w:rPr>
        <w:tab/>
        <w:t>ECE/TRANS/WP.15/AC.1/2019/6 (ITCO)</w:t>
      </w:r>
    </w:p>
    <w:p w14:paraId="082470DC" w14:textId="5CEDD6C0" w:rsidR="000B2F3F" w:rsidRDefault="004D246B" w:rsidP="000B2F3F">
      <w:pPr>
        <w:pStyle w:val="SingleTxtG"/>
      </w:pPr>
      <w:r>
        <w:t>10</w:t>
      </w:r>
      <w:r w:rsidR="000B2F3F" w:rsidRPr="00F60C0F">
        <w:t>.</w:t>
      </w:r>
      <w:r w:rsidR="000B2F3F" w:rsidRPr="00F60C0F">
        <w:tab/>
      </w:r>
      <w:r w:rsidR="000B2F3F" w:rsidRPr="00817B09">
        <w:t xml:space="preserve">The </w:t>
      </w:r>
      <w:r w:rsidR="000B2F3F">
        <w:t xml:space="preserve">“enterprise in whose name the </w:t>
      </w:r>
      <w:r w:rsidR="000B2F3F" w:rsidRPr="00817B09">
        <w:t xml:space="preserve">tank-container/portable </w:t>
      </w:r>
      <w:r w:rsidR="000B2F3F">
        <w:t xml:space="preserve">tank is registered” </w:t>
      </w:r>
      <w:r w:rsidR="000B2F3F" w:rsidRPr="00817B09">
        <w:t>is often a financial entity such as a leasing company or bank and takes no part in the tank</w:t>
      </w:r>
      <w:r w:rsidR="000B2F3F">
        <w:t>-container/portable tank</w:t>
      </w:r>
      <w:r w:rsidR="000B2F3F" w:rsidRPr="00817B09">
        <w:t xml:space="preserve"> operator</w:t>
      </w:r>
      <w:r w:rsidR="000B2F3F">
        <w:t>'</w:t>
      </w:r>
      <w:r w:rsidR="000B2F3F" w:rsidRPr="00817B09">
        <w:t xml:space="preserve">s </w:t>
      </w:r>
      <w:r w:rsidR="000B2F3F">
        <w:t xml:space="preserve">safety </w:t>
      </w:r>
      <w:r w:rsidR="000B2F3F" w:rsidRPr="00817B09">
        <w:t xml:space="preserve">obligations. The tank is leased or otherwise made </w:t>
      </w:r>
      <w:r w:rsidR="000B2F3F">
        <w:t xml:space="preserve">financially </w:t>
      </w:r>
      <w:r w:rsidR="000B2F3F" w:rsidRPr="00817B09">
        <w:t xml:space="preserve">available by legally enforceable </w:t>
      </w:r>
      <w:r w:rsidR="000B2F3F" w:rsidRPr="00D870C6">
        <w:t xml:space="preserve">contract </w:t>
      </w:r>
      <w:r w:rsidR="000B2F3F">
        <w:t>between the registered owner e.g. the bank or leasing company and</w:t>
      </w:r>
      <w:r w:rsidR="000B2F3F" w:rsidRPr="00D870C6">
        <w:t xml:space="preserve"> the tank</w:t>
      </w:r>
      <w:r w:rsidR="000B2F3F">
        <w:t>-</w:t>
      </w:r>
      <w:r w:rsidR="000B2F3F" w:rsidRPr="00D870C6">
        <w:t xml:space="preserve">container/portable </w:t>
      </w:r>
      <w:r w:rsidR="000B2F3F">
        <w:t xml:space="preserve">tank </w:t>
      </w:r>
      <w:r w:rsidR="000B2F3F" w:rsidRPr="00D870C6">
        <w:t xml:space="preserve">operator. </w:t>
      </w:r>
    </w:p>
    <w:p w14:paraId="790A5147" w14:textId="2818CFA3" w:rsidR="000B2F3F" w:rsidRDefault="004D246B" w:rsidP="007A3678">
      <w:pPr>
        <w:pStyle w:val="SingleTxtG"/>
      </w:pPr>
      <w:r>
        <w:t>11</w:t>
      </w:r>
      <w:r w:rsidR="000B2F3F">
        <w:t>.</w:t>
      </w:r>
      <w:r w:rsidR="000B2F3F">
        <w:tab/>
      </w:r>
      <w:r w:rsidR="000B2F3F" w:rsidRPr="00DB75FA">
        <w:t xml:space="preserve">ITCO </w:t>
      </w:r>
      <w:r w:rsidR="000522D7">
        <w:t xml:space="preserve">submitted </w:t>
      </w:r>
      <w:r w:rsidR="000B2F3F">
        <w:t xml:space="preserve">informal document </w:t>
      </w:r>
      <w:r w:rsidR="000B2F3F" w:rsidRPr="00DB75FA">
        <w:t>INF</w:t>
      </w:r>
      <w:r w:rsidR="000B2F3F">
        <w:t>.</w:t>
      </w:r>
      <w:r w:rsidR="000B2F3F" w:rsidRPr="00DB75FA">
        <w:t xml:space="preserve">7 </w:t>
      </w:r>
      <w:r w:rsidR="000522D7">
        <w:t>to</w:t>
      </w:r>
      <w:r w:rsidR="000522D7" w:rsidRPr="00DB75FA">
        <w:t xml:space="preserve"> the autumn 2018 session of the Joint Meeting</w:t>
      </w:r>
      <w:r w:rsidR="000522D7">
        <w:t>,</w:t>
      </w:r>
      <w:r w:rsidR="000522D7" w:rsidRPr="00DB75FA">
        <w:t xml:space="preserve"> </w:t>
      </w:r>
      <w:r w:rsidR="000B2F3F" w:rsidRPr="00DB75FA">
        <w:t xml:space="preserve">which was discussed </w:t>
      </w:r>
      <w:r w:rsidR="000522D7">
        <w:t>by</w:t>
      </w:r>
      <w:r w:rsidR="000522D7" w:rsidRPr="00DB75FA">
        <w:t xml:space="preserve"> </w:t>
      </w:r>
      <w:r w:rsidR="000B2F3F" w:rsidRPr="00DB75FA">
        <w:t>the Working Group</w:t>
      </w:r>
      <w:r w:rsidR="000B2F3F">
        <w:t xml:space="preserve"> on Tanks</w:t>
      </w:r>
      <w:r w:rsidR="000B2F3F" w:rsidRPr="00DB75FA">
        <w:t>. At that time</w:t>
      </w:r>
      <w:r w:rsidR="000522D7">
        <w:t>,</w:t>
      </w:r>
      <w:r w:rsidR="000B2F3F" w:rsidRPr="00DB75FA">
        <w:t xml:space="preserve"> it was noticed that the definition in RID also addressed the operator </w:t>
      </w:r>
      <w:r w:rsidR="000B2F3F">
        <w:t>of</w:t>
      </w:r>
      <w:r w:rsidR="000B2F3F" w:rsidRPr="00DB75FA">
        <w:t xml:space="preserve"> tank-wagons and indirectly tank-wagon keepers</w:t>
      </w:r>
      <w:r w:rsidR="000B2F3F">
        <w:t>. I</w:t>
      </w:r>
      <w:r w:rsidR="000B2F3F" w:rsidRPr="00DB75FA">
        <w:t xml:space="preserve">TCO was asked to check if the amendment would </w:t>
      </w:r>
      <w:r w:rsidR="000B2F3F">
        <w:t xml:space="preserve">create </w:t>
      </w:r>
      <w:r w:rsidR="000B2F3F" w:rsidRPr="00DB75FA">
        <w:t>problems for the tank-wagon operator and tank-wagon keeper.</w:t>
      </w:r>
    </w:p>
    <w:p w14:paraId="1BDD1B30" w14:textId="1331B111" w:rsidR="000B2F3F" w:rsidRDefault="004D246B" w:rsidP="006E7207">
      <w:pPr>
        <w:pStyle w:val="SingleTxtG"/>
        <w:keepNext/>
        <w:keepLines/>
      </w:pPr>
      <w:r>
        <w:t>12</w:t>
      </w:r>
      <w:r w:rsidR="000B2F3F">
        <w:t>.</w:t>
      </w:r>
      <w:r w:rsidR="000B2F3F">
        <w:tab/>
        <w:t xml:space="preserve">UIP </w:t>
      </w:r>
      <w:r w:rsidR="000B2F3F" w:rsidRPr="00DB75FA">
        <w:t xml:space="preserve">stated that the operator of a tank-wagon is also the enterprise that registers the tank-wagon and that the amendment by ITCO would not improve the understanding in the case of tank-wagon operator or keeper. After considering several alternative options the </w:t>
      </w:r>
      <w:r w:rsidR="000522D7">
        <w:t xml:space="preserve">Working Group </w:t>
      </w:r>
      <w:r w:rsidR="000B2F3F">
        <w:t xml:space="preserve">could not </w:t>
      </w:r>
      <w:proofErr w:type="gramStart"/>
      <w:r w:rsidR="000B2F3F">
        <w:t>come to a conclusion</w:t>
      </w:r>
      <w:proofErr w:type="gramEnd"/>
      <w:r w:rsidR="000B2F3F" w:rsidRPr="00DB75FA">
        <w:t>.</w:t>
      </w:r>
      <w:r w:rsidR="000B2F3F">
        <w:t xml:space="preserve"> It was decided that the document should be kept on the agenda for the next session.</w:t>
      </w:r>
    </w:p>
    <w:p w14:paraId="0C68C6CC" w14:textId="74629CFC" w:rsidR="000B2F3F" w:rsidRDefault="004D246B" w:rsidP="007A3678">
      <w:pPr>
        <w:pStyle w:val="SingleTxtG"/>
      </w:pPr>
      <w:r>
        <w:t>13</w:t>
      </w:r>
      <w:r w:rsidR="000522D7">
        <w:t>.</w:t>
      </w:r>
      <w:r w:rsidR="000522D7">
        <w:tab/>
      </w:r>
      <w:r w:rsidR="000B2F3F">
        <w:t>In absence of the representative of ITCO the following options and ideas were considered for future discussion.</w:t>
      </w:r>
    </w:p>
    <w:p w14:paraId="2A9F4917" w14:textId="77777777" w:rsidR="000B2F3F" w:rsidRDefault="000B2F3F" w:rsidP="007A3678">
      <w:pPr>
        <w:pStyle w:val="SingleTxtG"/>
      </w:pPr>
      <w:r>
        <w:t>For ADR:</w:t>
      </w:r>
    </w:p>
    <w:p w14:paraId="3BC3CE0C" w14:textId="77777777" w:rsidR="000B2F3F" w:rsidRDefault="000B2F3F" w:rsidP="00CB09D3">
      <w:pPr>
        <w:pStyle w:val="SingleTxtG"/>
        <w:ind w:left="1701"/>
        <w:rPr>
          <w:i/>
        </w:rPr>
      </w:pPr>
      <w:r w:rsidRPr="00DB75FA">
        <w:t>“</w:t>
      </w:r>
      <w:r w:rsidRPr="00DB75FA">
        <w:rPr>
          <w:i/>
        </w:rPr>
        <w:t xml:space="preserve">Tank-container/portable tank operator” </w:t>
      </w:r>
      <w:r w:rsidRPr="00DB75FA">
        <w:t>means</w:t>
      </w:r>
      <w:r w:rsidRPr="00DB75FA">
        <w:rPr>
          <w:i/>
        </w:rPr>
        <w:t xml:space="preserve"> </w:t>
      </w:r>
      <w:r w:rsidRPr="00DB75FA">
        <w:t xml:space="preserve">any enterprise in whose name the tank-container/portable tank is </w:t>
      </w:r>
      <w:r w:rsidRPr="00DB75FA">
        <w:rPr>
          <w:strike/>
        </w:rPr>
        <w:t>registered</w:t>
      </w:r>
      <w:r w:rsidRPr="00DB75FA">
        <w:t xml:space="preserve"> </w:t>
      </w:r>
      <w:r w:rsidRPr="00DB75FA">
        <w:rPr>
          <w:i/>
        </w:rPr>
        <w:t>operated.”</w:t>
      </w:r>
    </w:p>
    <w:p w14:paraId="61C48244" w14:textId="77777777" w:rsidR="000B2F3F" w:rsidRDefault="000B2F3F" w:rsidP="00CB09D3">
      <w:pPr>
        <w:pStyle w:val="SingleTxtG"/>
        <w:ind w:left="1701"/>
        <w:rPr>
          <w:i/>
        </w:rPr>
      </w:pPr>
      <w:r>
        <w:rPr>
          <w:i/>
        </w:rPr>
        <w:t>or</w:t>
      </w:r>
    </w:p>
    <w:p w14:paraId="4AC657B9" w14:textId="78BBAA4E" w:rsidR="000B2F3F" w:rsidRDefault="000B2F3F" w:rsidP="00CB09D3">
      <w:pPr>
        <w:pStyle w:val="SingleTxtG"/>
        <w:ind w:left="1701"/>
      </w:pPr>
      <w:r w:rsidRPr="00DB75FA">
        <w:rPr>
          <w:i/>
        </w:rPr>
        <w:t xml:space="preserve">“Tank-container/portable tank operator” </w:t>
      </w:r>
      <w:r w:rsidRPr="00DB75FA">
        <w:t xml:space="preserve">means any enterprise that operates a tank-container/portable tank. Where the operator is not the owner, the operator is the enterprise to which </w:t>
      </w:r>
      <w:r>
        <w:t>the</w:t>
      </w:r>
      <w:r w:rsidRPr="00DB75FA">
        <w:t xml:space="preserve"> tank-container/portable tank</w:t>
      </w:r>
      <w:r>
        <w:t xml:space="preserve"> </w:t>
      </w:r>
      <w:r w:rsidRPr="00DB75FA">
        <w:t xml:space="preserve">is leased or otherwise made available </w:t>
      </w:r>
      <w:r w:rsidRPr="00485F8D">
        <w:t>for use</w:t>
      </w:r>
      <w:r w:rsidRPr="00DB75FA">
        <w:t xml:space="preserve"> by a legally enforceable contract.</w:t>
      </w:r>
      <w:r w:rsidR="007B0054">
        <w:t>”.</w:t>
      </w:r>
    </w:p>
    <w:p w14:paraId="36203910" w14:textId="77777777" w:rsidR="000B2F3F" w:rsidRPr="009B4592" w:rsidRDefault="000B2F3F" w:rsidP="00CB09D3">
      <w:pPr>
        <w:pStyle w:val="SingleTxtG"/>
        <w:ind w:left="1701"/>
        <w:rPr>
          <w:i/>
        </w:rPr>
      </w:pPr>
      <w:r w:rsidRPr="009B4592">
        <w:rPr>
          <w:i/>
        </w:rPr>
        <w:t>or</w:t>
      </w:r>
    </w:p>
    <w:p w14:paraId="0D39E106" w14:textId="4AD1CCC7" w:rsidR="000B2F3F" w:rsidRDefault="000B2F3F" w:rsidP="00CB09D3">
      <w:pPr>
        <w:pStyle w:val="SingleTxtG"/>
        <w:ind w:left="1701"/>
      </w:pPr>
      <w:r w:rsidRPr="00DB75FA">
        <w:rPr>
          <w:i/>
        </w:rPr>
        <w:t xml:space="preserve">“Tank-container/portable tank operator” </w:t>
      </w:r>
      <w:r w:rsidRPr="00DB75FA">
        <w:t>means any enterprise being the owner of a tank-container/portable tank or having the right to use it.</w:t>
      </w:r>
      <w:r>
        <w:t>”</w:t>
      </w:r>
      <w:r w:rsidR="007B0054">
        <w:t>.</w:t>
      </w:r>
    </w:p>
    <w:p w14:paraId="007A5E3A" w14:textId="1E4A478F" w:rsidR="000B2F3F" w:rsidRDefault="000B2F3F" w:rsidP="007A3678">
      <w:pPr>
        <w:pStyle w:val="SingleTxtG"/>
        <w:rPr>
          <w:i/>
        </w:rPr>
      </w:pPr>
      <w:r>
        <w:t>For RID</w:t>
      </w:r>
      <w:r w:rsidRPr="00DB75FA">
        <w:t xml:space="preserve">: </w:t>
      </w:r>
    </w:p>
    <w:p w14:paraId="717D8FA3" w14:textId="6DA9D9BD" w:rsidR="000B2F3F" w:rsidRDefault="000B2F3F" w:rsidP="00CB09D3">
      <w:pPr>
        <w:pStyle w:val="SingleTxtG"/>
        <w:ind w:left="1701"/>
      </w:pPr>
      <w:r w:rsidRPr="00DB75FA">
        <w:rPr>
          <w:i/>
        </w:rPr>
        <w:t>“Operator of a tank-container, portable tank or tank-wagon”</w:t>
      </w:r>
      <w:r w:rsidRPr="00DB75FA">
        <w:t xml:space="preserve"> means any enterprise in whose name the tank-container, portable tank or tank-wagon is </w:t>
      </w:r>
      <w:r w:rsidRPr="00DB75FA">
        <w:rPr>
          <w:u w:val="single"/>
        </w:rPr>
        <w:t>operated</w:t>
      </w:r>
      <w:r w:rsidRPr="00DB75FA">
        <w:t xml:space="preserve"> </w:t>
      </w:r>
      <w:r w:rsidRPr="00DB75FA">
        <w:rPr>
          <w:strike/>
        </w:rPr>
        <w:t>registered or approved for transport</w:t>
      </w:r>
      <w:r w:rsidRPr="00DB75FA">
        <w:t>.</w:t>
      </w:r>
      <w:r>
        <w:t>”</w:t>
      </w:r>
      <w:r w:rsidR="007B0054">
        <w:t>.</w:t>
      </w:r>
      <w:r>
        <w:t xml:space="preserve"> </w:t>
      </w:r>
    </w:p>
    <w:p w14:paraId="78FC65BC" w14:textId="77777777" w:rsidR="000B2F3F" w:rsidRPr="009B4592" w:rsidRDefault="000B2F3F" w:rsidP="00CB09D3">
      <w:pPr>
        <w:pStyle w:val="SingleTxtG"/>
        <w:ind w:left="1701"/>
        <w:rPr>
          <w:i/>
        </w:rPr>
      </w:pPr>
      <w:r w:rsidRPr="009B4592">
        <w:rPr>
          <w:i/>
        </w:rPr>
        <w:t>o</w:t>
      </w:r>
      <w:r>
        <w:rPr>
          <w:i/>
        </w:rPr>
        <w:t>r</w:t>
      </w:r>
    </w:p>
    <w:p w14:paraId="05D7DCE7" w14:textId="281313A2" w:rsidR="000B2F3F" w:rsidRDefault="000B2F3F" w:rsidP="00CB09D3">
      <w:pPr>
        <w:pStyle w:val="SingleTxtG"/>
        <w:ind w:left="1701"/>
      </w:pPr>
      <w:r w:rsidRPr="00DB75FA">
        <w:rPr>
          <w:i/>
        </w:rPr>
        <w:t>“Operator of a tank-container, portable tank or tank-wagon”</w:t>
      </w:r>
      <w:r w:rsidRPr="00DB75FA">
        <w:t xml:space="preserve"> means any enterprise that operates a tank-container, portable tank or tank-wagon. Where the operator is </w:t>
      </w:r>
      <w:r w:rsidRPr="00DB75FA">
        <w:lastRenderedPageBreak/>
        <w:t xml:space="preserve">not the owner, the operator is the enterprise to which </w:t>
      </w:r>
      <w:r>
        <w:t xml:space="preserve">the </w:t>
      </w:r>
      <w:r w:rsidRPr="00DB75FA">
        <w:t xml:space="preserve">tank-container, portable tank or tank-wagon is leased or otherwise made </w:t>
      </w:r>
      <w:r>
        <w:t>a</w:t>
      </w:r>
      <w:r w:rsidRPr="00DB75FA">
        <w:t>vailable by a legally enforceable contract.</w:t>
      </w:r>
      <w:r>
        <w:t>”</w:t>
      </w:r>
      <w:r w:rsidR="007B0054">
        <w:t>.</w:t>
      </w:r>
    </w:p>
    <w:p w14:paraId="45424A48" w14:textId="79A6F3A3" w:rsidR="000B2F3F" w:rsidRDefault="007A7EB1" w:rsidP="00CB09D3">
      <w:pPr>
        <w:pStyle w:val="SingleTxtG"/>
        <w:ind w:left="1701"/>
        <w:rPr>
          <w:i/>
        </w:rPr>
      </w:pPr>
      <w:r>
        <w:rPr>
          <w:i/>
        </w:rPr>
        <w:t>o</w:t>
      </w:r>
      <w:r w:rsidR="000B2F3F" w:rsidRPr="009B4592">
        <w:rPr>
          <w:i/>
        </w:rPr>
        <w:t>r</w:t>
      </w:r>
    </w:p>
    <w:p w14:paraId="7FD352F1" w14:textId="03D1A61F" w:rsidR="007A7EB1" w:rsidRDefault="007A7EB1" w:rsidP="00CB09D3">
      <w:pPr>
        <w:pStyle w:val="SingleTxtG"/>
        <w:ind w:left="1701"/>
        <w:rPr>
          <w:i/>
        </w:rPr>
      </w:pPr>
      <w:r w:rsidRPr="00DB75FA">
        <w:rPr>
          <w:i/>
        </w:rPr>
        <w:t>“Operator of a tank-container</w:t>
      </w:r>
      <w:r>
        <w:rPr>
          <w:i/>
        </w:rPr>
        <w:t xml:space="preserve"> or</w:t>
      </w:r>
      <w:r w:rsidRPr="00DB75FA">
        <w:rPr>
          <w:i/>
        </w:rPr>
        <w:t xml:space="preserve"> portable tank”</w:t>
      </w:r>
      <w:r w:rsidRPr="00DB75FA">
        <w:t xml:space="preserve"> means any enterprise in whose name</w:t>
      </w:r>
      <w:r>
        <w:t xml:space="preserve"> the tank-container or </w:t>
      </w:r>
      <w:r w:rsidRPr="00DB75FA">
        <w:t xml:space="preserve">portable tank </w:t>
      </w:r>
      <w:r w:rsidRPr="00F53316">
        <w:rPr>
          <w:u w:val="single"/>
        </w:rPr>
        <w:t>is operated</w:t>
      </w:r>
      <w:r>
        <w:t>.”.</w:t>
      </w:r>
    </w:p>
    <w:p w14:paraId="73340E23" w14:textId="1542E3C1" w:rsidR="007A7EB1" w:rsidRPr="009B4592" w:rsidRDefault="007A7EB1" w:rsidP="00CB09D3">
      <w:pPr>
        <w:pStyle w:val="SingleTxtG"/>
        <w:ind w:left="1701"/>
        <w:rPr>
          <w:i/>
        </w:rPr>
      </w:pPr>
      <w:r>
        <w:rPr>
          <w:i/>
        </w:rPr>
        <w:t>"Operator of a tank-wagon"</w:t>
      </w:r>
      <w:r>
        <w:t xml:space="preserve"> means any enterprise in whose name </w:t>
      </w:r>
      <w:r w:rsidRPr="00DB75FA">
        <w:t>the tank-wagon is registered or approved for transport</w:t>
      </w:r>
      <w:r>
        <w:t>.”.</w:t>
      </w:r>
    </w:p>
    <w:p w14:paraId="549A118C" w14:textId="6CD68017" w:rsidR="000B2F3F" w:rsidRDefault="007A3678" w:rsidP="007A3678">
      <w:pPr>
        <w:pStyle w:val="H23G"/>
      </w:pPr>
      <w:r>
        <w:tab/>
      </w:r>
      <w:r w:rsidR="000B2F3F" w:rsidRPr="00F60C0F">
        <w:t xml:space="preserve">Item </w:t>
      </w:r>
      <w:r w:rsidR="000B2F3F">
        <w:t>4</w:t>
      </w:r>
      <w:r w:rsidR="000B2F3F" w:rsidRPr="00F60C0F">
        <w:t xml:space="preserve">: </w:t>
      </w:r>
      <w:r>
        <w:tab/>
      </w:r>
      <w:r w:rsidR="000B2F3F" w:rsidRPr="00251D7F">
        <w:t xml:space="preserve">Proposal of amendments related to the </w:t>
      </w:r>
      <w:proofErr w:type="gramStart"/>
      <w:r w:rsidR="000B2F3F" w:rsidRPr="00251D7F">
        <w:t>terms</w:t>
      </w:r>
      <w:proofErr w:type="gramEnd"/>
      <w:r w:rsidR="000B2F3F" w:rsidRPr="00251D7F">
        <w:t xml:space="preserve"> “risk” and “hazard/danger” in the context of RID/ADR/ADN</w:t>
      </w:r>
    </w:p>
    <w:p w14:paraId="359FFA5B" w14:textId="77777777" w:rsidR="008D3329" w:rsidRPr="002A0513" w:rsidRDefault="008D3329" w:rsidP="008D3329">
      <w:pPr>
        <w:pStyle w:val="SingleTxtG"/>
        <w:tabs>
          <w:tab w:val="left" w:pos="3119"/>
        </w:tabs>
        <w:rPr>
          <w:highlight w:val="yellow"/>
          <w:lang w:val="fr-CH"/>
        </w:rPr>
      </w:pPr>
      <w:proofErr w:type="gramStart"/>
      <w:r w:rsidRPr="002A0513">
        <w:rPr>
          <w:i/>
          <w:lang w:val="fr-CH"/>
        </w:rPr>
        <w:t>Document</w:t>
      </w:r>
      <w:r w:rsidRPr="002A0513">
        <w:rPr>
          <w:lang w:val="fr-CH"/>
        </w:rPr>
        <w:t>:</w:t>
      </w:r>
      <w:proofErr w:type="gramEnd"/>
      <w:r w:rsidRPr="002A0513">
        <w:rPr>
          <w:lang w:val="fr-CH"/>
        </w:rPr>
        <w:tab/>
        <w:t>ECE/TRANS/WP.15/AC.1/2019/7 (Romania)</w:t>
      </w:r>
    </w:p>
    <w:p w14:paraId="55544E5F" w14:textId="4186E712" w:rsidR="000B2F3F" w:rsidRDefault="004D246B" w:rsidP="007A3678">
      <w:pPr>
        <w:pStyle w:val="SingleTxtG"/>
      </w:pPr>
      <w:r>
        <w:t>14</w:t>
      </w:r>
      <w:r w:rsidR="000B2F3F">
        <w:t>.</w:t>
      </w:r>
      <w:r w:rsidR="000B2F3F">
        <w:tab/>
      </w:r>
      <w:r w:rsidR="000522D7">
        <w:t>The</w:t>
      </w:r>
      <w:r w:rsidR="000B2F3F">
        <w:t xml:space="preserve"> items related to chapters 4.3, 6.8 and 6.10 were discussed as requested </w:t>
      </w:r>
      <w:r w:rsidR="000522D7">
        <w:t>by the Joint Meeting during the introduction of the document in plenary</w:t>
      </w:r>
      <w:r w:rsidR="000B2F3F">
        <w:t xml:space="preserve">. For Chapter 4.3 it was felt that </w:t>
      </w:r>
      <w:r w:rsidR="007A7EB1">
        <w:t xml:space="preserve">the amendment </w:t>
      </w:r>
      <w:r w:rsidR="000B2F3F">
        <w:t>in the English version</w:t>
      </w:r>
      <w:r w:rsidR="000522D7">
        <w:t xml:space="preserve"> (</w:t>
      </w:r>
      <w:r w:rsidR="000B2F3F">
        <w:t>amending “additional hazard” in “other subsidiary hazard”</w:t>
      </w:r>
      <w:r w:rsidR="000522D7">
        <w:t>)</w:t>
      </w:r>
      <w:r w:rsidR="000B2F3F">
        <w:t xml:space="preserve"> could be justified but that </w:t>
      </w:r>
      <w:r w:rsidR="000522D7">
        <w:t xml:space="preserve">the corresponding </w:t>
      </w:r>
      <w:r w:rsidR="000B2F3F">
        <w:t>amendment in the French version would be less straight forward and require</w:t>
      </w:r>
      <w:r w:rsidR="000522D7">
        <w:t>d</w:t>
      </w:r>
      <w:r w:rsidR="000B2F3F">
        <w:t xml:space="preserve"> more consideration. Concerning the amendments for chapters 6.8 and 6.10 it was felt that “risk” would be more appropriate than </w:t>
      </w:r>
      <w:r w:rsidR="000522D7">
        <w:t>“</w:t>
      </w:r>
      <w:r w:rsidR="000B2F3F">
        <w:t>danger</w:t>
      </w:r>
      <w:r w:rsidR="000522D7">
        <w:t>”</w:t>
      </w:r>
      <w:r w:rsidR="000B2F3F">
        <w:t xml:space="preserve"> for mechanical constructions. </w:t>
      </w:r>
    </w:p>
    <w:p w14:paraId="1E4F8022" w14:textId="50D17A12" w:rsidR="007A3678" w:rsidRDefault="004D246B" w:rsidP="007A3678">
      <w:pPr>
        <w:pStyle w:val="SingleTxtG"/>
      </w:pPr>
      <w:r>
        <w:t>15</w:t>
      </w:r>
      <w:r w:rsidR="000B2F3F">
        <w:t>.</w:t>
      </w:r>
      <w:r w:rsidR="000B2F3F">
        <w:tab/>
        <w:t xml:space="preserve">The representative of Romania agreed to take the comments made to the informal working group on </w:t>
      </w:r>
      <w:r w:rsidR="000B2F3F" w:rsidRPr="007650F8">
        <w:rPr>
          <w:spacing w:val="-3"/>
          <w:shd w:val="clear" w:color="auto" w:fill="FFFFFF"/>
        </w:rPr>
        <w:t xml:space="preserve">the drafting of definitions for the </w:t>
      </w:r>
      <w:proofErr w:type="gramStart"/>
      <w:r w:rsidR="000B2F3F" w:rsidRPr="007650F8">
        <w:rPr>
          <w:spacing w:val="-3"/>
          <w:shd w:val="clear" w:color="auto" w:fill="FFFFFF"/>
        </w:rPr>
        <w:t>terms</w:t>
      </w:r>
      <w:proofErr w:type="gramEnd"/>
      <w:r w:rsidR="000B2F3F" w:rsidRPr="007650F8">
        <w:rPr>
          <w:spacing w:val="-3"/>
          <w:shd w:val="clear" w:color="auto" w:fill="FFFFFF"/>
        </w:rPr>
        <w:t xml:space="preserve"> “</w:t>
      </w:r>
      <w:r w:rsidR="00707A43" w:rsidRPr="007650F8">
        <w:rPr>
          <w:spacing w:val="-3"/>
          <w:shd w:val="clear" w:color="auto" w:fill="FFFFFF"/>
        </w:rPr>
        <w:t>risk</w:t>
      </w:r>
      <w:r w:rsidR="000B2F3F" w:rsidRPr="007650F8">
        <w:rPr>
          <w:spacing w:val="-3"/>
          <w:shd w:val="clear" w:color="auto" w:fill="FFFFFF"/>
        </w:rPr>
        <w:t>” and “</w:t>
      </w:r>
      <w:r w:rsidR="00707A43" w:rsidRPr="007650F8">
        <w:rPr>
          <w:spacing w:val="-3"/>
          <w:shd w:val="clear" w:color="auto" w:fill="FFFFFF"/>
        </w:rPr>
        <w:t>hazard/danger</w:t>
      </w:r>
      <w:r w:rsidR="000B2F3F" w:rsidRPr="007650F8">
        <w:rPr>
          <w:spacing w:val="-3"/>
          <w:shd w:val="clear" w:color="auto" w:fill="FFFFFF"/>
        </w:rPr>
        <w:t>” in the context of the RID/ADR/ADN</w:t>
      </w:r>
      <w:r w:rsidR="000B2F3F" w:rsidRPr="007650F8">
        <w:t xml:space="preserve"> </w:t>
      </w:r>
      <w:r w:rsidR="000B2F3F">
        <w:t>meeting for further consideration.</w:t>
      </w:r>
    </w:p>
    <w:p w14:paraId="6AF36839" w14:textId="7BFCD329" w:rsidR="000B2F3F" w:rsidRDefault="007A3678" w:rsidP="007A3678">
      <w:pPr>
        <w:pStyle w:val="H23G"/>
      </w:pPr>
      <w:r>
        <w:tab/>
      </w:r>
      <w:r w:rsidR="000B2F3F" w:rsidRPr="007A3678">
        <w:t xml:space="preserve">Item 5: </w:t>
      </w:r>
      <w:r>
        <w:tab/>
      </w:r>
      <w:r w:rsidR="000B2F3F" w:rsidRPr="007A3678">
        <w:t xml:space="preserve">Clarification of protection required for the fittings and accessories mounted on the upper part of </w:t>
      </w:r>
      <w:r w:rsidR="000522D7">
        <w:t>v</w:t>
      </w:r>
      <w:r w:rsidR="000B2F3F" w:rsidRPr="007A3678">
        <w:t>acuum-</w:t>
      </w:r>
      <w:r w:rsidR="000522D7">
        <w:t>o</w:t>
      </w:r>
      <w:r w:rsidR="000B2F3F" w:rsidRPr="007A3678">
        <w:t xml:space="preserve">perated </w:t>
      </w:r>
      <w:r w:rsidR="000522D7">
        <w:t>w</w:t>
      </w:r>
      <w:r w:rsidR="000B2F3F" w:rsidRPr="007A3678">
        <w:t xml:space="preserve">aste </w:t>
      </w:r>
      <w:r w:rsidR="000522D7">
        <w:t>t</w:t>
      </w:r>
      <w:r w:rsidR="000B2F3F" w:rsidRPr="007A3678">
        <w:t xml:space="preserve">anks </w:t>
      </w:r>
    </w:p>
    <w:p w14:paraId="16F244AD" w14:textId="77777777" w:rsidR="008D3329" w:rsidRPr="00707A43" w:rsidRDefault="008D3329" w:rsidP="00CB09D3">
      <w:pPr>
        <w:pStyle w:val="SingleTxtG"/>
        <w:tabs>
          <w:tab w:val="left" w:pos="3119"/>
        </w:tabs>
      </w:pPr>
      <w:r w:rsidRPr="00F60C0F">
        <w:rPr>
          <w:i/>
        </w:rPr>
        <w:t>Document</w:t>
      </w:r>
      <w:r w:rsidRPr="00F60C0F">
        <w:t>:</w:t>
      </w:r>
      <w:r w:rsidRPr="00F60C0F">
        <w:tab/>
      </w:r>
      <w:r w:rsidRPr="008D3329">
        <w:t>ECE/TRANS/WP.15/AC.1/2019/17 (United Kingdom)</w:t>
      </w:r>
    </w:p>
    <w:p w14:paraId="67415EF6" w14:textId="460158DC" w:rsidR="000B2F3F" w:rsidRDefault="004D246B" w:rsidP="007A3678">
      <w:pPr>
        <w:pStyle w:val="SingleTxtG"/>
      </w:pPr>
      <w:r>
        <w:t>16</w:t>
      </w:r>
      <w:r w:rsidR="000B2F3F" w:rsidRPr="00F60C0F">
        <w:t>.</w:t>
      </w:r>
      <w:r w:rsidR="000B2F3F" w:rsidRPr="00F60C0F">
        <w:tab/>
      </w:r>
      <w:r w:rsidR="000B2F3F" w:rsidRPr="00D71332">
        <w:t xml:space="preserve">Two arguments apply to protection of equipment mounted on top of tanks in general, </w:t>
      </w:r>
      <w:r w:rsidR="000B2F3F">
        <w:t>i</w:t>
      </w:r>
      <w:r w:rsidR="000B2F3F" w:rsidRPr="00D71332">
        <w:t>n 6.8.2.1.28 for protection against overturning, and in 6.8.2.2.1 for protection against being wrenched of</w:t>
      </w:r>
      <w:r w:rsidR="000B2F3F">
        <w:t>f</w:t>
      </w:r>
      <w:r w:rsidR="000B2F3F" w:rsidRPr="00D71332">
        <w:t xml:space="preserve"> or damage during carriage or handling.</w:t>
      </w:r>
      <w:r w:rsidR="007A3678">
        <w:t xml:space="preserve"> </w:t>
      </w:r>
      <w:r w:rsidR="000B2F3F" w:rsidRPr="00D71332">
        <w:t>For vacuum operated waste tanks according to 6.10.3.1, protection against being wrenched of</w:t>
      </w:r>
      <w:r w:rsidR="000B2F3F">
        <w:t>f</w:t>
      </w:r>
      <w:r w:rsidR="000B2F3F" w:rsidRPr="00D71332">
        <w:t xml:space="preserve"> during carriage and handling is provided if placed in a so called “protected area” as specified in 6.10.1.1.1. However</w:t>
      </w:r>
      <w:r w:rsidR="00B84083">
        <w:t xml:space="preserve">, </w:t>
      </w:r>
      <w:r w:rsidR="000B2F3F" w:rsidRPr="00D71332">
        <w:t>6.10.3.1 is worded in such a way that it does not address the protection against overturning as required by 6.8.2.1.28.</w:t>
      </w:r>
    </w:p>
    <w:p w14:paraId="51E4F376" w14:textId="7F1A789C" w:rsidR="000B2F3F" w:rsidRDefault="004D246B" w:rsidP="007A3678">
      <w:pPr>
        <w:pStyle w:val="SingleTxtG"/>
      </w:pPr>
      <w:r>
        <w:t>17</w:t>
      </w:r>
      <w:r w:rsidR="000B2F3F">
        <w:t>.</w:t>
      </w:r>
      <w:r w:rsidR="000B2F3F">
        <w:tab/>
        <w:t xml:space="preserve">Two views were expressed. One was that the application </w:t>
      </w:r>
      <w:r w:rsidR="000B2F3F" w:rsidRPr="00D71332">
        <w:t xml:space="preserve">of 6.8.2.1.28 </w:t>
      </w:r>
      <w:r w:rsidR="000522D7">
        <w:t>was</w:t>
      </w:r>
      <w:r w:rsidR="000522D7" w:rsidRPr="00D71332">
        <w:t xml:space="preserve"> </w:t>
      </w:r>
      <w:r w:rsidR="000B2F3F" w:rsidRPr="00D71332">
        <w:t xml:space="preserve">not overtaken by </w:t>
      </w:r>
      <w:r w:rsidR="000B2F3F">
        <w:t xml:space="preserve">Chapter </w:t>
      </w:r>
      <w:r w:rsidR="000B2F3F" w:rsidRPr="00D71332">
        <w:t xml:space="preserve">6.10 and </w:t>
      </w:r>
      <w:r w:rsidR="000522D7">
        <w:t>was</w:t>
      </w:r>
      <w:r w:rsidR="000B2F3F" w:rsidRPr="00D71332">
        <w:t xml:space="preserve"> not excluded in 6.10.1.2.1</w:t>
      </w:r>
      <w:r w:rsidR="000B2F3F">
        <w:t>,</w:t>
      </w:r>
      <w:r w:rsidR="000B2F3F" w:rsidRPr="00D71332">
        <w:t xml:space="preserve"> the conclusion </w:t>
      </w:r>
      <w:r w:rsidR="000B2F3F">
        <w:t xml:space="preserve">based on the wording of ADR </w:t>
      </w:r>
      <w:r w:rsidR="000522D7">
        <w:t>was</w:t>
      </w:r>
      <w:r w:rsidR="000522D7" w:rsidRPr="00D71332">
        <w:t xml:space="preserve"> </w:t>
      </w:r>
      <w:r w:rsidR="000B2F3F" w:rsidRPr="00D71332">
        <w:t>that vacuum</w:t>
      </w:r>
      <w:r w:rsidR="000B2F3F">
        <w:t>-</w:t>
      </w:r>
      <w:r w:rsidR="000B2F3F" w:rsidRPr="00D71332">
        <w:t xml:space="preserve">operated waste tanks </w:t>
      </w:r>
      <w:proofErr w:type="gramStart"/>
      <w:r w:rsidR="000B2F3F" w:rsidRPr="00D71332">
        <w:t>have to</w:t>
      </w:r>
      <w:proofErr w:type="gramEnd"/>
      <w:r w:rsidR="000B2F3F" w:rsidRPr="00D71332">
        <w:t xml:space="preserve"> comply </w:t>
      </w:r>
      <w:r w:rsidR="000B2F3F">
        <w:t>with</w:t>
      </w:r>
      <w:r w:rsidR="000B2F3F" w:rsidRPr="00D71332">
        <w:t xml:space="preserve"> 6.8.2.1.28.</w:t>
      </w:r>
      <w:r w:rsidR="000B2F3F">
        <w:t xml:space="preserve"> The other was that the applicability of 6.8.2.1.28 was never intended to apply when equipment is placed in a so called “protected area”.</w:t>
      </w:r>
    </w:p>
    <w:p w14:paraId="575CC584" w14:textId="252D3CD3" w:rsidR="000B2F3F" w:rsidRPr="00D71332" w:rsidRDefault="004D246B" w:rsidP="007A3678">
      <w:pPr>
        <w:pStyle w:val="SingleTxtG"/>
      </w:pPr>
      <w:r>
        <w:t>18</w:t>
      </w:r>
      <w:r w:rsidR="000B2F3F">
        <w:t>.</w:t>
      </w:r>
      <w:r w:rsidR="000B2F3F">
        <w:tab/>
        <w:t>It was also stated by some experts that there have been only a limited number of accidents</w:t>
      </w:r>
      <w:r w:rsidR="00863009">
        <w:t>,</w:t>
      </w:r>
      <w:r w:rsidR="000B2F3F">
        <w:t xml:space="preserve"> and </w:t>
      </w:r>
      <w:r w:rsidR="00863009">
        <w:t xml:space="preserve">that </w:t>
      </w:r>
      <w:r w:rsidR="000B2F3F">
        <w:t>in the accidents with tanks without protection there was no loss of contents reported due to damaged equipment. However</w:t>
      </w:r>
      <w:r w:rsidR="00B84083">
        <w:t xml:space="preserve">, </w:t>
      </w:r>
      <w:r w:rsidR="000B2F3F">
        <w:t xml:space="preserve">some </w:t>
      </w:r>
      <w:proofErr w:type="gramStart"/>
      <w:r w:rsidR="000B2F3F">
        <w:t>particular designs</w:t>
      </w:r>
      <w:proofErr w:type="gramEnd"/>
      <w:r w:rsidR="000B2F3F">
        <w:t xml:space="preserve"> may benefit from additional protection, while in other cases equipment is protected by other elements such as hose re</w:t>
      </w:r>
      <w:r w:rsidR="007A7EB1">
        <w:t>e</w:t>
      </w:r>
      <w:r w:rsidR="000B2F3F">
        <w:t>ls or suction booms.</w:t>
      </w:r>
    </w:p>
    <w:p w14:paraId="1D123604" w14:textId="685A6F3B" w:rsidR="000B2F3F" w:rsidRPr="00D71332" w:rsidRDefault="004D246B" w:rsidP="007A3678">
      <w:pPr>
        <w:pStyle w:val="SingleTxtG"/>
      </w:pPr>
      <w:r>
        <w:t>19</w:t>
      </w:r>
      <w:r w:rsidR="000B2F3F">
        <w:t>.</w:t>
      </w:r>
      <w:r w:rsidR="000B2F3F">
        <w:tab/>
        <w:t xml:space="preserve">Following </w:t>
      </w:r>
      <w:r w:rsidR="007B0054" w:rsidRPr="00D71332">
        <w:t>discussion,</w:t>
      </w:r>
      <w:r w:rsidR="000B2F3F" w:rsidRPr="00D71332">
        <w:t xml:space="preserve"> it </w:t>
      </w:r>
      <w:r w:rsidR="000B2F3F">
        <w:t xml:space="preserve">was not </w:t>
      </w:r>
      <w:r w:rsidR="000B2F3F" w:rsidRPr="00D71332">
        <w:t xml:space="preserve">possible to </w:t>
      </w:r>
      <w:r w:rsidR="00863009">
        <w:t>reach</w:t>
      </w:r>
      <w:r w:rsidR="000B2F3F" w:rsidRPr="00D71332">
        <w:t xml:space="preserve"> a conclusion. </w:t>
      </w:r>
      <w:r w:rsidR="000B2F3F">
        <w:t>However</w:t>
      </w:r>
      <w:r w:rsidR="00B84083">
        <w:t>,</w:t>
      </w:r>
      <w:r w:rsidR="000B2F3F">
        <w:t xml:space="preserve"> it was agreed that the text should be clarified to ensure a common interpretation and t</w:t>
      </w:r>
      <w:r w:rsidR="000B2F3F" w:rsidRPr="00D71332">
        <w:t xml:space="preserve">he United Kingdom </w:t>
      </w:r>
      <w:r w:rsidR="000B2F3F">
        <w:t>was</w:t>
      </w:r>
      <w:r w:rsidR="000B2F3F" w:rsidRPr="00D71332">
        <w:t xml:space="preserve"> invited </w:t>
      </w:r>
      <w:r w:rsidR="000B2F3F">
        <w:t xml:space="preserve">on behalf of the </w:t>
      </w:r>
      <w:r w:rsidR="00863009">
        <w:t>Working G</w:t>
      </w:r>
      <w:r w:rsidR="000B2F3F">
        <w:t xml:space="preserve">roup </w:t>
      </w:r>
      <w:r w:rsidR="000B2F3F" w:rsidRPr="00D71332">
        <w:t xml:space="preserve">to </w:t>
      </w:r>
      <w:r w:rsidR="000B2F3F">
        <w:t xml:space="preserve">submit </w:t>
      </w:r>
      <w:r w:rsidR="000B2F3F" w:rsidRPr="00D71332">
        <w:t xml:space="preserve">a </w:t>
      </w:r>
      <w:r w:rsidR="00863009">
        <w:t xml:space="preserve">revised </w:t>
      </w:r>
      <w:r w:rsidR="000B2F3F" w:rsidRPr="00D71332">
        <w:t xml:space="preserve">document </w:t>
      </w:r>
      <w:r w:rsidR="000B2F3F">
        <w:t>for a</w:t>
      </w:r>
      <w:r w:rsidR="000B2F3F" w:rsidRPr="00D71332">
        <w:t xml:space="preserve"> </w:t>
      </w:r>
      <w:r w:rsidR="000B2F3F">
        <w:t xml:space="preserve">future </w:t>
      </w:r>
      <w:r w:rsidR="000B2F3F" w:rsidRPr="00D71332">
        <w:t xml:space="preserve">session </w:t>
      </w:r>
      <w:proofErr w:type="gramStart"/>
      <w:r w:rsidR="000B2F3F" w:rsidRPr="00D71332">
        <w:t>taking into account</w:t>
      </w:r>
      <w:proofErr w:type="gramEnd"/>
      <w:r w:rsidR="000B2F3F" w:rsidRPr="00D71332">
        <w:t xml:space="preserve"> the comments made.</w:t>
      </w:r>
    </w:p>
    <w:p w14:paraId="5EAF01DB" w14:textId="2D3DBFCF" w:rsidR="000B2F3F" w:rsidRDefault="007A3678" w:rsidP="007A3678">
      <w:pPr>
        <w:pStyle w:val="H23G"/>
      </w:pPr>
      <w:r>
        <w:lastRenderedPageBreak/>
        <w:tab/>
      </w:r>
      <w:r w:rsidR="000B2F3F" w:rsidRPr="00CA246C">
        <w:t xml:space="preserve">Item 6: </w:t>
      </w:r>
      <w:r>
        <w:tab/>
      </w:r>
      <w:r w:rsidR="000B2F3F" w:rsidRPr="00CA246C">
        <w:t xml:space="preserve">Report of the ninth session of the informal working group on the inspection and certification of tanks </w:t>
      </w:r>
    </w:p>
    <w:p w14:paraId="7AE7168E" w14:textId="77777777" w:rsidR="008D3329" w:rsidRDefault="008D3329" w:rsidP="008D3329">
      <w:pPr>
        <w:pStyle w:val="SingleTxtG"/>
        <w:tabs>
          <w:tab w:val="left" w:pos="3119"/>
        </w:tabs>
        <w:rPr>
          <w:highlight w:val="yellow"/>
        </w:rPr>
      </w:pPr>
      <w:r w:rsidRPr="00F60C0F">
        <w:rPr>
          <w:i/>
        </w:rPr>
        <w:t>Document</w:t>
      </w:r>
      <w:r w:rsidRPr="00F60C0F">
        <w:t>:</w:t>
      </w:r>
      <w:r w:rsidRPr="00F60C0F">
        <w:tab/>
      </w:r>
      <w:r w:rsidRPr="008D3329">
        <w:t>ECE/TRANS/WP.15/AC.1/2019/18 (United Kingdom)</w:t>
      </w:r>
    </w:p>
    <w:p w14:paraId="0E594A4A" w14:textId="77777777" w:rsidR="008D3329" w:rsidRDefault="008D3329" w:rsidP="00CB09D3">
      <w:pPr>
        <w:pStyle w:val="SingleTxtG"/>
        <w:tabs>
          <w:tab w:val="left" w:pos="3119"/>
        </w:tabs>
        <w:spacing w:after="0"/>
      </w:pPr>
      <w:r w:rsidRPr="00E26270">
        <w:rPr>
          <w:i/>
          <w:iCs/>
        </w:rPr>
        <w:t>Informal document</w:t>
      </w:r>
      <w:r>
        <w:rPr>
          <w:i/>
          <w:iCs/>
        </w:rPr>
        <w:t>s</w:t>
      </w:r>
      <w:r>
        <w:t xml:space="preserve">: </w:t>
      </w:r>
      <w:r>
        <w:tab/>
        <w:t>INF.11, INF.12 and INF.13 (United Kingdom)</w:t>
      </w:r>
    </w:p>
    <w:p w14:paraId="1283A060" w14:textId="77777777" w:rsidR="008D3329" w:rsidRDefault="008D3329" w:rsidP="00CB09D3">
      <w:pPr>
        <w:pStyle w:val="SingleTxtG"/>
        <w:tabs>
          <w:tab w:val="left" w:pos="3119"/>
        </w:tabs>
        <w:spacing w:after="0"/>
      </w:pPr>
      <w:r>
        <w:tab/>
        <w:t>INF.21 (Netherlands)</w:t>
      </w:r>
    </w:p>
    <w:p w14:paraId="5EAC2BC9" w14:textId="706A1607" w:rsidR="008D3329" w:rsidRPr="00A24CAF" w:rsidRDefault="008D3329" w:rsidP="008D3329">
      <w:pPr>
        <w:pStyle w:val="SingleTxtG"/>
        <w:tabs>
          <w:tab w:val="left" w:pos="3119"/>
        </w:tabs>
      </w:pPr>
      <w:r>
        <w:tab/>
        <w:t xml:space="preserve">INF.25 (European </w:t>
      </w:r>
      <w:r w:rsidR="00A74326">
        <w:t>Commission</w:t>
      </w:r>
      <w:r>
        <w:t>)</w:t>
      </w:r>
    </w:p>
    <w:p w14:paraId="0E189E9B" w14:textId="1F8A1B17" w:rsidR="000B2F3F" w:rsidRPr="00A63337" w:rsidRDefault="004D246B" w:rsidP="007A3678">
      <w:pPr>
        <w:pStyle w:val="SingleTxtG"/>
        <w:rPr>
          <w:color w:val="222222"/>
          <w:lang w:eastAsia="en-GB"/>
        </w:rPr>
      </w:pPr>
      <w:r>
        <w:t>20</w:t>
      </w:r>
      <w:r w:rsidR="000B2F3F">
        <w:t>.</w:t>
      </w:r>
      <w:r w:rsidR="000B2F3F">
        <w:tab/>
      </w:r>
      <w:r w:rsidR="000B2F3F" w:rsidRPr="00440E19">
        <w:t>The chair of the informal working group introduced the documents</w:t>
      </w:r>
      <w:r w:rsidR="000B2F3F">
        <w:t xml:space="preserve"> from the </w:t>
      </w:r>
      <w:r w:rsidR="00863009">
        <w:t xml:space="preserve">informal working </w:t>
      </w:r>
      <w:r w:rsidR="000B2F3F">
        <w:t xml:space="preserve">group. The </w:t>
      </w:r>
      <w:r w:rsidR="00863009">
        <w:t xml:space="preserve">informal </w:t>
      </w:r>
      <w:r w:rsidR="000B2F3F">
        <w:t xml:space="preserve">working group had met twice since the last session of the Joint Meeting and document </w:t>
      </w:r>
      <w:r w:rsidR="00863009" w:rsidRPr="008D3329">
        <w:t>ECE/TRANS/WP.15/AC.1/2019/18</w:t>
      </w:r>
      <w:r w:rsidR="000B2F3F">
        <w:t xml:space="preserve"> and informal document INF.11 contain the reports of these meetings. Special </w:t>
      </w:r>
      <w:r w:rsidR="000B2F3F" w:rsidRPr="00440E19">
        <w:t xml:space="preserve">attention </w:t>
      </w:r>
      <w:r w:rsidR="000B2F3F">
        <w:t xml:space="preserve">was drawn </w:t>
      </w:r>
      <w:r w:rsidR="000B2F3F" w:rsidRPr="00440E19">
        <w:t xml:space="preserve">to </w:t>
      </w:r>
      <w:r w:rsidR="000B2F3F">
        <w:t>informal</w:t>
      </w:r>
      <w:r w:rsidR="00863009">
        <w:t xml:space="preserve"> </w:t>
      </w:r>
      <w:r w:rsidR="000B2F3F">
        <w:t xml:space="preserve">document </w:t>
      </w:r>
      <w:r w:rsidR="000B2F3F" w:rsidRPr="00440E19">
        <w:t>INF</w:t>
      </w:r>
      <w:r w:rsidR="000B2F3F">
        <w:t>.</w:t>
      </w:r>
      <w:r w:rsidR="000B2F3F" w:rsidRPr="00440E19">
        <w:t xml:space="preserve">12 that contained in Annex I the </w:t>
      </w:r>
      <w:r w:rsidR="000B2F3F">
        <w:t>f</w:t>
      </w:r>
      <w:r w:rsidR="000B2F3F" w:rsidRPr="00440E19">
        <w:t xml:space="preserve">undamental principles on which the work was done. </w:t>
      </w:r>
      <w:r w:rsidR="000B2F3F">
        <w:t>However</w:t>
      </w:r>
      <w:r w:rsidR="00B84083">
        <w:t>,</w:t>
      </w:r>
      <w:r w:rsidR="000B2F3F">
        <w:t xml:space="preserve"> i</w:t>
      </w:r>
      <w:r w:rsidR="000B2F3F" w:rsidRPr="00440E19">
        <w:t>t was felt that it would be helpful for the discussion</w:t>
      </w:r>
      <w:r w:rsidR="000B2F3F">
        <w:t xml:space="preserve">s if an </w:t>
      </w:r>
      <w:r w:rsidR="000B2F3F" w:rsidRPr="00440E19">
        <w:t xml:space="preserve">overview of the main </w:t>
      </w:r>
      <w:r w:rsidR="000B2F3F">
        <w:t>objectives of the project was provided, namely to e</w:t>
      </w:r>
      <w:r w:rsidR="000B2F3F" w:rsidRPr="00A63337">
        <w:rPr>
          <w:color w:val="222222"/>
          <w:lang w:eastAsia="en-GB"/>
        </w:rPr>
        <w:t>stablish a common approach of reciprocal recognition for the administrative controls and procedures for conformity assessments, type approval certification and inspections, in which:</w:t>
      </w:r>
    </w:p>
    <w:p w14:paraId="618958F4" w14:textId="3F08F56D" w:rsidR="000B2F3F" w:rsidRPr="00A63337" w:rsidRDefault="008D3329" w:rsidP="00CB09D3">
      <w:pPr>
        <w:pStyle w:val="SingleTxtG"/>
        <w:ind w:firstLine="567"/>
        <w:rPr>
          <w:lang w:eastAsia="en-GB"/>
        </w:rPr>
      </w:pPr>
      <w:r>
        <w:rPr>
          <w:lang w:eastAsia="en-GB"/>
        </w:rPr>
        <w:t>(a)</w:t>
      </w:r>
      <w:r>
        <w:rPr>
          <w:lang w:eastAsia="en-GB"/>
        </w:rPr>
        <w:tab/>
      </w:r>
      <w:r w:rsidR="000B2F3F" w:rsidRPr="00A63337">
        <w:rPr>
          <w:lang w:eastAsia="en-GB"/>
        </w:rPr>
        <w:t>inspection bodies are app</w:t>
      </w:r>
      <w:r w:rsidR="000B2F3F">
        <w:rPr>
          <w:lang w:eastAsia="en-GB"/>
        </w:rPr>
        <w:t>roved</w:t>
      </w:r>
      <w:r w:rsidR="000B2F3F" w:rsidRPr="00A63337">
        <w:rPr>
          <w:lang w:eastAsia="en-GB"/>
        </w:rPr>
        <w:t xml:space="preserve"> </w:t>
      </w:r>
      <w:r w:rsidR="00B84083" w:rsidRPr="00A63337">
        <w:rPr>
          <w:lang w:eastAsia="en-GB"/>
        </w:rPr>
        <w:t>based on</w:t>
      </w:r>
      <w:r w:rsidR="000B2F3F" w:rsidRPr="00A63337">
        <w:rPr>
          <w:lang w:eastAsia="en-GB"/>
        </w:rPr>
        <w:t xml:space="preserve"> EN ISO/IEC 17020 and </w:t>
      </w:r>
      <w:r w:rsidR="000B2F3F">
        <w:rPr>
          <w:lang w:eastAsia="en-GB"/>
        </w:rPr>
        <w:t xml:space="preserve">may be </w:t>
      </w:r>
      <w:r w:rsidR="000B2F3F" w:rsidRPr="00A63337">
        <w:rPr>
          <w:lang w:eastAsia="en-GB"/>
        </w:rPr>
        <w:t>recognised by other RID</w:t>
      </w:r>
      <w:r w:rsidR="007A7EB1">
        <w:rPr>
          <w:lang w:eastAsia="en-GB"/>
        </w:rPr>
        <w:t xml:space="preserve"> contracting states</w:t>
      </w:r>
      <w:r w:rsidR="000B2F3F" w:rsidRPr="00A63337">
        <w:rPr>
          <w:lang w:eastAsia="en-GB"/>
        </w:rPr>
        <w:t>/ADR contracting parties</w:t>
      </w:r>
      <w:r>
        <w:rPr>
          <w:lang w:eastAsia="en-GB"/>
        </w:rPr>
        <w:t>;</w:t>
      </w:r>
    </w:p>
    <w:p w14:paraId="6D266EC4" w14:textId="12427C55" w:rsidR="000B2F3F" w:rsidRPr="00A63337" w:rsidRDefault="008D3329" w:rsidP="00CB09D3">
      <w:pPr>
        <w:pStyle w:val="SingleTxtG"/>
        <w:ind w:firstLine="567"/>
        <w:rPr>
          <w:lang w:eastAsia="en-GB"/>
        </w:rPr>
      </w:pPr>
      <w:r>
        <w:rPr>
          <w:lang w:eastAsia="en-GB"/>
        </w:rPr>
        <w:t>(b)</w:t>
      </w:r>
      <w:r>
        <w:rPr>
          <w:lang w:eastAsia="en-GB"/>
        </w:rPr>
        <w:tab/>
      </w:r>
      <w:r w:rsidR="000B2F3F" w:rsidRPr="00A63337">
        <w:rPr>
          <w:lang w:eastAsia="en-GB"/>
        </w:rPr>
        <w:t>such bodies are clearly made responsible for checking the conformity of the complete tank irrespective of wherever the various components are manufactured</w:t>
      </w:r>
      <w:r>
        <w:rPr>
          <w:lang w:eastAsia="en-GB"/>
        </w:rPr>
        <w:t>;</w:t>
      </w:r>
      <w:r w:rsidR="000B2F3F" w:rsidRPr="00A63337">
        <w:rPr>
          <w:lang w:eastAsia="en-GB"/>
        </w:rPr>
        <w:t xml:space="preserve"> and</w:t>
      </w:r>
    </w:p>
    <w:p w14:paraId="76744525" w14:textId="290268E1" w:rsidR="000B2F3F" w:rsidRPr="00440E19" w:rsidRDefault="008D3329" w:rsidP="00CB09D3">
      <w:pPr>
        <w:pStyle w:val="SingleTxtG"/>
        <w:ind w:firstLine="567"/>
      </w:pPr>
      <w:r>
        <w:rPr>
          <w:lang w:eastAsia="en-GB"/>
        </w:rPr>
        <w:t>(c)</w:t>
      </w:r>
      <w:r>
        <w:rPr>
          <w:lang w:eastAsia="en-GB"/>
        </w:rPr>
        <w:tab/>
      </w:r>
      <w:r w:rsidR="000B2F3F" w:rsidRPr="00A63337">
        <w:rPr>
          <w:lang w:eastAsia="en-GB"/>
        </w:rPr>
        <w:t>an entry into service verification is introduced for certain circumstances to ensure that the require</w:t>
      </w:r>
      <w:r w:rsidR="000B2F3F">
        <w:rPr>
          <w:lang w:eastAsia="en-GB"/>
        </w:rPr>
        <w:t>ments of RID/ADR are fulfilled.</w:t>
      </w:r>
    </w:p>
    <w:p w14:paraId="658D84AA" w14:textId="602DC5C6" w:rsidR="000B2F3F" w:rsidRPr="008B41A7" w:rsidRDefault="004D246B" w:rsidP="008B41A7">
      <w:pPr>
        <w:pStyle w:val="SingleTxtG"/>
      </w:pPr>
      <w:r>
        <w:t>21</w:t>
      </w:r>
      <w:r w:rsidR="00863009">
        <w:t>.</w:t>
      </w:r>
      <w:r w:rsidR="00863009">
        <w:tab/>
      </w:r>
      <w:r w:rsidR="000B2F3F" w:rsidRPr="00707A43">
        <w:t xml:space="preserve">It was </w:t>
      </w:r>
      <w:r w:rsidR="00863009">
        <w:t>noted</w:t>
      </w:r>
      <w:r w:rsidR="00863009" w:rsidRPr="00707A43">
        <w:t xml:space="preserve"> </w:t>
      </w:r>
      <w:r w:rsidR="000B2F3F" w:rsidRPr="00707A43">
        <w:t xml:space="preserve">that some questions </w:t>
      </w:r>
      <w:r w:rsidR="000B2F3F" w:rsidRPr="008B41A7">
        <w:t>and reservations remained</w:t>
      </w:r>
      <w:r w:rsidR="00863009">
        <w:t xml:space="preserve"> </w:t>
      </w:r>
      <w:r w:rsidR="00863009" w:rsidRPr="00707A43">
        <w:t>since the last session of the informal working group</w:t>
      </w:r>
      <w:r w:rsidR="000B2F3F" w:rsidRPr="008B41A7">
        <w:t>. Informal document INF.13 contains the complete reworded sections 1.8.6, 1.8.7 and the amendments to Chapter 6.8. The questions and reservations in square brackets were considered by the Working Group on Tanks.</w:t>
      </w:r>
    </w:p>
    <w:p w14:paraId="01276114" w14:textId="689CD934" w:rsidR="000B2F3F" w:rsidRDefault="004D246B" w:rsidP="008D3329">
      <w:pPr>
        <w:pStyle w:val="SingleTxtG"/>
      </w:pPr>
      <w:r>
        <w:t>22</w:t>
      </w:r>
      <w:r w:rsidR="000B2F3F">
        <w:t>.</w:t>
      </w:r>
      <w:r w:rsidR="000B2F3F">
        <w:tab/>
      </w:r>
      <w:r w:rsidR="00863009">
        <w:t>A</w:t>
      </w:r>
      <w:r w:rsidR="000B2F3F">
        <w:t xml:space="preserve">ttention was drawn </w:t>
      </w:r>
      <w:r w:rsidR="00863009">
        <w:t xml:space="preserve">in informal document INF.21 </w:t>
      </w:r>
      <w:r w:rsidR="000B2F3F">
        <w:t>to the benefits of having a national approval system for inspection bodies</w:t>
      </w:r>
      <w:r w:rsidR="000B2F3F" w:rsidRPr="00A54905">
        <w:t>.</w:t>
      </w:r>
      <w:r w:rsidR="000B2F3F">
        <w:t xml:space="preserve"> The expert </w:t>
      </w:r>
      <w:r w:rsidR="00863009">
        <w:t xml:space="preserve">from </w:t>
      </w:r>
      <w:r w:rsidR="000B2F3F">
        <w:t xml:space="preserve">the Netherlands expressed the view that systems based on the fundamental requirements of ISO 17020 were being applied in the Netherlands with very good results. </w:t>
      </w:r>
    </w:p>
    <w:p w14:paraId="5EC3DE48" w14:textId="30DC0474" w:rsidR="000B2F3F" w:rsidRDefault="004D246B" w:rsidP="008D3329">
      <w:pPr>
        <w:pStyle w:val="SingleTxtG"/>
        <w:rPr>
          <w:color w:val="222222"/>
          <w:lang w:eastAsia="en-GB"/>
        </w:rPr>
      </w:pPr>
      <w:r>
        <w:t>23</w:t>
      </w:r>
      <w:r w:rsidR="000B2F3F">
        <w:t>.</w:t>
      </w:r>
      <w:r w:rsidR="000B2F3F">
        <w:tab/>
        <w:t xml:space="preserve">The </w:t>
      </w:r>
      <w:r w:rsidR="00B84083">
        <w:t xml:space="preserve">representative of the </w:t>
      </w:r>
      <w:r w:rsidR="000B2F3F">
        <w:t xml:space="preserve">European Commission presented informal document INF.25 </w:t>
      </w:r>
      <w:r w:rsidR="00863009">
        <w:t>where</w:t>
      </w:r>
      <w:r w:rsidR="000B2F3F">
        <w:t xml:space="preserve"> several amendments were proposed to help ensure the proper functioning of </w:t>
      </w:r>
      <w:r w:rsidR="00863009">
        <w:t>the “</w:t>
      </w:r>
      <w:r w:rsidR="000B2F3F">
        <w:t>Transportable Pressure Equipment Directive</w:t>
      </w:r>
      <w:r w:rsidR="00863009">
        <w:t xml:space="preserve">” (Directive </w:t>
      </w:r>
      <w:r w:rsidR="00863009" w:rsidRPr="00863009">
        <w:t>2010/35/EU</w:t>
      </w:r>
      <w:r w:rsidR="00863009">
        <w:t>)</w:t>
      </w:r>
      <w:r w:rsidR="00863009" w:rsidRPr="0068483C">
        <w:rPr>
          <w:rStyle w:val="FootnoteReference"/>
          <w:sz w:val="20"/>
        </w:rPr>
        <w:footnoteReference w:id="4"/>
      </w:r>
      <w:r w:rsidR="000B2F3F">
        <w:t xml:space="preserve">. </w:t>
      </w:r>
      <w:proofErr w:type="gramStart"/>
      <w:r w:rsidR="000B2F3F">
        <w:t>In particular discussion</w:t>
      </w:r>
      <w:proofErr w:type="gramEnd"/>
      <w:r w:rsidR="000B2F3F">
        <w:t xml:space="preserve"> </w:t>
      </w:r>
      <w:r w:rsidR="00863009">
        <w:t xml:space="preserve">on the subject of a national system for the approval of inspection bodies </w:t>
      </w:r>
      <w:r w:rsidR="000B2F3F">
        <w:t>led to new wording for 1.8.6.2.1 as follows:</w:t>
      </w:r>
    </w:p>
    <w:p w14:paraId="1B335BD5" w14:textId="77777777" w:rsidR="000B2F3F" w:rsidRPr="008D3329" w:rsidRDefault="000B2F3F" w:rsidP="00CB09D3">
      <w:pPr>
        <w:pStyle w:val="SingleTxtG"/>
        <w:ind w:left="1701"/>
        <w:rPr>
          <w:i/>
          <w:iCs/>
          <w:lang w:eastAsia="en-GB"/>
        </w:rPr>
      </w:pPr>
      <w:r w:rsidRPr="008D3329">
        <w:rPr>
          <w:i/>
          <w:iCs/>
          <w:lang w:eastAsia="en-GB"/>
        </w:rPr>
        <w:t>“When the competent authority approves an inspection body, the approval scheme shall be based on EN ISO/IEC 17020:2012 (except clause 8.1.3) type A, or type B when allowed in chapter 6.2.</w:t>
      </w:r>
    </w:p>
    <w:p w14:paraId="1C56B9FF" w14:textId="77777777" w:rsidR="000B2F3F" w:rsidRPr="008D3329" w:rsidRDefault="000B2F3F" w:rsidP="00CB09D3">
      <w:pPr>
        <w:pStyle w:val="SingleTxtG"/>
        <w:ind w:left="1701"/>
        <w:rPr>
          <w:i/>
          <w:iCs/>
          <w:lang w:eastAsia="en-GB"/>
        </w:rPr>
      </w:pPr>
      <w:r w:rsidRPr="00CB09D3">
        <w:rPr>
          <w:i/>
          <w:iCs/>
          <w:lang w:eastAsia="en-GB"/>
        </w:rPr>
        <w:t xml:space="preserve">Except when 6.2.2.11, 6.2.3.6 and TA4 and TT9 of 6.8.4 apply, competent authorities may decide not to use accreditation according to EN ISO/IEC 17020:2012. In these circumstances the competent authority </w:t>
      </w:r>
      <w:r w:rsidRPr="008D3329">
        <w:rPr>
          <w:i/>
          <w:iCs/>
          <w:lang w:eastAsia="en-GB"/>
        </w:rPr>
        <w:t>shall provide all the documentary evidence necessary for the verification of the competence and independence of the inspection bodies in accordance with 1.8.6.2.4.</w:t>
      </w:r>
    </w:p>
    <w:p w14:paraId="462A2748" w14:textId="607CB319" w:rsidR="000B2F3F" w:rsidRPr="008D3329" w:rsidRDefault="000B2F3F" w:rsidP="00CB09D3">
      <w:pPr>
        <w:pStyle w:val="SingleTxtG"/>
        <w:ind w:left="1701"/>
        <w:rPr>
          <w:i/>
          <w:iCs/>
          <w:lang w:eastAsia="en-GB"/>
        </w:rPr>
      </w:pPr>
      <w:r w:rsidRPr="008D3329">
        <w:rPr>
          <w:i/>
          <w:iCs/>
          <w:lang w:eastAsia="en-GB"/>
        </w:rPr>
        <w:t>When the competent authority does not approve inspection bodies but performs these tasks itself, the competent authority shall meet the provisions of 1.8.6.3.</w:t>
      </w:r>
      <w:r w:rsidR="00B84083">
        <w:rPr>
          <w:i/>
          <w:iCs/>
          <w:lang w:eastAsia="en-GB"/>
        </w:rPr>
        <w:t>”.</w:t>
      </w:r>
    </w:p>
    <w:p w14:paraId="5A31BF1C" w14:textId="71170FC4" w:rsidR="000B2F3F" w:rsidRDefault="004D246B" w:rsidP="008D3329">
      <w:pPr>
        <w:pStyle w:val="SingleTxtG"/>
      </w:pPr>
      <w:r>
        <w:lastRenderedPageBreak/>
        <w:t>24</w:t>
      </w:r>
      <w:r w:rsidR="000B2F3F">
        <w:t>.</w:t>
      </w:r>
      <w:r w:rsidR="000B2F3F">
        <w:tab/>
        <w:t xml:space="preserve">After </w:t>
      </w:r>
      <w:r w:rsidR="00863009">
        <w:t>revising</w:t>
      </w:r>
      <w:r w:rsidR="000B2F3F">
        <w:t xml:space="preserve"> informal document INF.13 and the wording above</w:t>
      </w:r>
      <w:r w:rsidR="00863009">
        <w:t>,</w:t>
      </w:r>
      <w:r w:rsidR="000B2F3F">
        <w:t xml:space="preserve"> the experts of the Working Group on Tanks </w:t>
      </w:r>
      <w:r w:rsidR="00863009">
        <w:t>considered</w:t>
      </w:r>
      <w:r w:rsidR="000B2F3F">
        <w:t xml:space="preserve"> that from a technical point of view</w:t>
      </w:r>
      <w:r w:rsidR="00863009">
        <w:t>,</w:t>
      </w:r>
      <w:r w:rsidR="000B2F3F">
        <w:t xml:space="preserve"> there could be confidence that the amendments would be effective. Some wording had to remain in square brackets mainly for editorial reasons, although one </w:t>
      </w:r>
      <w:r w:rsidR="00863009">
        <w:t>issue</w:t>
      </w:r>
      <w:r w:rsidR="000B2F3F">
        <w:t xml:space="preserve"> concerning the work done by inspection bodies in other territories was yet to be discussed.</w:t>
      </w:r>
    </w:p>
    <w:p w14:paraId="417D79BA" w14:textId="608F3181" w:rsidR="000B2F3F" w:rsidRDefault="004D246B" w:rsidP="008D3329">
      <w:pPr>
        <w:pStyle w:val="SingleTxtG"/>
      </w:pPr>
      <w:r>
        <w:t>25</w:t>
      </w:r>
      <w:r w:rsidR="000B2F3F">
        <w:t>.</w:t>
      </w:r>
      <w:r w:rsidR="000B2F3F">
        <w:tab/>
        <w:t xml:space="preserve">Also, as this was the first time the complete set of amendments </w:t>
      </w:r>
      <w:r w:rsidR="00863009">
        <w:t xml:space="preserve">was </w:t>
      </w:r>
      <w:r w:rsidR="000B2F3F">
        <w:t xml:space="preserve">available it was felt that the </w:t>
      </w:r>
      <w:r w:rsidR="00863009">
        <w:t xml:space="preserve">impact </w:t>
      </w:r>
      <w:r w:rsidR="000B2F3F">
        <w:t xml:space="preserve">of the proposed wording should be further considered at the next meeting of the informal working group to be held </w:t>
      </w:r>
      <w:r w:rsidR="00863009">
        <w:t xml:space="preserve">in London </w:t>
      </w:r>
      <w:r w:rsidR="000B2F3F">
        <w:t xml:space="preserve">on 12 to 14 June 2019. Delegates are invited to consider the proposals and submit comments to the </w:t>
      </w:r>
      <w:r w:rsidR="007A7EB1">
        <w:t xml:space="preserve">informal </w:t>
      </w:r>
      <w:r w:rsidR="000B2F3F">
        <w:t>working group in due time to enable the text to be finalized at this meeting with a view to adoption at the autumn session of the Joint Meeting.</w:t>
      </w:r>
    </w:p>
    <w:p w14:paraId="05B3A546" w14:textId="66DB9EB1" w:rsidR="000B2F3F" w:rsidRDefault="008D3329" w:rsidP="008D3329">
      <w:pPr>
        <w:pStyle w:val="H23G"/>
      </w:pPr>
      <w:r>
        <w:rPr>
          <w:lang w:val="en-US" w:eastAsia="zh-CN"/>
        </w:rPr>
        <w:tab/>
      </w:r>
      <w:r w:rsidR="000B2F3F" w:rsidRPr="00787B26">
        <w:rPr>
          <w:lang w:val="en-US" w:eastAsia="zh-CN"/>
        </w:rPr>
        <w:t xml:space="preserve">Item 7: </w:t>
      </w:r>
      <w:r>
        <w:rPr>
          <w:lang w:val="en-US" w:eastAsia="zh-CN"/>
        </w:rPr>
        <w:tab/>
      </w:r>
      <w:bookmarkStart w:id="0" w:name="OLE_LINK1"/>
      <w:bookmarkStart w:id="1" w:name="OLE_LINK2"/>
      <w:r w:rsidR="000B2F3F" w:rsidRPr="00787B26">
        <w:t>Carriage of tanks, battery-wagons/battery-vehicles and MEGCs following the expiry of deadlines for intermediate inspections</w:t>
      </w:r>
      <w:bookmarkEnd w:id="0"/>
      <w:bookmarkEnd w:id="1"/>
    </w:p>
    <w:p w14:paraId="57D81398" w14:textId="77777777" w:rsidR="00B84083" w:rsidRPr="002A0513" w:rsidRDefault="00B84083" w:rsidP="00B84083">
      <w:pPr>
        <w:pStyle w:val="SingleTxtG"/>
        <w:tabs>
          <w:tab w:val="left" w:pos="3119"/>
        </w:tabs>
        <w:rPr>
          <w:highlight w:val="yellow"/>
          <w:lang w:val="fr-CH"/>
        </w:rPr>
      </w:pPr>
      <w:proofErr w:type="gramStart"/>
      <w:r w:rsidRPr="002A0513">
        <w:rPr>
          <w:i/>
          <w:lang w:val="fr-CH"/>
        </w:rPr>
        <w:t>Document</w:t>
      </w:r>
      <w:r w:rsidRPr="002A0513">
        <w:rPr>
          <w:lang w:val="fr-CH"/>
        </w:rPr>
        <w:t>:</w:t>
      </w:r>
      <w:proofErr w:type="gramEnd"/>
      <w:r w:rsidRPr="002A0513">
        <w:rPr>
          <w:lang w:val="fr-CH"/>
        </w:rPr>
        <w:tab/>
        <w:t>ECE/TRANS/WP.15/AC.1/2019/19 (</w:t>
      </w:r>
      <w:proofErr w:type="spellStart"/>
      <w:r w:rsidRPr="002A0513">
        <w:rPr>
          <w:lang w:val="fr-CH"/>
        </w:rPr>
        <w:t>Poland</w:t>
      </w:r>
      <w:proofErr w:type="spellEnd"/>
      <w:r w:rsidRPr="002A0513">
        <w:rPr>
          <w:lang w:val="fr-CH"/>
        </w:rPr>
        <w:t>)</w:t>
      </w:r>
    </w:p>
    <w:p w14:paraId="6D1E72E9" w14:textId="028DBB19" w:rsidR="008D3329" w:rsidRDefault="004D246B" w:rsidP="008D3329">
      <w:pPr>
        <w:pStyle w:val="SingleTxtG"/>
      </w:pPr>
      <w:r>
        <w:rPr>
          <w:lang w:eastAsia="zh-CN"/>
        </w:rPr>
        <w:t>26</w:t>
      </w:r>
      <w:r w:rsidR="000B2F3F" w:rsidRPr="00224E46">
        <w:rPr>
          <w:lang w:eastAsia="zh-CN"/>
        </w:rPr>
        <w:t>.</w:t>
      </w:r>
      <w:r w:rsidR="000B2F3F" w:rsidRPr="00224E46">
        <w:tab/>
      </w:r>
      <w:r w:rsidR="006D418A">
        <w:t>An amendment to p</w:t>
      </w:r>
      <w:r w:rsidR="00B84083">
        <w:t xml:space="preserve">aragraph </w:t>
      </w:r>
      <w:r w:rsidR="000B2F3F">
        <w:t xml:space="preserve">4.3.2.3.7 </w:t>
      </w:r>
      <w:r w:rsidR="006D418A">
        <w:t xml:space="preserve">was adopted at the March 2016 session of the Joint Meeting, </w:t>
      </w:r>
      <w:r w:rsidR="000B2F3F">
        <w:t>to allow carriage for an additional month after the expiry of the next periodic inspection when the tank was filled before</w:t>
      </w:r>
      <w:r w:rsidR="006D418A">
        <w:t xml:space="preserve"> that date</w:t>
      </w:r>
      <w:r w:rsidR="000B2F3F">
        <w:t>. However, this option was not included for the intermediate inspection</w:t>
      </w:r>
      <w:r w:rsidR="006D418A">
        <w:t xml:space="preserve"> although according to </w:t>
      </w:r>
      <w:r w:rsidR="000B2F3F">
        <w:t xml:space="preserve">6.8.2.4.3 the intermediate inspection </w:t>
      </w:r>
      <w:r w:rsidR="006D418A">
        <w:t xml:space="preserve">can </w:t>
      </w:r>
      <w:r w:rsidR="000B2F3F">
        <w:t>take place 3 months before or after the specified date, thus adding three months.</w:t>
      </w:r>
    </w:p>
    <w:p w14:paraId="442B4E67" w14:textId="4CB7322C" w:rsidR="000B2F3F" w:rsidRDefault="004D246B" w:rsidP="008D3329">
      <w:pPr>
        <w:pStyle w:val="SingleTxtG"/>
      </w:pPr>
      <w:r>
        <w:t>27</w:t>
      </w:r>
      <w:r w:rsidR="000B2F3F">
        <w:t>.</w:t>
      </w:r>
      <w:r w:rsidR="000B2F3F">
        <w:tab/>
        <w:t>Poland proposes</w:t>
      </w:r>
      <w:r w:rsidR="006D418A">
        <w:t xml:space="preserve"> </w:t>
      </w:r>
      <w:r w:rsidR="000B2F3F">
        <w:t>amendments to 4.3.2.3.7 to allow carriage when the tank is filled before the specified date for the intermediate inspection (based on the date of the previous inspection) up to 3 months after that date</w:t>
      </w:r>
      <w:r w:rsidR="006D418A">
        <w:t>, t</w:t>
      </w:r>
      <w:r w:rsidR="000B2F3F">
        <w:t xml:space="preserve">hus allowing the </w:t>
      </w:r>
      <w:r w:rsidR="006D418A">
        <w:t xml:space="preserve">three </w:t>
      </w:r>
      <w:r w:rsidR="000B2F3F">
        <w:t>months given in 6.8.2.</w:t>
      </w:r>
      <w:r w:rsidR="007A7EB1">
        <w:t>4</w:t>
      </w:r>
      <w:r w:rsidR="000B2F3F">
        <w:t>.</w:t>
      </w:r>
      <w:r w:rsidR="007A7EB1">
        <w:t>3</w:t>
      </w:r>
      <w:r w:rsidR="000B2F3F">
        <w:t xml:space="preserve">. </w:t>
      </w:r>
    </w:p>
    <w:p w14:paraId="4C6BA5B3" w14:textId="6C14D9A7" w:rsidR="000B2F3F" w:rsidRDefault="004D246B" w:rsidP="008D3329">
      <w:pPr>
        <w:pStyle w:val="SingleTxtG"/>
      </w:pPr>
      <w:r>
        <w:t>28</w:t>
      </w:r>
      <w:r w:rsidR="000B2F3F">
        <w:t>.</w:t>
      </w:r>
      <w:r w:rsidR="000B2F3F">
        <w:tab/>
        <w:t xml:space="preserve">Discussion evolved on the exact meaning of the wording “within three months before or after the specified date” in </w:t>
      </w:r>
      <w:r w:rsidR="006D418A">
        <w:t xml:space="preserve">the </w:t>
      </w:r>
      <w:r w:rsidR="007A7EB1">
        <w:t>first</w:t>
      </w:r>
      <w:r w:rsidR="006D418A">
        <w:t xml:space="preserve"> paragraph of </w:t>
      </w:r>
      <w:r w:rsidR="000B2F3F">
        <w:t>6.8.2.</w:t>
      </w:r>
      <w:r w:rsidR="007A7EB1">
        <w:t>4</w:t>
      </w:r>
      <w:r w:rsidR="000B2F3F">
        <w:t>.</w:t>
      </w:r>
      <w:r w:rsidR="007A7EB1">
        <w:t>3</w:t>
      </w:r>
      <w:r w:rsidR="000B2F3F">
        <w:t>. It was said that the intention is that the intermediate inspections may be performed up to 3 months after the specified date but that the tank may from the specified date no longer be used for carriage of dangerous goods.</w:t>
      </w:r>
    </w:p>
    <w:p w14:paraId="58C0AD86" w14:textId="5B87C230" w:rsidR="000B2F3F" w:rsidRDefault="004D246B" w:rsidP="006D418A">
      <w:pPr>
        <w:pStyle w:val="SingleTxtG"/>
      </w:pPr>
      <w:r>
        <w:t>29</w:t>
      </w:r>
      <w:r w:rsidR="000B2F3F">
        <w:t>.</w:t>
      </w:r>
      <w:r w:rsidR="000B2F3F">
        <w:tab/>
      </w:r>
      <w:r w:rsidR="006D418A">
        <w:t xml:space="preserve">The proposal was agreed in </w:t>
      </w:r>
      <w:r w:rsidR="007B0054">
        <w:t>principle,</w:t>
      </w:r>
      <w:r w:rsidR="006D418A">
        <w:t xml:space="preserve"> </w:t>
      </w:r>
      <w:r w:rsidR="000B2F3F">
        <w:t xml:space="preserve">but the </w:t>
      </w:r>
      <w:r w:rsidR="006D418A">
        <w:t xml:space="preserve">group considered that its wording could be further improved and </w:t>
      </w:r>
      <w:r w:rsidR="000B2F3F">
        <w:t>decided to adopt it in square brackets</w:t>
      </w:r>
      <w:r w:rsidR="006D418A" w:rsidRPr="006D418A">
        <w:t xml:space="preserve"> </w:t>
      </w:r>
      <w:r w:rsidR="006D418A">
        <w:t xml:space="preserve">for the time being pending </w:t>
      </w:r>
      <w:r w:rsidR="001F091C">
        <w:t>its</w:t>
      </w:r>
      <w:r w:rsidR="006D418A">
        <w:t xml:space="preserve"> editorial review. </w:t>
      </w:r>
    </w:p>
    <w:p w14:paraId="72CDE44A" w14:textId="4D9C0C2C" w:rsidR="008D3329" w:rsidRDefault="008D3329" w:rsidP="00CB09D3">
      <w:pPr>
        <w:pStyle w:val="H23G"/>
      </w:pPr>
      <w:r>
        <w:tab/>
      </w:r>
      <w:r>
        <w:tab/>
      </w:r>
      <w:r w:rsidR="000B2F3F" w:rsidRPr="002400DA">
        <w:t xml:space="preserve">Proposal </w:t>
      </w:r>
      <w:r w:rsidR="000B2F3F">
        <w:t>3</w:t>
      </w:r>
    </w:p>
    <w:p w14:paraId="5FBBD953" w14:textId="023192D8" w:rsidR="000B2F3F" w:rsidRDefault="000B2F3F" w:rsidP="0068483C">
      <w:pPr>
        <w:spacing w:before="120" w:after="120"/>
        <w:ind w:left="1134" w:right="1134"/>
      </w:pPr>
      <w:r w:rsidRPr="00DB6557">
        <w:t>Amend</w:t>
      </w:r>
      <w:r w:rsidRPr="003D2AA6">
        <w:t xml:space="preserve"> 4.3.2.3.7 to read as follows (new </w:t>
      </w:r>
      <w:r w:rsidR="006D418A">
        <w:t>tex</w:t>
      </w:r>
      <w:r w:rsidR="008B41A7">
        <w:t>t</w:t>
      </w:r>
      <w:r w:rsidR="006D418A">
        <w:t xml:space="preserve"> is</w:t>
      </w:r>
      <w:r w:rsidR="006D418A" w:rsidRPr="003D2AA6">
        <w:t xml:space="preserve"> </w:t>
      </w:r>
      <w:r w:rsidRPr="003D2AA6">
        <w:t xml:space="preserve">shown </w:t>
      </w:r>
      <w:r w:rsidR="006D418A">
        <w:t xml:space="preserve">in </w:t>
      </w:r>
      <w:r w:rsidRPr="00CB09D3">
        <w:rPr>
          <w:b/>
          <w:bCs/>
        </w:rPr>
        <w:t>bold</w:t>
      </w:r>
      <w:r w:rsidR="008B41A7">
        <w:rPr>
          <w:b/>
          <w:bCs/>
          <w:u w:val="single"/>
        </w:rPr>
        <w:t>,</w:t>
      </w:r>
      <w:r w:rsidRPr="00CB09D3">
        <w:rPr>
          <w:b/>
          <w:bCs/>
          <w:u w:val="single"/>
        </w:rPr>
        <w:t xml:space="preserve"> underlined</w:t>
      </w:r>
      <w:r w:rsidRPr="003D2AA6">
        <w:t xml:space="preserve">, </w:t>
      </w:r>
      <w:r w:rsidRPr="001A1368">
        <w:t xml:space="preserve">deleted </w:t>
      </w:r>
      <w:r w:rsidR="006D418A">
        <w:t>text is</w:t>
      </w:r>
      <w:r w:rsidR="006D418A" w:rsidRPr="001A1368">
        <w:t xml:space="preserve"> </w:t>
      </w:r>
      <w:r w:rsidR="006D418A">
        <w:rPr>
          <w:strike/>
        </w:rPr>
        <w:t>crossed-out</w:t>
      </w:r>
      <w:r w:rsidRPr="003D2AA6">
        <w:t>):</w:t>
      </w:r>
    </w:p>
    <w:p w14:paraId="792F16CC" w14:textId="2EA1687E" w:rsidR="000B2F3F" w:rsidRPr="001A1368" w:rsidRDefault="000B2F3F" w:rsidP="00CB09D3">
      <w:pPr>
        <w:pStyle w:val="SingleTxtG"/>
        <w:ind w:left="1701"/>
      </w:pPr>
      <w:r>
        <w:t>“</w:t>
      </w:r>
      <w:r w:rsidRPr="001A1368">
        <w:t>4.3.2.3.7</w:t>
      </w:r>
      <w:r>
        <w:tab/>
      </w:r>
      <w:r w:rsidRPr="001A1368">
        <w:t>Tank-wagons, demountable tanks, battery-wagons (RID)/</w:t>
      </w:r>
      <w:r>
        <w:t>F</w:t>
      </w:r>
      <w:r w:rsidRPr="001A1368">
        <w:t xml:space="preserve">ixed tanks (tank-vehicles), demountable tanks, battery-vehicles (ADR), tank-containers, tank swap bodies and MEGCs may not be filled or offered for carriage after the </w:t>
      </w:r>
      <w:r w:rsidRPr="007F0A4E">
        <w:rPr>
          <w:b/>
          <w:u w:val="single"/>
        </w:rPr>
        <w:t>specified date</w:t>
      </w:r>
      <w:r>
        <w:t xml:space="preserve"> </w:t>
      </w:r>
      <w:r w:rsidRPr="0000736E">
        <w:rPr>
          <w:strike/>
        </w:rPr>
        <w:t>deadline</w:t>
      </w:r>
      <w:r w:rsidRPr="001A1368">
        <w:t xml:space="preserve"> for the </w:t>
      </w:r>
      <w:r w:rsidRPr="0000736E">
        <w:rPr>
          <w:strike/>
        </w:rPr>
        <w:t>test or</w:t>
      </w:r>
      <w:r w:rsidRPr="001A1368">
        <w:t xml:space="preserve"> inspection required by 6.8.2.4.2, </w:t>
      </w:r>
      <w:r w:rsidRPr="001A1368">
        <w:rPr>
          <w:b/>
          <w:u w:val="single"/>
        </w:rPr>
        <w:t>6.8.2.4.3</w:t>
      </w:r>
      <w:r w:rsidRPr="001A1368">
        <w:t xml:space="preserve">, 6.8.3.4.6 and 6.8.3.4.12 </w:t>
      </w:r>
      <w:r w:rsidRPr="0000736E">
        <w:rPr>
          <w:strike/>
        </w:rPr>
        <w:t>has expired</w:t>
      </w:r>
      <w:r w:rsidRPr="001A1368">
        <w:t>.</w:t>
      </w:r>
    </w:p>
    <w:p w14:paraId="1E8A96C2" w14:textId="77777777" w:rsidR="000B2F3F" w:rsidRPr="001A1368" w:rsidRDefault="000B2F3F" w:rsidP="00CB09D3">
      <w:pPr>
        <w:pStyle w:val="SingleTxtG"/>
        <w:ind w:left="1701"/>
      </w:pPr>
      <w:r w:rsidRPr="001A1368">
        <w:t>However, tank-wagons, demountable tanks, battery-wagons (RID)/</w:t>
      </w:r>
      <w:r>
        <w:t>f</w:t>
      </w:r>
      <w:r w:rsidRPr="001A1368">
        <w:t xml:space="preserve">ixed tanks (tank-vehicles), demountable tanks, battery-vehicles (ADR), tank-containers, tank swap bodies and MEGCs filled prior to the </w:t>
      </w:r>
      <w:r w:rsidRPr="0000736E">
        <w:rPr>
          <w:b/>
          <w:u w:val="single"/>
        </w:rPr>
        <w:t>specified</w:t>
      </w:r>
      <w:r>
        <w:t xml:space="preserve"> </w:t>
      </w:r>
      <w:r w:rsidRPr="001A1368">
        <w:t xml:space="preserve">date </w:t>
      </w:r>
      <w:r w:rsidRPr="0000736E">
        <w:rPr>
          <w:strike/>
        </w:rPr>
        <w:t>of expiry</w:t>
      </w:r>
      <w:r w:rsidRPr="001A1368">
        <w:t xml:space="preserve"> of the last </w:t>
      </w:r>
      <w:r w:rsidRPr="00DB3A1D">
        <w:rPr>
          <w:strike/>
        </w:rPr>
        <w:t>periodic</w:t>
      </w:r>
      <w:r w:rsidRPr="001A1368">
        <w:t xml:space="preserve"> inspection may be carried:</w:t>
      </w:r>
    </w:p>
    <w:p w14:paraId="45C653B0" w14:textId="77777777" w:rsidR="000B2F3F" w:rsidRPr="001A1368" w:rsidRDefault="000B2F3F" w:rsidP="00CB09D3">
      <w:pPr>
        <w:pStyle w:val="SingleTxtG"/>
        <w:ind w:left="2268" w:hanging="567"/>
      </w:pPr>
      <w:r w:rsidRPr="001A1368">
        <w:t>(a)</w:t>
      </w:r>
      <w:r w:rsidRPr="001A1368">
        <w:tab/>
        <w:t>for a period not to exceed one month after the</w:t>
      </w:r>
      <w:r>
        <w:t xml:space="preserve"> </w:t>
      </w:r>
      <w:r w:rsidRPr="0000736E">
        <w:rPr>
          <w:b/>
          <w:u w:val="single"/>
        </w:rPr>
        <w:t>specified</w:t>
      </w:r>
      <w:r>
        <w:t xml:space="preserve"> </w:t>
      </w:r>
      <w:r w:rsidRPr="006B37D3">
        <w:rPr>
          <w:b/>
          <w:u w:val="single"/>
        </w:rPr>
        <w:t xml:space="preserve">date </w:t>
      </w:r>
      <w:r>
        <w:rPr>
          <w:b/>
          <w:u w:val="single"/>
        </w:rPr>
        <w:t xml:space="preserve">for the </w:t>
      </w:r>
      <w:r w:rsidRPr="0000736E">
        <w:rPr>
          <w:b/>
          <w:strike/>
          <w:u w:val="single"/>
        </w:rPr>
        <w:t>of</w:t>
      </w:r>
      <w:r w:rsidRPr="0000736E">
        <w:rPr>
          <w:strike/>
        </w:rPr>
        <w:t xml:space="preserve"> expiry of </w:t>
      </w:r>
      <w:r w:rsidRPr="007F0A4E">
        <w:rPr>
          <w:strike/>
        </w:rPr>
        <w:t>these deadlines</w:t>
      </w:r>
      <w:r w:rsidRPr="007F0A4E">
        <w:t xml:space="preserve"> </w:t>
      </w:r>
      <w:r w:rsidRPr="007F0A4E">
        <w:rPr>
          <w:b/>
          <w:u w:val="single"/>
        </w:rPr>
        <w:t>the last</w:t>
      </w:r>
      <w:r w:rsidRPr="001A1368">
        <w:rPr>
          <w:b/>
          <w:u w:val="single"/>
        </w:rPr>
        <w:t xml:space="preserve"> periodic inspection</w:t>
      </w:r>
      <w:r w:rsidRPr="001A1368">
        <w:t>;</w:t>
      </w:r>
    </w:p>
    <w:p w14:paraId="64855E27" w14:textId="77777777" w:rsidR="000B2F3F" w:rsidRPr="001A1368" w:rsidRDefault="000B2F3F" w:rsidP="00CB09D3">
      <w:pPr>
        <w:pStyle w:val="SingleTxtG"/>
        <w:ind w:left="2268" w:hanging="567"/>
      </w:pPr>
      <w:r w:rsidRPr="001A1368">
        <w:t>(b)</w:t>
      </w:r>
      <w:r w:rsidRPr="001A1368">
        <w:tab/>
        <w:t>unless otherwise approved by the competent authority, for a period not to exceed three months after the</w:t>
      </w:r>
      <w:r>
        <w:t xml:space="preserve"> </w:t>
      </w:r>
      <w:r w:rsidRPr="007F0A4E">
        <w:rPr>
          <w:b/>
          <w:u w:val="single"/>
        </w:rPr>
        <w:t xml:space="preserve">specified </w:t>
      </w:r>
      <w:r>
        <w:rPr>
          <w:b/>
          <w:u w:val="single"/>
        </w:rPr>
        <w:t xml:space="preserve">date for the </w:t>
      </w:r>
      <w:r w:rsidRPr="0000736E">
        <w:rPr>
          <w:strike/>
        </w:rPr>
        <w:t xml:space="preserve">expiry of these deadlines </w:t>
      </w:r>
      <w:r w:rsidRPr="007F0A4E">
        <w:rPr>
          <w:b/>
          <w:u w:val="single"/>
        </w:rPr>
        <w:lastRenderedPageBreak/>
        <w:t>the last</w:t>
      </w:r>
      <w:r w:rsidRPr="001A1368">
        <w:rPr>
          <w:b/>
          <w:u w:val="single"/>
        </w:rPr>
        <w:t xml:space="preserve"> periodic inspection</w:t>
      </w:r>
      <w:r w:rsidRPr="001A1368">
        <w:t xml:space="preserve"> </w:t>
      </w:r>
      <w:proofErr w:type="gramStart"/>
      <w:r w:rsidRPr="001A1368">
        <w:t>in order to</w:t>
      </w:r>
      <w:proofErr w:type="gramEnd"/>
      <w:r w:rsidRPr="001A1368">
        <w:t xml:space="preserve"> allow the return of dangerous goods for proper disposal or recycling. Reference to this exemption shall be mentioned in the transport document</w:t>
      </w:r>
      <w:r w:rsidRPr="001A1368">
        <w:rPr>
          <w:strike/>
        </w:rPr>
        <w:t>.</w:t>
      </w:r>
      <w:r w:rsidRPr="001A1368">
        <w:t>;</w:t>
      </w:r>
    </w:p>
    <w:p w14:paraId="6B79E87D" w14:textId="77777777" w:rsidR="000B2F3F" w:rsidRDefault="000B2F3F" w:rsidP="00CB09D3">
      <w:pPr>
        <w:pStyle w:val="SingleTxtG"/>
        <w:ind w:left="2268" w:hanging="567"/>
      </w:pPr>
      <w:r w:rsidRPr="001A1368">
        <w:rPr>
          <w:b/>
          <w:u w:val="single"/>
        </w:rPr>
        <w:t>(c)</w:t>
      </w:r>
      <w:r w:rsidRPr="001A1368">
        <w:rPr>
          <w:b/>
          <w:u w:val="single"/>
        </w:rPr>
        <w:tab/>
        <w:t>for a period not to exceed three month</w:t>
      </w:r>
      <w:r>
        <w:rPr>
          <w:b/>
          <w:u w:val="single"/>
        </w:rPr>
        <w:t>s</w:t>
      </w:r>
      <w:r w:rsidRPr="001A1368">
        <w:rPr>
          <w:b/>
          <w:u w:val="single"/>
        </w:rPr>
        <w:t xml:space="preserve"> after the </w:t>
      </w:r>
      <w:r>
        <w:rPr>
          <w:b/>
          <w:u w:val="single"/>
        </w:rPr>
        <w:t xml:space="preserve">specified date for the </w:t>
      </w:r>
      <w:r w:rsidRPr="001A1368">
        <w:rPr>
          <w:b/>
          <w:u w:val="single"/>
        </w:rPr>
        <w:t>intermediate inspection</w:t>
      </w:r>
      <w:r>
        <w:rPr>
          <w:b/>
          <w:u w:val="single"/>
        </w:rPr>
        <w:t xml:space="preserve"> as specified in 6.8.2.4.3</w:t>
      </w:r>
      <w:r w:rsidRPr="001A1368">
        <w:t>.</w:t>
      </w:r>
      <w:r>
        <w:t>”]</w:t>
      </w:r>
      <w:r w:rsidR="00B84083">
        <w:t>.</w:t>
      </w:r>
    </w:p>
    <w:p w14:paraId="24F9A08B" w14:textId="5D762837" w:rsidR="000B2F3F" w:rsidRDefault="008D3329" w:rsidP="008D3329">
      <w:pPr>
        <w:pStyle w:val="H23G"/>
      </w:pPr>
      <w:r>
        <w:tab/>
      </w:r>
      <w:r w:rsidR="000B2F3F" w:rsidRPr="00940690">
        <w:t xml:space="preserve">Item </w:t>
      </w:r>
      <w:r w:rsidR="000B2F3F">
        <w:t>8</w:t>
      </w:r>
      <w:r w:rsidR="000B2F3F" w:rsidRPr="00940690">
        <w:t>:</w:t>
      </w:r>
      <w:r>
        <w:tab/>
      </w:r>
      <w:r w:rsidR="000B2F3F" w:rsidRPr="0048066D">
        <w:t xml:space="preserve">Testing pressure relief valves of </w:t>
      </w:r>
      <w:r w:rsidR="008B41A7">
        <w:t>liquid petroleum gas (</w:t>
      </w:r>
      <w:r w:rsidR="000B2F3F" w:rsidRPr="0048066D">
        <w:t>LPG</w:t>
      </w:r>
      <w:r w:rsidR="008B41A7">
        <w:t>)</w:t>
      </w:r>
      <w:r w:rsidR="000B2F3F" w:rsidRPr="0048066D">
        <w:t xml:space="preserve"> road tankers at intermediate inspections</w:t>
      </w:r>
    </w:p>
    <w:p w14:paraId="1790AFFE" w14:textId="77777777" w:rsidR="00B84083" w:rsidRDefault="00B84083" w:rsidP="00CB09D3">
      <w:pPr>
        <w:pStyle w:val="SingleTxtG"/>
        <w:tabs>
          <w:tab w:val="left" w:pos="3119"/>
        </w:tabs>
      </w:pPr>
      <w:r>
        <w:rPr>
          <w:i/>
        </w:rPr>
        <w:t>Informal d</w:t>
      </w:r>
      <w:r w:rsidRPr="00F60C0F">
        <w:rPr>
          <w:i/>
        </w:rPr>
        <w:t>ocument</w:t>
      </w:r>
      <w:r w:rsidRPr="00F60C0F">
        <w:t>:</w:t>
      </w:r>
      <w:r w:rsidRPr="00F60C0F">
        <w:tab/>
      </w:r>
      <w:r w:rsidRPr="00940690">
        <w:t>INF</w:t>
      </w:r>
      <w:r>
        <w:t>.5</w:t>
      </w:r>
      <w:r w:rsidRPr="00940690">
        <w:t xml:space="preserve"> (</w:t>
      </w:r>
      <w:r>
        <w:t>United Kingdom</w:t>
      </w:r>
      <w:r w:rsidRPr="00940690">
        <w:t>)</w:t>
      </w:r>
    </w:p>
    <w:p w14:paraId="69A086AD" w14:textId="655DCC43" w:rsidR="000B2F3F" w:rsidRPr="008B41A7" w:rsidRDefault="004D246B" w:rsidP="008B41A7">
      <w:pPr>
        <w:pStyle w:val="SingleTxtG"/>
      </w:pPr>
      <w:r>
        <w:t>30</w:t>
      </w:r>
      <w:r w:rsidR="000B2F3F" w:rsidRPr="008B41A7">
        <w:t>.</w:t>
      </w:r>
      <w:r w:rsidR="000B2F3F" w:rsidRPr="008B41A7">
        <w:tab/>
        <w:t>The Working Group on Tanks was informed o</w:t>
      </w:r>
      <w:r w:rsidR="008B41A7">
        <w:t>f</w:t>
      </w:r>
      <w:r w:rsidR="000B2F3F" w:rsidRPr="008B41A7">
        <w:t xml:space="preserve"> the preliminary findings of the LPG road tanker </w:t>
      </w:r>
      <w:r w:rsidR="008B41A7">
        <w:t>p</w:t>
      </w:r>
      <w:r w:rsidR="000B2F3F" w:rsidRPr="008B41A7">
        <w:t xml:space="preserve">ressure </w:t>
      </w:r>
      <w:r w:rsidR="008B41A7">
        <w:t>r</w:t>
      </w:r>
      <w:r w:rsidR="000B2F3F" w:rsidRPr="008B41A7">
        <w:t xml:space="preserve">elief </w:t>
      </w:r>
      <w:r w:rsidR="008B41A7">
        <w:t>v</w:t>
      </w:r>
      <w:r w:rsidR="000B2F3F" w:rsidRPr="008B41A7">
        <w:t xml:space="preserve">alve test programme being undertaken in the United Kingdom. The purpose of the test programme is to build up an evidence base that will allow inspection bodies at intermediate inspections to justify a check of the documentation or the marking of pressure relief valve set pressures (as permitted by EN 14334:2014) rather than physically testing such valves (as required by EN 12972:2007 and 2018). </w:t>
      </w:r>
      <w:r w:rsidR="008B41A7">
        <w:t xml:space="preserve">During </w:t>
      </w:r>
      <w:r w:rsidR="000B2F3F" w:rsidRPr="008B41A7">
        <w:t>the test programme</w:t>
      </w:r>
      <w:r w:rsidR="008B41A7">
        <w:t xml:space="preserve">, </w:t>
      </w:r>
      <w:r w:rsidR="000B2F3F" w:rsidRPr="008B41A7">
        <w:t>145</w:t>
      </w:r>
      <w:r w:rsidR="008B41A7">
        <w:t> </w:t>
      </w:r>
      <w:r w:rsidR="000B2F3F" w:rsidRPr="008B41A7">
        <w:t xml:space="preserve">valves </w:t>
      </w:r>
      <w:r w:rsidR="008B41A7">
        <w:t>had been</w:t>
      </w:r>
      <w:r w:rsidR="008B41A7" w:rsidRPr="008B41A7">
        <w:t xml:space="preserve"> </w:t>
      </w:r>
      <w:r w:rsidR="000B2F3F" w:rsidRPr="008B41A7">
        <w:t xml:space="preserve">tested so far </w:t>
      </w:r>
      <w:r w:rsidR="00814324">
        <w:t xml:space="preserve">with </w:t>
      </w:r>
      <w:r w:rsidR="000B2F3F" w:rsidRPr="008B41A7">
        <w:t xml:space="preserve">only one </w:t>
      </w:r>
      <w:r w:rsidR="00814324">
        <w:t xml:space="preserve">showing </w:t>
      </w:r>
      <w:r w:rsidR="008B41A7">
        <w:t xml:space="preserve">a </w:t>
      </w:r>
      <w:r w:rsidR="000B2F3F" w:rsidRPr="008B41A7">
        <w:t>deviating opening pressure</w:t>
      </w:r>
      <w:r w:rsidR="00A74326">
        <w:t>.</w:t>
      </w:r>
      <w:r w:rsidR="000B2F3F" w:rsidRPr="008B41A7">
        <w:t xml:space="preserve"> </w:t>
      </w:r>
      <w:r w:rsidR="00A74326">
        <w:t xml:space="preserve">This remaining valve opened (and resealed) at a pressure below its marked set pressure and this is thought to be due to the valve being incorrectly set prior to installation. </w:t>
      </w:r>
      <w:r w:rsidR="000B2F3F" w:rsidRPr="008B41A7">
        <w:t>Besides this all functioned properly.</w:t>
      </w:r>
    </w:p>
    <w:p w14:paraId="4E5B9129" w14:textId="69883792" w:rsidR="000B2F3F" w:rsidRPr="008D3329" w:rsidRDefault="004D246B" w:rsidP="008D3329">
      <w:pPr>
        <w:pStyle w:val="SingleTxtG"/>
      </w:pPr>
      <w:r>
        <w:t>31</w:t>
      </w:r>
      <w:r w:rsidR="000B2F3F" w:rsidRPr="008D3329">
        <w:t>.</w:t>
      </w:r>
      <w:r w:rsidR="000B2F3F" w:rsidRPr="008D3329">
        <w:tab/>
        <w:t xml:space="preserve">The working group thanked the United Kingdom for the information. It was </w:t>
      </w:r>
      <w:r w:rsidR="008B41A7">
        <w:t>noted</w:t>
      </w:r>
      <w:r w:rsidR="008B41A7" w:rsidRPr="008D3329">
        <w:t xml:space="preserve"> </w:t>
      </w:r>
      <w:r w:rsidR="000B2F3F" w:rsidRPr="008D3329">
        <w:t>that tanks constructed according to EN 12493 could be inspected based on EN 14334 which allows visual inspection of the pressure relief valve.</w:t>
      </w:r>
    </w:p>
    <w:p w14:paraId="29DCA478" w14:textId="383212AB" w:rsidR="000B2F3F" w:rsidRDefault="008D3329" w:rsidP="008D3329">
      <w:pPr>
        <w:pStyle w:val="H23G"/>
      </w:pPr>
      <w:r>
        <w:rPr>
          <w:bCs/>
        </w:rPr>
        <w:tab/>
      </w:r>
      <w:r w:rsidR="000B2F3F" w:rsidRPr="00530C3E">
        <w:rPr>
          <w:bCs/>
        </w:rPr>
        <w:t xml:space="preserve">Item </w:t>
      </w:r>
      <w:r w:rsidR="000B2F3F">
        <w:rPr>
          <w:bCs/>
        </w:rPr>
        <w:t>9</w:t>
      </w:r>
      <w:r w:rsidR="000B2F3F" w:rsidRPr="00530C3E">
        <w:rPr>
          <w:bCs/>
        </w:rPr>
        <w:t xml:space="preserve">: </w:t>
      </w:r>
      <w:r>
        <w:rPr>
          <w:bCs/>
        </w:rPr>
        <w:tab/>
      </w:r>
      <w:r w:rsidR="000B2F3F" w:rsidRPr="00B02FDF">
        <w:t>Approval of portable tanks as tank-containers</w:t>
      </w:r>
    </w:p>
    <w:p w14:paraId="109E4984" w14:textId="77777777" w:rsidR="00B84083" w:rsidRPr="00E26270" w:rsidRDefault="00B84083" w:rsidP="00B84083">
      <w:pPr>
        <w:pStyle w:val="SingleTxtG"/>
        <w:tabs>
          <w:tab w:val="left" w:pos="3119"/>
        </w:tabs>
      </w:pPr>
      <w:r>
        <w:rPr>
          <w:i/>
        </w:rPr>
        <w:t>Informal d</w:t>
      </w:r>
      <w:r w:rsidRPr="00F60C0F">
        <w:rPr>
          <w:i/>
        </w:rPr>
        <w:t>ocument</w:t>
      </w:r>
      <w:r w:rsidRPr="00F60C0F">
        <w:t>:</w:t>
      </w:r>
      <w:r w:rsidRPr="00F60C0F">
        <w:tab/>
      </w:r>
      <w:r w:rsidRPr="00940690">
        <w:t>INF</w:t>
      </w:r>
      <w:r>
        <w:t>.14</w:t>
      </w:r>
      <w:r w:rsidRPr="00940690">
        <w:t xml:space="preserve"> (</w:t>
      </w:r>
      <w:r>
        <w:t>Netherlands</w:t>
      </w:r>
      <w:r w:rsidRPr="00940690">
        <w:t>)</w:t>
      </w:r>
    </w:p>
    <w:p w14:paraId="29B1129B" w14:textId="66D62455" w:rsidR="000B2F3F" w:rsidRDefault="004D246B" w:rsidP="008D3329">
      <w:pPr>
        <w:pStyle w:val="SingleTxtG"/>
      </w:pPr>
      <w:r w:rsidRPr="007B0054">
        <w:t>32</w:t>
      </w:r>
      <w:r w:rsidR="008B41A7" w:rsidRPr="007B0054">
        <w:t>.</w:t>
      </w:r>
      <w:r w:rsidR="000B2F3F" w:rsidRPr="007B0054">
        <w:tab/>
      </w:r>
      <w:r w:rsidR="00196DA5" w:rsidRPr="007B0054">
        <w:t>It can be argued that a</w:t>
      </w:r>
      <w:r w:rsidR="000B2F3F" w:rsidRPr="007B0054">
        <w:t xml:space="preserve">pproval of portable tanks as tank-containers may </w:t>
      </w:r>
      <w:r w:rsidR="008B41A7" w:rsidRPr="007B0054">
        <w:t xml:space="preserve">be confusing </w:t>
      </w:r>
      <w:r w:rsidR="000B2F3F" w:rsidRPr="007B0054">
        <w:t>for inspection bodies</w:t>
      </w:r>
      <w:r w:rsidR="008B41A7" w:rsidRPr="007B0054">
        <w:t xml:space="preserve">, </w:t>
      </w:r>
      <w:r w:rsidR="000B2F3F" w:rsidRPr="007B0054">
        <w:t>users and enforcers</w:t>
      </w:r>
      <w:r w:rsidR="008B41A7" w:rsidRPr="007B0054">
        <w:t xml:space="preserve">, thus </w:t>
      </w:r>
      <w:r w:rsidR="000B2F3F" w:rsidRPr="007B0054">
        <w:t>increas</w:t>
      </w:r>
      <w:r w:rsidR="008B41A7" w:rsidRPr="007B0054">
        <w:t xml:space="preserve">ing </w:t>
      </w:r>
      <w:r w:rsidR="000B2F3F" w:rsidRPr="007B0054">
        <w:t xml:space="preserve">the risk </w:t>
      </w:r>
      <w:r w:rsidR="008B41A7" w:rsidRPr="007B0054">
        <w:t xml:space="preserve">of </w:t>
      </w:r>
      <w:r w:rsidR="000B2F3F" w:rsidRPr="007B0054">
        <w:t xml:space="preserve">dangerous situations. </w:t>
      </w:r>
      <w:r w:rsidR="00370922" w:rsidRPr="007B0054">
        <w:t>However</w:t>
      </w:r>
      <w:r w:rsidR="007B0054" w:rsidRPr="007B0054">
        <w:t>,</w:t>
      </w:r>
      <w:r w:rsidR="00370922" w:rsidRPr="007B0054">
        <w:t xml:space="preserve"> industry felt</w:t>
      </w:r>
      <w:r w:rsidR="007B0054" w:rsidRPr="007B0054">
        <w:t xml:space="preserve"> </w:t>
      </w:r>
      <w:r w:rsidR="008B41A7" w:rsidRPr="007B0054">
        <w:t>t</w:t>
      </w:r>
      <w:r w:rsidR="000B2F3F" w:rsidRPr="007B0054">
        <w:t xml:space="preserve">here are certain benefits </w:t>
      </w:r>
      <w:r w:rsidR="008B41A7" w:rsidRPr="007B0054">
        <w:t>of</w:t>
      </w:r>
      <w:r w:rsidR="000B2F3F" w:rsidRPr="007B0054">
        <w:t xml:space="preserve"> having dual approval</w:t>
      </w:r>
      <w:r w:rsidR="00370922" w:rsidRPr="007B0054">
        <w:t xml:space="preserve"> (see paragraph 33)</w:t>
      </w:r>
      <w:r w:rsidR="000B2F3F" w:rsidRPr="007B0054">
        <w:t xml:space="preserve"> and it is suggested that when the benefits by having approval as tank-container also apply to portable tanks</w:t>
      </w:r>
      <w:r w:rsidR="00370922" w:rsidRPr="007B0054">
        <w:t xml:space="preserve"> (see paragraph 34)</w:t>
      </w:r>
      <w:r w:rsidR="000B2F3F" w:rsidRPr="007B0054">
        <w:t xml:space="preserve"> dual approval will stop.</w:t>
      </w:r>
      <w:r w:rsidR="000B2F3F">
        <w:t xml:space="preserve"> </w:t>
      </w:r>
    </w:p>
    <w:p w14:paraId="6B18C249" w14:textId="47D09510" w:rsidR="000B2F3F" w:rsidRDefault="004D246B" w:rsidP="00CE156A">
      <w:pPr>
        <w:pStyle w:val="SingleTxtG"/>
      </w:pPr>
      <w:r w:rsidRPr="00CB09D3">
        <w:t>33</w:t>
      </w:r>
      <w:r w:rsidR="000B2F3F" w:rsidRPr="009E4499">
        <w:t>.</w:t>
      </w:r>
      <w:r w:rsidR="000B2F3F" w:rsidRPr="009E4499">
        <w:tab/>
        <w:t xml:space="preserve">The </w:t>
      </w:r>
      <w:r w:rsidR="00814324" w:rsidRPr="00CB09D3">
        <w:t xml:space="preserve">following arguments for dual approval were </w:t>
      </w:r>
      <w:r w:rsidR="001F091C">
        <w:t>presented</w:t>
      </w:r>
      <w:r w:rsidR="00814324" w:rsidRPr="00CB09D3">
        <w:t xml:space="preserve">: </w:t>
      </w:r>
      <w:r w:rsidR="000B2F3F" w:rsidRPr="009E4499">
        <w:t>absence of a portable tank instruction for entries that do have a tank code</w:t>
      </w:r>
      <w:r w:rsidR="00814324" w:rsidRPr="00CB09D3">
        <w:t>;</w:t>
      </w:r>
      <w:r w:rsidR="00CE156A" w:rsidRPr="00CB09D3">
        <w:t xml:space="preserve"> </w:t>
      </w:r>
      <w:r w:rsidR="000B2F3F" w:rsidRPr="009E4499">
        <w:t xml:space="preserve">allowance </w:t>
      </w:r>
      <w:r w:rsidR="00814324" w:rsidRPr="00CB09D3">
        <w:t>of</w:t>
      </w:r>
      <w:r w:rsidR="000B2F3F" w:rsidRPr="009E4499">
        <w:t xml:space="preserve"> bottom discharge for tank-containers while top-discharge is prescribed</w:t>
      </w:r>
      <w:r w:rsidR="00814324" w:rsidRPr="00CB09D3">
        <w:t xml:space="preserve"> for portable tanks; and</w:t>
      </w:r>
      <w:r w:rsidR="00CE156A" w:rsidRPr="00CB09D3">
        <w:t xml:space="preserve"> </w:t>
      </w:r>
      <w:proofErr w:type="gramStart"/>
      <w:r w:rsidR="00F326C2" w:rsidRPr="00CB09D3">
        <w:t xml:space="preserve">a </w:t>
      </w:r>
      <w:r w:rsidR="000B2F3F" w:rsidRPr="009E4499">
        <w:t>higher degree of</w:t>
      </w:r>
      <w:proofErr w:type="gramEnd"/>
      <w:r w:rsidR="000B2F3F" w:rsidRPr="009E4499">
        <w:t xml:space="preserve"> filling for tank-containers.</w:t>
      </w:r>
      <w:r w:rsidR="000B2F3F">
        <w:t xml:space="preserve"> </w:t>
      </w:r>
    </w:p>
    <w:p w14:paraId="2FE25358" w14:textId="125E34EA" w:rsidR="000B2F3F" w:rsidRDefault="004D246B" w:rsidP="008D3329">
      <w:pPr>
        <w:pStyle w:val="SingleTxtG"/>
      </w:pPr>
      <w:r>
        <w:t>34</w:t>
      </w:r>
      <w:r w:rsidR="000B2F3F">
        <w:t>.</w:t>
      </w:r>
      <w:r w:rsidR="000B2F3F">
        <w:tab/>
        <w:t xml:space="preserve">The expert of the Netherlands explained that an option could be to introduce additional portable tank instructions in Table A of Chapter 3.2, that would be applicable for inland </w:t>
      </w:r>
      <w:r w:rsidR="0013241E">
        <w:t xml:space="preserve">transport </w:t>
      </w:r>
      <w:r w:rsidR="000B2F3F">
        <w:t>use only and should be clearly recognizable as such. The same could apply for a special provision or special provisions to allow for a similar degree of filling as for tank-containers clearly recognizable for inland transport use only. However</w:t>
      </w:r>
      <w:r w:rsidR="008B41A7">
        <w:t>,</w:t>
      </w:r>
      <w:r w:rsidR="000B2F3F">
        <w:t xml:space="preserve"> it was </w:t>
      </w:r>
      <w:r w:rsidR="0013241E">
        <w:t xml:space="preserve">noted </w:t>
      </w:r>
      <w:r w:rsidR="000B2F3F">
        <w:t xml:space="preserve">that </w:t>
      </w:r>
      <w:r w:rsidR="0013241E">
        <w:t>organizing</w:t>
      </w:r>
      <w:r w:rsidR="000B2F3F">
        <w:t xml:space="preserve"> tank instructions in an orderly fashion </w:t>
      </w:r>
      <w:r w:rsidR="0013241E">
        <w:t xml:space="preserve">to achieve this goal would involve </w:t>
      </w:r>
      <w:r w:rsidR="000B2F3F">
        <w:t xml:space="preserve">a lot work and that there should be agreement in principle for such way forward.  </w:t>
      </w:r>
    </w:p>
    <w:p w14:paraId="18A4354E" w14:textId="486844D3" w:rsidR="000B2F3F" w:rsidRDefault="004D246B" w:rsidP="008D3329">
      <w:pPr>
        <w:pStyle w:val="SingleTxtG"/>
      </w:pPr>
      <w:r>
        <w:t>35</w:t>
      </w:r>
      <w:r w:rsidR="000B2F3F">
        <w:t>.</w:t>
      </w:r>
      <w:r w:rsidR="000B2F3F">
        <w:tab/>
        <w:t xml:space="preserve">Several experts </w:t>
      </w:r>
      <w:r w:rsidR="008B41A7">
        <w:t>considered</w:t>
      </w:r>
      <w:r w:rsidR="000B2F3F">
        <w:t xml:space="preserve"> that this approach would have positive results in preventing dual approvals. Most </w:t>
      </w:r>
      <w:r w:rsidR="0013241E">
        <w:t>delegations</w:t>
      </w:r>
      <w:r w:rsidR="000B2F3F">
        <w:t xml:space="preserve"> expressed the view that dual approvals should no longer be issued. It was then decided that there was no need to continue with the project.</w:t>
      </w:r>
    </w:p>
    <w:p w14:paraId="63FD9455" w14:textId="77777777" w:rsidR="00AF0DED" w:rsidRDefault="00AF0DED">
      <w:pPr>
        <w:suppressAutoHyphens w:val="0"/>
        <w:spacing w:line="240" w:lineRule="auto"/>
        <w:rPr>
          <w:b/>
        </w:rPr>
      </w:pPr>
      <w:r>
        <w:br w:type="page"/>
      </w:r>
    </w:p>
    <w:p w14:paraId="6E9DBF1C" w14:textId="0A57C3C2" w:rsidR="000B2F3F" w:rsidRDefault="008D3329" w:rsidP="008D3329">
      <w:pPr>
        <w:pStyle w:val="H23G"/>
      </w:pPr>
      <w:bookmarkStart w:id="2" w:name="_GoBack"/>
      <w:bookmarkEnd w:id="2"/>
      <w:r>
        <w:lastRenderedPageBreak/>
        <w:tab/>
      </w:r>
      <w:r w:rsidR="000B2F3F" w:rsidRPr="00C337F8">
        <w:t xml:space="preserve">Item </w:t>
      </w:r>
      <w:r w:rsidR="000B2F3F">
        <w:t>10</w:t>
      </w:r>
      <w:r w:rsidR="000B2F3F" w:rsidRPr="00C337F8">
        <w:t xml:space="preserve">: </w:t>
      </w:r>
      <w:r>
        <w:tab/>
      </w:r>
      <w:r w:rsidR="000B2F3F" w:rsidRPr="00B375F0">
        <w:t>Interpretation of requirements by EN</w:t>
      </w:r>
      <w:r w:rsidR="000B2F3F">
        <w:t> </w:t>
      </w:r>
      <w:r w:rsidR="000B2F3F" w:rsidRPr="00B375F0">
        <w:t>14025: minimum diameter of manholes in tanks</w:t>
      </w:r>
    </w:p>
    <w:p w14:paraId="34B983D8" w14:textId="77777777" w:rsidR="00B84083" w:rsidRPr="00E26270" w:rsidRDefault="00B84083" w:rsidP="00B84083">
      <w:pPr>
        <w:pStyle w:val="SingleTxtG"/>
        <w:tabs>
          <w:tab w:val="left" w:pos="3119"/>
        </w:tabs>
      </w:pPr>
      <w:r>
        <w:rPr>
          <w:i/>
        </w:rPr>
        <w:t>Informal d</w:t>
      </w:r>
      <w:r w:rsidRPr="00F60C0F">
        <w:rPr>
          <w:i/>
        </w:rPr>
        <w:t>ocument</w:t>
      </w:r>
      <w:r w:rsidRPr="00F60C0F">
        <w:t>:</w:t>
      </w:r>
      <w:r w:rsidRPr="00F60C0F">
        <w:tab/>
      </w:r>
      <w:r w:rsidRPr="00940690">
        <w:t>INF</w:t>
      </w:r>
      <w:r>
        <w:t>.16</w:t>
      </w:r>
      <w:r w:rsidRPr="00940690">
        <w:t xml:space="preserve"> (</w:t>
      </w:r>
      <w:r>
        <w:t>UIP</w:t>
      </w:r>
      <w:r w:rsidRPr="00940690">
        <w:t>)</w:t>
      </w:r>
    </w:p>
    <w:p w14:paraId="4518CAB4" w14:textId="34B0DD75" w:rsidR="000B2F3F" w:rsidRDefault="004D246B" w:rsidP="008D3329">
      <w:pPr>
        <w:pStyle w:val="SingleTxtG"/>
      </w:pPr>
      <w:r>
        <w:t>36</w:t>
      </w:r>
      <w:r w:rsidR="000B2F3F" w:rsidRPr="00C337F8">
        <w:t>.</w:t>
      </w:r>
      <w:r w:rsidR="000B2F3F">
        <w:tab/>
        <w:t xml:space="preserve"> EN 14025 requires manholes in tanks to be a minimum of 500 mm in diameter. However</w:t>
      </w:r>
      <w:r w:rsidR="00B84083">
        <w:t>,</w:t>
      </w:r>
      <w:r w:rsidR="000B2F3F">
        <w:t xml:space="preserve"> the reference in EN 14025:2008 to EN 12561 allows for standard flanges that have an outside diameter slightly over 500 mm but an internal diameter of 492 mm due to the wall thickness. In the past tank-wagons were built with manholes with these standard flanges but as the reference is no longer included in EN 14025 the discussion is whether standard flanges with an internal diameter of 492 mm may still be used.</w:t>
      </w:r>
    </w:p>
    <w:p w14:paraId="632540EB" w14:textId="6C3187FA" w:rsidR="000B2F3F" w:rsidRDefault="004D246B" w:rsidP="008D3329">
      <w:pPr>
        <w:pStyle w:val="SingleTxtG"/>
      </w:pPr>
      <w:r>
        <w:t>37</w:t>
      </w:r>
      <w:r w:rsidR="000B2F3F">
        <w:t>.</w:t>
      </w:r>
      <w:r w:rsidR="000B2F3F">
        <w:tab/>
        <w:t>It was stated that the minimum internal diameter of 500 mm needs to be satisfied. It was said that in that case a transitional measure could be required for tank-wagons built according to EN 14025:2008.</w:t>
      </w:r>
    </w:p>
    <w:p w14:paraId="273855EF" w14:textId="3AF5F82E" w:rsidR="000B2F3F" w:rsidRDefault="008D3329" w:rsidP="008D3329">
      <w:pPr>
        <w:pStyle w:val="H23G"/>
      </w:pPr>
      <w:r>
        <w:tab/>
      </w:r>
      <w:r w:rsidR="000B2F3F" w:rsidRPr="002C7AA9">
        <w:t xml:space="preserve">Item 11: </w:t>
      </w:r>
      <w:r>
        <w:tab/>
      </w:r>
      <w:r w:rsidR="000B2F3F" w:rsidRPr="00491949">
        <w:t xml:space="preserve">Sub-section 6.9.1.3 of RID/ADR: Heating elements for </w:t>
      </w:r>
      <w:r w:rsidR="0013241E">
        <w:t>fibre-reinforced plastics (</w:t>
      </w:r>
      <w:r w:rsidR="000B2F3F" w:rsidRPr="00491949">
        <w:t>FRP</w:t>
      </w:r>
      <w:r w:rsidR="0013241E">
        <w:t>)</w:t>
      </w:r>
      <w:r w:rsidR="000B2F3F" w:rsidRPr="00491949">
        <w:t xml:space="preserve"> tanks</w:t>
      </w:r>
    </w:p>
    <w:p w14:paraId="37456E24" w14:textId="77777777" w:rsidR="00B84083" w:rsidRPr="00E26270" w:rsidRDefault="00B84083" w:rsidP="00B84083">
      <w:pPr>
        <w:pStyle w:val="SingleTxtG"/>
        <w:tabs>
          <w:tab w:val="left" w:pos="3119"/>
        </w:tabs>
      </w:pPr>
      <w:r>
        <w:rPr>
          <w:i/>
        </w:rPr>
        <w:t>Informal d</w:t>
      </w:r>
      <w:r w:rsidRPr="00F60C0F">
        <w:rPr>
          <w:i/>
        </w:rPr>
        <w:t>ocument</w:t>
      </w:r>
      <w:r w:rsidRPr="00F60C0F">
        <w:t>:</w:t>
      </w:r>
      <w:r w:rsidRPr="00F60C0F">
        <w:tab/>
      </w:r>
      <w:r w:rsidRPr="00940690">
        <w:t>INF</w:t>
      </w:r>
      <w:r>
        <w:t>.19</w:t>
      </w:r>
      <w:r w:rsidRPr="00940690">
        <w:t xml:space="preserve"> (</w:t>
      </w:r>
      <w:r>
        <w:t>Germany</w:t>
      </w:r>
      <w:r w:rsidRPr="00940690">
        <w:t>)</w:t>
      </w:r>
    </w:p>
    <w:p w14:paraId="6102BE6D" w14:textId="20A3F1F6" w:rsidR="000B2F3F" w:rsidRPr="008D3329" w:rsidRDefault="004D246B" w:rsidP="008D3329">
      <w:pPr>
        <w:pStyle w:val="SingleTxtG"/>
      </w:pPr>
      <w:r>
        <w:t>38</w:t>
      </w:r>
      <w:r w:rsidR="000B2F3F" w:rsidRPr="008D3329">
        <w:t>.</w:t>
      </w:r>
      <w:r w:rsidR="000B2F3F" w:rsidRPr="008D3329">
        <w:tab/>
        <w:t>Germany requested an interpretation on whether heating elements are allowed on FRP tanks. Although in the English and French texts the wording of 6.9.1.3 states that “heating elements shall not be used for FRP tanks”</w:t>
      </w:r>
      <w:r w:rsidR="007B0054">
        <w:t xml:space="preserve"> </w:t>
      </w:r>
      <w:r w:rsidR="001F091C">
        <w:t>as</w:t>
      </w:r>
      <w:r w:rsidR="000B2F3F" w:rsidRPr="008D3329">
        <w:t xml:space="preserve"> this appears in the chapter dealing with design and construction of these tanks</w:t>
      </w:r>
      <w:r w:rsidR="001F091C">
        <w:t>,</w:t>
      </w:r>
      <w:r w:rsidR="000B2F3F" w:rsidRPr="008D3329">
        <w:t xml:space="preserve"> the majority view was that these tanks should not be equipped with heating elements.</w:t>
      </w:r>
    </w:p>
    <w:p w14:paraId="4150561B" w14:textId="77777777" w:rsidR="000B2F3F" w:rsidRPr="008D3329" w:rsidRDefault="008D3329" w:rsidP="008D3329">
      <w:pPr>
        <w:spacing w:before="240"/>
        <w:jc w:val="center"/>
        <w:rPr>
          <w:u w:val="single"/>
        </w:rPr>
      </w:pPr>
      <w:r>
        <w:rPr>
          <w:u w:val="single"/>
        </w:rPr>
        <w:tab/>
      </w:r>
      <w:r>
        <w:rPr>
          <w:u w:val="single"/>
        </w:rPr>
        <w:tab/>
      </w:r>
      <w:r>
        <w:rPr>
          <w:u w:val="single"/>
        </w:rPr>
        <w:tab/>
      </w:r>
    </w:p>
    <w:sectPr w:rsidR="000B2F3F" w:rsidRPr="008D3329" w:rsidSect="00AF0DED">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0CEC8" w14:textId="77777777" w:rsidR="00DD1146" w:rsidRDefault="00DD1146"/>
  </w:endnote>
  <w:endnote w:type="continuationSeparator" w:id="0">
    <w:p w14:paraId="58048784" w14:textId="77777777" w:rsidR="00DD1146" w:rsidRDefault="00DD1146"/>
  </w:endnote>
  <w:endnote w:type="continuationNotice" w:id="1">
    <w:p w14:paraId="7980E0C9" w14:textId="77777777" w:rsidR="00DD1146" w:rsidRDefault="00DD1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C7B8" w14:textId="77777777" w:rsidR="00863009" w:rsidRPr="00065273" w:rsidRDefault="00863009" w:rsidP="00065273">
    <w:pPr>
      <w:pStyle w:val="Footer"/>
      <w:tabs>
        <w:tab w:val="right" w:pos="9638"/>
      </w:tabs>
      <w:rPr>
        <w:sz w:val="18"/>
      </w:rPr>
    </w:pPr>
    <w:r w:rsidRPr="00065273">
      <w:rPr>
        <w:b/>
        <w:sz w:val="18"/>
      </w:rPr>
      <w:fldChar w:fldCharType="begin"/>
    </w:r>
    <w:r w:rsidRPr="00065273">
      <w:rPr>
        <w:b/>
        <w:sz w:val="18"/>
      </w:rPr>
      <w:instrText xml:space="preserve"> PAGE  \* MERGEFORMAT </w:instrText>
    </w:r>
    <w:r w:rsidRPr="00065273">
      <w:rPr>
        <w:b/>
        <w:sz w:val="18"/>
      </w:rPr>
      <w:fldChar w:fldCharType="separate"/>
    </w:r>
    <w:r w:rsidR="00196DA5">
      <w:rPr>
        <w:b/>
        <w:noProof/>
        <w:sz w:val="18"/>
      </w:rPr>
      <w:t>8</w:t>
    </w:r>
    <w:r w:rsidRPr="0006527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D710" w14:textId="77777777" w:rsidR="00863009" w:rsidRPr="00065273" w:rsidRDefault="00863009" w:rsidP="00065273">
    <w:pPr>
      <w:pStyle w:val="Footer"/>
      <w:tabs>
        <w:tab w:val="right" w:pos="9638"/>
      </w:tabs>
      <w:rPr>
        <w:b/>
        <w:sz w:val="18"/>
      </w:rPr>
    </w:pPr>
    <w:r>
      <w:tab/>
    </w:r>
    <w:r w:rsidRPr="00065273">
      <w:rPr>
        <w:b/>
        <w:sz w:val="18"/>
      </w:rPr>
      <w:fldChar w:fldCharType="begin"/>
    </w:r>
    <w:r w:rsidRPr="00065273">
      <w:rPr>
        <w:b/>
        <w:sz w:val="18"/>
      </w:rPr>
      <w:instrText xml:space="preserve"> PAGE  \* MERGEFORMAT </w:instrText>
    </w:r>
    <w:r w:rsidRPr="00065273">
      <w:rPr>
        <w:b/>
        <w:sz w:val="18"/>
      </w:rPr>
      <w:fldChar w:fldCharType="separate"/>
    </w:r>
    <w:r w:rsidR="00196DA5">
      <w:rPr>
        <w:b/>
        <w:noProof/>
        <w:sz w:val="18"/>
      </w:rPr>
      <w:t>7</w:t>
    </w:r>
    <w:r w:rsidRPr="0006527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9CFD3" w14:textId="77777777" w:rsidR="00DD1146" w:rsidRPr="000B175B" w:rsidRDefault="00DD1146" w:rsidP="000B175B">
      <w:pPr>
        <w:tabs>
          <w:tab w:val="right" w:pos="2155"/>
        </w:tabs>
        <w:spacing w:after="80"/>
        <w:ind w:left="680"/>
        <w:rPr>
          <w:u w:val="single"/>
        </w:rPr>
      </w:pPr>
      <w:r>
        <w:rPr>
          <w:u w:val="single"/>
        </w:rPr>
        <w:tab/>
      </w:r>
    </w:p>
  </w:footnote>
  <w:footnote w:type="continuationSeparator" w:id="0">
    <w:p w14:paraId="7296DDE1" w14:textId="77777777" w:rsidR="00DD1146" w:rsidRPr="00FC68B7" w:rsidRDefault="00DD1146" w:rsidP="00FC68B7">
      <w:pPr>
        <w:tabs>
          <w:tab w:val="left" w:pos="2155"/>
        </w:tabs>
        <w:spacing w:after="80"/>
        <w:ind w:left="680"/>
        <w:rPr>
          <w:u w:val="single"/>
        </w:rPr>
      </w:pPr>
      <w:r>
        <w:rPr>
          <w:u w:val="single"/>
        </w:rPr>
        <w:tab/>
      </w:r>
    </w:p>
  </w:footnote>
  <w:footnote w:type="continuationNotice" w:id="1">
    <w:p w14:paraId="2668D54E" w14:textId="77777777" w:rsidR="00DD1146" w:rsidRDefault="00DD1146"/>
  </w:footnote>
  <w:footnote w:id="2">
    <w:p w14:paraId="201E3FC4" w14:textId="080526C8" w:rsidR="00863009" w:rsidRPr="002A0513" w:rsidRDefault="00863009">
      <w:pPr>
        <w:pStyle w:val="FootnoteText"/>
      </w:pPr>
      <w:r>
        <w:rPr>
          <w:rStyle w:val="FootnoteReference"/>
        </w:rPr>
        <w:tab/>
      </w:r>
      <w:r w:rsidRPr="00186ED4">
        <w:rPr>
          <w:rStyle w:val="FootnoteReference"/>
          <w:sz w:val="20"/>
          <w:vertAlign w:val="baseline"/>
        </w:rPr>
        <w:t>*</w:t>
      </w:r>
      <w:r>
        <w:rPr>
          <w:rStyle w:val="FootnoteReference"/>
          <w:sz w:val="20"/>
          <w:vertAlign w:val="baseline"/>
        </w:rPr>
        <w:tab/>
      </w:r>
      <w:r w:rsidRPr="005D5932">
        <w:rPr>
          <w:szCs w:val="18"/>
        </w:rPr>
        <w:t xml:space="preserve">Circulated by the Intergovernmental Organization for International Carriage by Rail (OTIF) under the symbol </w:t>
      </w:r>
      <w:r w:rsidR="002F4C45" w:rsidRPr="001E7595">
        <w:rPr>
          <w:szCs w:val="18"/>
        </w:rPr>
        <w:t>OTIF/RID/RC/2019-A</w:t>
      </w:r>
      <w:r w:rsidRPr="005D5932">
        <w:rPr>
          <w:szCs w:val="18"/>
        </w:rPr>
        <w:t>.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14:paraId="43811752" w14:textId="4206846D" w:rsidR="00863009" w:rsidRPr="002A0513" w:rsidRDefault="00863009">
      <w:pPr>
        <w:pStyle w:val="FootnoteText"/>
      </w:pPr>
      <w:r>
        <w:rPr>
          <w:rStyle w:val="FootnoteReference"/>
        </w:rPr>
        <w:tab/>
      </w:r>
      <w:r w:rsidRPr="00186ED4">
        <w:rPr>
          <w:rStyle w:val="FootnoteReference"/>
          <w:sz w:val="20"/>
          <w:vertAlign w:val="baseline"/>
        </w:rPr>
        <w:t>**</w:t>
      </w:r>
      <w:r>
        <w:rPr>
          <w:rStyle w:val="FootnoteReference"/>
          <w:sz w:val="20"/>
          <w:vertAlign w:val="baseline"/>
        </w:rPr>
        <w:tab/>
      </w:r>
      <w:r>
        <w:t xml:space="preserve">Circulated by the Intergovernmental Organisation for International Carriage by Rail (OTIF) under the symbol </w:t>
      </w:r>
      <w:r w:rsidRPr="002F4C45">
        <w:t>OTIF/RID/RC/2019-</w:t>
      </w:r>
      <w:r w:rsidR="002F4C45">
        <w:t>A</w:t>
      </w:r>
      <w:r w:rsidRPr="002F4C45">
        <w:t>/Add.1.</w:t>
      </w:r>
    </w:p>
  </w:footnote>
  <w:footnote w:id="4">
    <w:p w14:paraId="4A688BD1" w14:textId="77777777" w:rsidR="00863009" w:rsidRPr="002A0513" w:rsidRDefault="00863009" w:rsidP="00863009">
      <w:pPr>
        <w:pStyle w:val="FootnoteText"/>
      </w:pPr>
      <w:r>
        <w:tab/>
      </w:r>
      <w:r w:rsidRPr="0068483C">
        <w:rPr>
          <w:rStyle w:val="FootnoteReference"/>
          <w:sz w:val="20"/>
        </w:rPr>
        <w:footnoteRef/>
      </w:r>
      <w:r>
        <w:t xml:space="preserve"> </w:t>
      </w:r>
      <w:r>
        <w:tab/>
      </w:r>
      <w:r w:rsidRPr="00863009">
        <w:t>https://eur-lex.europa.eu/legal-content/EN/TXT/?uri=CELEX:32010L0035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9A2D" w14:textId="61DF9FC7" w:rsidR="00863009" w:rsidRPr="00065273" w:rsidRDefault="00AF0DED">
    <w:pPr>
      <w:pStyle w:val="Header"/>
    </w:pPr>
    <w:r>
      <w:fldChar w:fldCharType="begin"/>
    </w:r>
    <w:r>
      <w:instrText xml:space="preserve"> TITLE  \* MERGEFORMAT </w:instrText>
    </w:r>
    <w:r>
      <w:fldChar w:fldCharType="separate"/>
    </w:r>
    <w:r>
      <w:t>ECE/TRANS/WP.15/AC.1/154/Add.1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FC0A4" w14:textId="62D488B8" w:rsidR="00863009" w:rsidRPr="00065273" w:rsidRDefault="00AF0DED" w:rsidP="00065273">
    <w:pPr>
      <w:pStyle w:val="Header"/>
      <w:jc w:val="right"/>
    </w:pPr>
    <w:r>
      <w:fldChar w:fldCharType="begin"/>
    </w:r>
    <w:r>
      <w:instrText xml:space="preserve"> TITLE  \* MERGEFORMAT </w:instrText>
    </w:r>
    <w:r>
      <w:fldChar w:fldCharType="separate"/>
    </w:r>
    <w:r>
      <w:t>ECE/TRANS/WP.15/AC.1/154/Add.1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00401"/>
    <w:multiLevelType w:val="hybridMultilevel"/>
    <w:tmpl w:val="B04AA754"/>
    <w:lvl w:ilvl="0" w:tplc="83A48D4C">
      <w:numFmt w:val="bullet"/>
      <w:lvlText w:val="-"/>
      <w:lvlJc w:val="left"/>
      <w:pPr>
        <w:ind w:left="2424" w:hanging="360"/>
      </w:pPr>
      <w:rPr>
        <w:rFonts w:ascii="Times New Roman" w:eastAsia="Times New Roman" w:hAnsi="Times New Roman" w:cs="Times New Roman"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3001B"/>
    <w:multiLevelType w:val="hybridMultilevel"/>
    <w:tmpl w:val="393E8D9E"/>
    <w:lvl w:ilvl="0" w:tplc="83A48D4C">
      <w:numFmt w:val="bullet"/>
      <w:lvlText w:val="-"/>
      <w:lvlJc w:val="left"/>
      <w:pPr>
        <w:ind w:left="2424" w:hanging="360"/>
      </w:pPr>
      <w:rPr>
        <w:rFonts w:ascii="Times New Roman" w:eastAsia="Times New Roman" w:hAnsi="Times New Roman" w:cs="Times New Roman"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8"/>
  </w:num>
  <w:num w:numId="16">
    <w:abstractNumId w:val="14"/>
  </w:num>
  <w:num w:numId="17">
    <w:abstractNumId w:val="19"/>
  </w:num>
  <w:num w:numId="18">
    <w:abstractNumId w:val="20"/>
  </w:num>
  <w:num w:numId="19">
    <w:abstractNumId w:val="12"/>
  </w:num>
  <w:num w:numId="20">
    <w:abstractNumId w:val="1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273"/>
    <w:rsid w:val="00002A7D"/>
    <w:rsid w:val="000038A8"/>
    <w:rsid w:val="00006790"/>
    <w:rsid w:val="00027624"/>
    <w:rsid w:val="000414B3"/>
    <w:rsid w:val="00050F6B"/>
    <w:rsid w:val="000522D7"/>
    <w:rsid w:val="00065273"/>
    <w:rsid w:val="000678CD"/>
    <w:rsid w:val="00072C8C"/>
    <w:rsid w:val="00081CE0"/>
    <w:rsid w:val="00084D30"/>
    <w:rsid w:val="00090320"/>
    <w:rsid w:val="000931C0"/>
    <w:rsid w:val="000A2E09"/>
    <w:rsid w:val="000B175B"/>
    <w:rsid w:val="000B2F3F"/>
    <w:rsid w:val="000B3A0F"/>
    <w:rsid w:val="000E0415"/>
    <w:rsid w:val="000F7715"/>
    <w:rsid w:val="0013241E"/>
    <w:rsid w:val="00156B99"/>
    <w:rsid w:val="00166124"/>
    <w:rsid w:val="00184DDA"/>
    <w:rsid w:val="00186ED4"/>
    <w:rsid w:val="001900CD"/>
    <w:rsid w:val="00196DA5"/>
    <w:rsid w:val="001A0452"/>
    <w:rsid w:val="001B4B04"/>
    <w:rsid w:val="001B5875"/>
    <w:rsid w:val="001C4B9C"/>
    <w:rsid w:val="001C6663"/>
    <w:rsid w:val="001C7895"/>
    <w:rsid w:val="001D26DF"/>
    <w:rsid w:val="001F091C"/>
    <w:rsid w:val="001F1599"/>
    <w:rsid w:val="001F19C4"/>
    <w:rsid w:val="002036ED"/>
    <w:rsid w:val="002043F0"/>
    <w:rsid w:val="00211E0B"/>
    <w:rsid w:val="0021227B"/>
    <w:rsid w:val="00232575"/>
    <w:rsid w:val="00247258"/>
    <w:rsid w:val="00257CAC"/>
    <w:rsid w:val="0027237A"/>
    <w:rsid w:val="002974E9"/>
    <w:rsid w:val="002A0513"/>
    <w:rsid w:val="002A7F94"/>
    <w:rsid w:val="002B109A"/>
    <w:rsid w:val="002C6D45"/>
    <w:rsid w:val="002D6E53"/>
    <w:rsid w:val="002F046D"/>
    <w:rsid w:val="002F2959"/>
    <w:rsid w:val="002F3023"/>
    <w:rsid w:val="002F4C45"/>
    <w:rsid w:val="00301764"/>
    <w:rsid w:val="003229D8"/>
    <w:rsid w:val="00336C97"/>
    <w:rsid w:val="00337F88"/>
    <w:rsid w:val="00342432"/>
    <w:rsid w:val="0035223F"/>
    <w:rsid w:val="00352D4B"/>
    <w:rsid w:val="0035638C"/>
    <w:rsid w:val="00370922"/>
    <w:rsid w:val="003A46BB"/>
    <w:rsid w:val="003A4EC7"/>
    <w:rsid w:val="003A7295"/>
    <w:rsid w:val="003B1F60"/>
    <w:rsid w:val="003C2CC4"/>
    <w:rsid w:val="003C359D"/>
    <w:rsid w:val="003D4B23"/>
    <w:rsid w:val="003E278A"/>
    <w:rsid w:val="00413520"/>
    <w:rsid w:val="004325CB"/>
    <w:rsid w:val="00440A07"/>
    <w:rsid w:val="00462880"/>
    <w:rsid w:val="00476F24"/>
    <w:rsid w:val="004923A8"/>
    <w:rsid w:val="004C55B0"/>
    <w:rsid w:val="004D246B"/>
    <w:rsid w:val="004F6BA0"/>
    <w:rsid w:val="00503BEA"/>
    <w:rsid w:val="00533616"/>
    <w:rsid w:val="00535ABA"/>
    <w:rsid w:val="0053768B"/>
    <w:rsid w:val="005420F2"/>
    <w:rsid w:val="0054285C"/>
    <w:rsid w:val="00573B83"/>
    <w:rsid w:val="00584173"/>
    <w:rsid w:val="00595520"/>
    <w:rsid w:val="005A44B9"/>
    <w:rsid w:val="005B1BA0"/>
    <w:rsid w:val="005B3DB3"/>
    <w:rsid w:val="005D15CA"/>
    <w:rsid w:val="005F08DF"/>
    <w:rsid w:val="005F3066"/>
    <w:rsid w:val="005F3E61"/>
    <w:rsid w:val="00604DDD"/>
    <w:rsid w:val="006115CC"/>
    <w:rsid w:val="00611FC4"/>
    <w:rsid w:val="006176FB"/>
    <w:rsid w:val="00620F69"/>
    <w:rsid w:val="00630FCB"/>
    <w:rsid w:val="00640B26"/>
    <w:rsid w:val="0065766B"/>
    <w:rsid w:val="006770B2"/>
    <w:rsid w:val="0068483C"/>
    <w:rsid w:val="00686A48"/>
    <w:rsid w:val="006940E1"/>
    <w:rsid w:val="006A3C72"/>
    <w:rsid w:val="006A7392"/>
    <w:rsid w:val="006B03A1"/>
    <w:rsid w:val="006B67D9"/>
    <w:rsid w:val="006C5535"/>
    <w:rsid w:val="006D0589"/>
    <w:rsid w:val="006D418A"/>
    <w:rsid w:val="006E564B"/>
    <w:rsid w:val="006E7154"/>
    <w:rsid w:val="006E7207"/>
    <w:rsid w:val="007003CD"/>
    <w:rsid w:val="0070701E"/>
    <w:rsid w:val="00707A43"/>
    <w:rsid w:val="0072632A"/>
    <w:rsid w:val="007358E8"/>
    <w:rsid w:val="00736ECE"/>
    <w:rsid w:val="0074533B"/>
    <w:rsid w:val="007643BC"/>
    <w:rsid w:val="00780C68"/>
    <w:rsid w:val="007959FE"/>
    <w:rsid w:val="007A0CF1"/>
    <w:rsid w:val="007A3678"/>
    <w:rsid w:val="007A7EB1"/>
    <w:rsid w:val="007B0054"/>
    <w:rsid w:val="007B6BA5"/>
    <w:rsid w:val="007C3390"/>
    <w:rsid w:val="007C42D8"/>
    <w:rsid w:val="007C4F4B"/>
    <w:rsid w:val="007D7362"/>
    <w:rsid w:val="007F5CE2"/>
    <w:rsid w:val="007F6611"/>
    <w:rsid w:val="00810BAC"/>
    <w:rsid w:val="00814324"/>
    <w:rsid w:val="00815316"/>
    <w:rsid w:val="008175E9"/>
    <w:rsid w:val="008242D7"/>
    <w:rsid w:val="0082577B"/>
    <w:rsid w:val="008304E1"/>
    <w:rsid w:val="00863009"/>
    <w:rsid w:val="00866893"/>
    <w:rsid w:val="00866F02"/>
    <w:rsid w:val="00867D18"/>
    <w:rsid w:val="00871F9A"/>
    <w:rsid w:val="00871FD5"/>
    <w:rsid w:val="0088172E"/>
    <w:rsid w:val="00881EFA"/>
    <w:rsid w:val="008879CB"/>
    <w:rsid w:val="008979B1"/>
    <w:rsid w:val="008A6B25"/>
    <w:rsid w:val="008A6C4F"/>
    <w:rsid w:val="008B389E"/>
    <w:rsid w:val="008B41A7"/>
    <w:rsid w:val="008C6230"/>
    <w:rsid w:val="008D045E"/>
    <w:rsid w:val="008D3329"/>
    <w:rsid w:val="008D3F25"/>
    <w:rsid w:val="008D4D82"/>
    <w:rsid w:val="008E0E46"/>
    <w:rsid w:val="008E7116"/>
    <w:rsid w:val="008F143B"/>
    <w:rsid w:val="008F3882"/>
    <w:rsid w:val="008F4B7C"/>
    <w:rsid w:val="00926E47"/>
    <w:rsid w:val="00943748"/>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4499"/>
    <w:rsid w:val="009E6CB7"/>
    <w:rsid w:val="009E7970"/>
    <w:rsid w:val="009F2EAC"/>
    <w:rsid w:val="009F57E3"/>
    <w:rsid w:val="00A10F4F"/>
    <w:rsid w:val="00A11067"/>
    <w:rsid w:val="00A1704A"/>
    <w:rsid w:val="00A425EB"/>
    <w:rsid w:val="00A72F22"/>
    <w:rsid w:val="00A733BC"/>
    <w:rsid w:val="00A74326"/>
    <w:rsid w:val="00A748A6"/>
    <w:rsid w:val="00A76A69"/>
    <w:rsid w:val="00A879A4"/>
    <w:rsid w:val="00AA0FF8"/>
    <w:rsid w:val="00AC0F2C"/>
    <w:rsid w:val="00AC502A"/>
    <w:rsid w:val="00AF0DED"/>
    <w:rsid w:val="00AF58C1"/>
    <w:rsid w:val="00B04A3F"/>
    <w:rsid w:val="00B06643"/>
    <w:rsid w:val="00B15055"/>
    <w:rsid w:val="00B20551"/>
    <w:rsid w:val="00B30179"/>
    <w:rsid w:val="00B33FC7"/>
    <w:rsid w:val="00B37B15"/>
    <w:rsid w:val="00B45C02"/>
    <w:rsid w:val="00B70B63"/>
    <w:rsid w:val="00B72A1E"/>
    <w:rsid w:val="00B81E12"/>
    <w:rsid w:val="00B84083"/>
    <w:rsid w:val="00BA339B"/>
    <w:rsid w:val="00BA385F"/>
    <w:rsid w:val="00BB23CC"/>
    <w:rsid w:val="00BC1E7E"/>
    <w:rsid w:val="00BC74E9"/>
    <w:rsid w:val="00BE36A9"/>
    <w:rsid w:val="00BE618E"/>
    <w:rsid w:val="00BE7BEC"/>
    <w:rsid w:val="00BF0A5A"/>
    <w:rsid w:val="00BF0E63"/>
    <w:rsid w:val="00BF12A3"/>
    <w:rsid w:val="00BF16D7"/>
    <w:rsid w:val="00BF2373"/>
    <w:rsid w:val="00BF63DF"/>
    <w:rsid w:val="00C044E2"/>
    <w:rsid w:val="00C048CB"/>
    <w:rsid w:val="00C066F3"/>
    <w:rsid w:val="00C463DD"/>
    <w:rsid w:val="00C745C3"/>
    <w:rsid w:val="00C978F5"/>
    <w:rsid w:val="00CA24A4"/>
    <w:rsid w:val="00CB09D3"/>
    <w:rsid w:val="00CB348D"/>
    <w:rsid w:val="00CD46F5"/>
    <w:rsid w:val="00CE156A"/>
    <w:rsid w:val="00CE4A8F"/>
    <w:rsid w:val="00CF071D"/>
    <w:rsid w:val="00CF331B"/>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1146"/>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26C2"/>
    <w:rsid w:val="00F3742B"/>
    <w:rsid w:val="00F41FDB"/>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667283"/>
  <w15:docId w15:val="{80C754A0-9F71-4955-BE1D-58D7D103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FootnoteTextChar">
    <w:name w:val="Footnote Text Char"/>
    <w:aliases w:val="5_G Char,5_GR Char"/>
    <w:basedOn w:val="DefaultParagraphFont"/>
    <w:link w:val="FootnoteText"/>
    <w:qFormat/>
    <w:rsid w:val="00186ED4"/>
    <w:rPr>
      <w:sz w:val="18"/>
      <w:lang w:val="en-GB"/>
    </w:rPr>
  </w:style>
  <w:style w:type="character" w:customStyle="1" w:styleId="HChGChar">
    <w:name w:val="_ H _Ch_G Char"/>
    <w:link w:val="HChG"/>
    <w:qFormat/>
    <w:rsid w:val="00186ED4"/>
    <w:rPr>
      <w:b/>
      <w:sz w:val="28"/>
      <w:lang w:val="en-GB"/>
    </w:rPr>
  </w:style>
  <w:style w:type="character" w:customStyle="1" w:styleId="SingleTxtGChar">
    <w:name w:val="_ Single Txt_G Char"/>
    <w:link w:val="SingleTxtG"/>
    <w:qFormat/>
    <w:rsid w:val="000B2F3F"/>
    <w:rPr>
      <w:lang w:val="en-GB"/>
    </w:rPr>
  </w:style>
  <w:style w:type="character" w:customStyle="1" w:styleId="H1GChar">
    <w:name w:val="_ H_1_G Char"/>
    <w:link w:val="H1G"/>
    <w:rsid w:val="000B2F3F"/>
    <w:rPr>
      <w:b/>
      <w:sz w:val="24"/>
      <w:lang w:val="en-GB"/>
    </w:rPr>
  </w:style>
  <w:style w:type="paragraph" w:customStyle="1" w:styleId="Default">
    <w:name w:val="Default"/>
    <w:rsid w:val="000B2F3F"/>
    <w:pPr>
      <w:autoSpaceDE w:val="0"/>
      <w:autoSpaceDN w:val="0"/>
      <w:adjustRightInd w:val="0"/>
    </w:pPr>
    <w:rPr>
      <w:rFonts w:ascii="Arial" w:eastAsia="MS Mincho" w:hAnsi="Arial" w:cs="Arial"/>
      <w:color w:val="000000"/>
      <w:sz w:val="24"/>
      <w:szCs w:val="24"/>
      <w:lang w:val="en-GB" w:eastAsia="en-GB"/>
    </w:rPr>
  </w:style>
  <w:style w:type="character" w:styleId="CommentReference">
    <w:name w:val="annotation reference"/>
    <w:basedOn w:val="DefaultParagraphFont"/>
    <w:semiHidden/>
    <w:unhideWhenUsed/>
    <w:rsid w:val="008B41A7"/>
    <w:rPr>
      <w:sz w:val="16"/>
      <w:szCs w:val="16"/>
    </w:rPr>
  </w:style>
  <w:style w:type="paragraph" w:styleId="CommentText">
    <w:name w:val="annotation text"/>
    <w:basedOn w:val="Normal"/>
    <w:link w:val="CommentTextChar"/>
    <w:semiHidden/>
    <w:unhideWhenUsed/>
    <w:rsid w:val="008B41A7"/>
    <w:pPr>
      <w:spacing w:line="240" w:lineRule="auto"/>
    </w:pPr>
  </w:style>
  <w:style w:type="character" w:customStyle="1" w:styleId="CommentTextChar">
    <w:name w:val="Comment Text Char"/>
    <w:basedOn w:val="DefaultParagraphFont"/>
    <w:link w:val="CommentText"/>
    <w:semiHidden/>
    <w:rsid w:val="008B41A7"/>
    <w:rPr>
      <w:lang w:val="en-GB"/>
    </w:rPr>
  </w:style>
  <w:style w:type="paragraph" w:styleId="CommentSubject">
    <w:name w:val="annotation subject"/>
    <w:basedOn w:val="CommentText"/>
    <w:next w:val="CommentText"/>
    <w:link w:val="CommentSubjectChar"/>
    <w:semiHidden/>
    <w:unhideWhenUsed/>
    <w:rsid w:val="008B41A7"/>
    <w:rPr>
      <w:b/>
      <w:bCs/>
    </w:rPr>
  </w:style>
  <w:style w:type="character" w:customStyle="1" w:styleId="CommentSubjectChar">
    <w:name w:val="Comment Subject Char"/>
    <w:basedOn w:val="CommentTextChar"/>
    <w:link w:val="CommentSubject"/>
    <w:semiHidden/>
    <w:rsid w:val="008B41A7"/>
    <w:rPr>
      <w:b/>
      <w:bCs/>
      <w:lang w:val="en-GB"/>
    </w:rPr>
  </w:style>
  <w:style w:type="paragraph" w:styleId="Revision">
    <w:name w:val="Revision"/>
    <w:hidden/>
    <w:uiPriority w:val="99"/>
    <w:semiHidden/>
    <w:rsid w:val="008B41A7"/>
    <w:rPr>
      <w:lang w:val="en-GB"/>
    </w:rPr>
  </w:style>
  <w:style w:type="character" w:customStyle="1" w:styleId="H23GChar">
    <w:name w:val="_ H_2/3_G Char"/>
    <w:link w:val="H23G"/>
    <w:locked/>
    <w:rsid w:val="0068483C"/>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5FF57-0D74-4B0F-B5E0-D07F7DD8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TRANS_E.dotm</Template>
  <TotalTime>201</TotalTime>
  <Pages>9</Pages>
  <Words>3616</Words>
  <Characters>19928</Characters>
  <Application>Microsoft Office Word</Application>
  <DocSecurity>0</DocSecurity>
  <Lines>362</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ECE/TRANS/WP.15/AC.1/154/Add.1</vt:lpstr>
      <vt:lpstr/>
    </vt:vector>
  </TitlesOfParts>
  <Company>CSD</Company>
  <LinksUpToDate>false</LinksUpToDate>
  <CharactersWithSpaces>23374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ECE/TRANS/WP.15/AC.1/154/Add.1</dc:title>
  <dc:creator>Rosa Garcia-Couto</dc:creator>
  <cp:lastModifiedBy>Laurence Berthet</cp:lastModifiedBy>
  <cp:revision>22</cp:revision>
  <cp:lastPrinted>2019-04-15T12:01:00Z</cp:lastPrinted>
  <dcterms:created xsi:type="dcterms:W3CDTF">2019-04-07T13:09:00Z</dcterms:created>
  <dcterms:modified xsi:type="dcterms:W3CDTF">2019-04-15T12:01:00Z</dcterms:modified>
</cp:coreProperties>
</file>