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rsidTr="005316B0">
        <w:trPr>
          <w:trHeight w:hRule="exact" w:val="851"/>
        </w:trPr>
        <w:tc>
          <w:tcPr>
            <w:tcW w:w="1276" w:type="dxa"/>
            <w:tcBorders>
              <w:bottom w:val="single" w:sz="4" w:space="0" w:color="auto"/>
            </w:tcBorders>
          </w:tcPr>
          <w:p w:rsidR="001433FD" w:rsidRPr="00DB58B5" w:rsidRDefault="001433FD" w:rsidP="0001207F"/>
        </w:tc>
        <w:tc>
          <w:tcPr>
            <w:tcW w:w="2268" w:type="dxa"/>
            <w:tcBorders>
              <w:bottom w:val="single" w:sz="4" w:space="0" w:color="auto"/>
            </w:tcBorders>
            <w:vAlign w:val="bottom"/>
          </w:tcPr>
          <w:p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433FD" w:rsidRPr="00DB58B5" w:rsidRDefault="00D90871" w:rsidP="00D90871">
            <w:pPr>
              <w:jc w:val="right"/>
            </w:pPr>
            <w:r w:rsidRPr="00D90871">
              <w:rPr>
                <w:sz w:val="40"/>
              </w:rPr>
              <w:t>ECE</w:t>
            </w:r>
            <w:r>
              <w:t>/TRANS/WP.15/246</w:t>
            </w:r>
          </w:p>
        </w:tc>
      </w:tr>
      <w:tr w:rsidR="001433FD" w:rsidRPr="00DB58B5" w:rsidTr="007D3236">
        <w:trPr>
          <w:trHeight w:hRule="exact" w:val="2835"/>
        </w:trPr>
        <w:tc>
          <w:tcPr>
            <w:tcW w:w="1276" w:type="dxa"/>
            <w:tcBorders>
              <w:top w:val="single" w:sz="4" w:space="0" w:color="auto"/>
              <w:bottom w:val="single" w:sz="12" w:space="0" w:color="auto"/>
            </w:tcBorders>
          </w:tcPr>
          <w:p w:rsidR="001433FD" w:rsidRPr="00DB58B5" w:rsidRDefault="001433FD" w:rsidP="007D3236">
            <w:pPr>
              <w:spacing w:before="120"/>
              <w:jc w:val="center"/>
            </w:pPr>
            <w:r>
              <w:rPr>
                <w:noProof/>
                <w:lang w:eastAsia="fr-CH"/>
              </w:rPr>
              <w:drawing>
                <wp:inline distT="0" distB="0" distL="0" distR="0" wp14:anchorId="02B727A0" wp14:editId="4777D7C7">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01207F" w:rsidRDefault="00D90871" w:rsidP="00D90871">
            <w:pPr>
              <w:spacing w:before="240" w:line="240" w:lineRule="exact"/>
            </w:pPr>
            <w:proofErr w:type="spellStart"/>
            <w:r>
              <w:t>Distr</w:t>
            </w:r>
            <w:proofErr w:type="spellEnd"/>
            <w:r>
              <w:t xml:space="preserve">. </w:t>
            </w:r>
            <w:proofErr w:type="gramStart"/>
            <w:r>
              <w:t>générale</w:t>
            </w:r>
            <w:proofErr w:type="gramEnd"/>
          </w:p>
          <w:p w:rsidR="00D90871" w:rsidRDefault="00D90871" w:rsidP="00D90871">
            <w:pPr>
              <w:spacing w:line="240" w:lineRule="exact"/>
            </w:pPr>
            <w:r>
              <w:t>2</w:t>
            </w:r>
            <w:r w:rsidR="00034BE7">
              <w:t>9</w:t>
            </w:r>
            <w:bookmarkStart w:id="0" w:name="_GoBack"/>
            <w:bookmarkEnd w:id="0"/>
            <w:r>
              <w:t xml:space="preserve"> mai 2019</w:t>
            </w:r>
          </w:p>
          <w:p w:rsidR="00D90871" w:rsidRDefault="00A36A36" w:rsidP="00D90871">
            <w:pPr>
              <w:spacing w:line="240" w:lineRule="exact"/>
            </w:pPr>
            <w:r>
              <w:t>Français</w:t>
            </w:r>
          </w:p>
          <w:p w:rsidR="00D90871" w:rsidRDefault="00D90871" w:rsidP="00D90871">
            <w:pPr>
              <w:spacing w:line="240" w:lineRule="exact"/>
            </w:pPr>
            <w:r>
              <w:t xml:space="preserve">Original : </w:t>
            </w:r>
            <w:r w:rsidR="00A36A36">
              <w:t xml:space="preserve">anglais et </w:t>
            </w:r>
            <w:r>
              <w:t>français</w:t>
            </w:r>
          </w:p>
          <w:p w:rsidR="00566206" w:rsidRDefault="00566206" w:rsidP="00D90871">
            <w:pPr>
              <w:spacing w:line="240" w:lineRule="exact"/>
            </w:pPr>
          </w:p>
          <w:p w:rsidR="00566206" w:rsidRPr="00DB58B5" w:rsidRDefault="00566206" w:rsidP="00D90871">
            <w:pPr>
              <w:spacing w:line="240" w:lineRule="exact"/>
            </w:pPr>
          </w:p>
        </w:tc>
      </w:tr>
    </w:tbl>
    <w:p w:rsidR="0011139A" w:rsidRDefault="0011139A" w:rsidP="0011139A">
      <w:pPr>
        <w:spacing w:before="120"/>
        <w:rPr>
          <w:b/>
          <w:sz w:val="28"/>
          <w:szCs w:val="28"/>
        </w:rPr>
      </w:pPr>
      <w:r w:rsidRPr="00883605">
        <w:rPr>
          <w:b/>
          <w:sz w:val="28"/>
          <w:szCs w:val="28"/>
        </w:rPr>
        <w:t>Commission économique pour l’Europe</w:t>
      </w:r>
    </w:p>
    <w:p w:rsidR="0011139A" w:rsidRPr="00990CE8" w:rsidRDefault="0011139A" w:rsidP="0011139A">
      <w:pPr>
        <w:spacing w:before="120"/>
        <w:rPr>
          <w:sz w:val="28"/>
          <w:szCs w:val="28"/>
        </w:rPr>
      </w:pPr>
      <w:r w:rsidRPr="00990CE8">
        <w:rPr>
          <w:sz w:val="28"/>
          <w:szCs w:val="28"/>
        </w:rPr>
        <w:t>Comité des transports intérieurs</w:t>
      </w:r>
    </w:p>
    <w:p w:rsidR="0011139A" w:rsidRPr="00990CE8" w:rsidRDefault="0011139A" w:rsidP="0011139A">
      <w:pPr>
        <w:spacing w:before="120"/>
        <w:rPr>
          <w:b/>
          <w:sz w:val="24"/>
          <w:szCs w:val="24"/>
        </w:rPr>
      </w:pPr>
      <w:r w:rsidRPr="00990CE8">
        <w:rPr>
          <w:b/>
          <w:sz w:val="24"/>
          <w:szCs w:val="24"/>
        </w:rPr>
        <w:t xml:space="preserve">Groupe de travail des transports </w:t>
      </w:r>
      <w:r w:rsidRPr="00990CE8">
        <w:rPr>
          <w:b/>
          <w:sz w:val="24"/>
          <w:szCs w:val="24"/>
        </w:rPr>
        <w:br/>
        <w:t>de marchandises dangereuses</w:t>
      </w:r>
    </w:p>
    <w:p w:rsidR="0011139A" w:rsidRPr="00A34F4A" w:rsidRDefault="0011139A" w:rsidP="0011139A">
      <w:pPr>
        <w:keepNext/>
        <w:keepLines/>
        <w:tabs>
          <w:tab w:val="right" w:pos="851"/>
        </w:tabs>
        <w:spacing w:before="360" w:after="120" w:line="300" w:lineRule="exact"/>
        <w:ind w:left="1134" w:right="1134" w:hanging="1134"/>
        <w:rPr>
          <w:sz w:val="28"/>
          <w:lang w:val="fr-FR"/>
        </w:rPr>
      </w:pPr>
      <w:r w:rsidRPr="00A34F4A">
        <w:rPr>
          <w:b/>
          <w:sz w:val="28"/>
          <w:lang w:val="fr-FR"/>
        </w:rPr>
        <w:tab/>
      </w:r>
      <w:r w:rsidRPr="00A34F4A">
        <w:rPr>
          <w:b/>
          <w:sz w:val="28"/>
          <w:lang w:val="fr-FR"/>
        </w:rPr>
        <w:tab/>
        <w:t xml:space="preserve">Rapport du Groupe de travail sur sa </w:t>
      </w:r>
      <w:r>
        <w:rPr>
          <w:b/>
          <w:sz w:val="28"/>
          <w:lang w:val="fr-FR"/>
        </w:rPr>
        <w:t xml:space="preserve">106e </w:t>
      </w:r>
      <w:r w:rsidRPr="00A34F4A">
        <w:rPr>
          <w:b/>
          <w:sz w:val="28"/>
          <w:lang w:val="fr-FR"/>
        </w:rPr>
        <w:t>session</w:t>
      </w:r>
    </w:p>
    <w:p w:rsidR="0011139A" w:rsidRDefault="0011139A" w:rsidP="0011139A">
      <w:pPr>
        <w:keepNext/>
        <w:keepLines/>
        <w:tabs>
          <w:tab w:val="right" w:pos="851"/>
        </w:tabs>
        <w:spacing w:before="120" w:after="120" w:line="240" w:lineRule="exact"/>
        <w:ind w:left="1134" w:right="1134" w:hanging="1134"/>
        <w:rPr>
          <w:lang w:val="fr-FR"/>
        </w:rPr>
      </w:pPr>
      <w:r w:rsidRPr="00A34F4A">
        <w:rPr>
          <w:lang w:val="fr-FR"/>
        </w:rPr>
        <w:tab/>
      </w:r>
      <w:r w:rsidRPr="00A34F4A">
        <w:rPr>
          <w:lang w:val="fr-FR"/>
        </w:rPr>
        <w:tab/>
      </w:r>
      <w:proofErr w:type="gramStart"/>
      <w:r w:rsidRPr="00A34F4A">
        <w:rPr>
          <w:lang w:val="fr-FR"/>
        </w:rPr>
        <w:t>tenue</w:t>
      </w:r>
      <w:proofErr w:type="gramEnd"/>
      <w:r w:rsidRPr="00A34F4A">
        <w:rPr>
          <w:lang w:val="fr-FR"/>
        </w:rPr>
        <w:t xml:space="preserve"> à Genève du </w:t>
      </w:r>
      <w:r>
        <w:rPr>
          <w:lang w:val="fr-FR"/>
        </w:rPr>
        <w:t>13 au 17 mai 2019</w:t>
      </w:r>
    </w:p>
    <w:p w:rsidR="00487995" w:rsidRPr="00ED4CEA" w:rsidRDefault="00487995" w:rsidP="00487995">
      <w:pPr>
        <w:spacing w:after="120"/>
        <w:rPr>
          <w:sz w:val="28"/>
        </w:rPr>
      </w:pPr>
      <w:r w:rsidRPr="00ED4CEA">
        <w:rPr>
          <w:sz w:val="28"/>
        </w:rPr>
        <w:t>Table des matières</w:t>
      </w:r>
    </w:p>
    <w:p w:rsidR="00487995" w:rsidRPr="00ED4CEA" w:rsidRDefault="00487995" w:rsidP="00487995">
      <w:pPr>
        <w:tabs>
          <w:tab w:val="right" w:pos="8929"/>
          <w:tab w:val="right" w:pos="9638"/>
        </w:tabs>
        <w:spacing w:after="120"/>
        <w:ind w:left="283"/>
      </w:pPr>
      <w:r w:rsidRPr="00ED4CEA">
        <w:rPr>
          <w:i/>
          <w:sz w:val="18"/>
        </w:rPr>
        <w:tab/>
        <w:t>Paragraphes</w:t>
      </w:r>
      <w:r w:rsidRPr="00ED4CEA">
        <w:rPr>
          <w:i/>
          <w:sz w:val="18"/>
        </w:rPr>
        <w:tab/>
        <w:t>Page</w:t>
      </w:r>
    </w:p>
    <w:p w:rsidR="00487995" w:rsidRPr="00144F2B" w:rsidRDefault="00487995" w:rsidP="00487995">
      <w:pPr>
        <w:tabs>
          <w:tab w:val="right" w:pos="850"/>
          <w:tab w:val="left" w:pos="1190"/>
          <w:tab w:val="left" w:pos="1559"/>
          <w:tab w:val="left" w:pos="1984"/>
          <w:tab w:val="left" w:leader="dot" w:pos="7654"/>
          <w:tab w:val="right" w:pos="8929"/>
          <w:tab w:val="right" w:pos="9638"/>
        </w:tabs>
        <w:spacing w:after="120"/>
      </w:pPr>
      <w:r>
        <w:tab/>
        <w:t>I.</w:t>
      </w:r>
      <w:r>
        <w:tab/>
        <w:t>Participation</w:t>
      </w:r>
      <w:r>
        <w:tab/>
      </w:r>
      <w:r>
        <w:tab/>
      </w:r>
      <w:r w:rsidRPr="001B507C">
        <w:t>1-</w:t>
      </w:r>
      <w:r w:rsidR="001D71D4">
        <w:t>6</w:t>
      </w:r>
      <w:r w:rsidRPr="001B507C">
        <w:tab/>
      </w:r>
      <w:r w:rsidR="00900CD4">
        <w:t>3</w:t>
      </w:r>
    </w:p>
    <w:p w:rsidR="00487995" w:rsidRPr="00144F2B" w:rsidRDefault="00487995" w:rsidP="00487995">
      <w:pPr>
        <w:tabs>
          <w:tab w:val="right" w:pos="850"/>
          <w:tab w:val="left" w:pos="1204"/>
          <w:tab w:val="left" w:pos="1559"/>
          <w:tab w:val="left" w:pos="1984"/>
          <w:tab w:val="left" w:leader="dot" w:pos="7654"/>
          <w:tab w:val="right" w:pos="8929"/>
          <w:tab w:val="right" w:pos="9638"/>
        </w:tabs>
        <w:spacing w:after="120"/>
      </w:pPr>
      <w:r w:rsidRPr="00144F2B">
        <w:tab/>
        <w:t>II.</w:t>
      </w:r>
      <w:r w:rsidRPr="00144F2B">
        <w:tab/>
      </w:r>
      <w:r w:rsidRPr="00C71525">
        <w:t>Adoption de l</w:t>
      </w:r>
      <w:r>
        <w:t>’</w:t>
      </w:r>
      <w:r w:rsidRPr="00C71525">
        <w:t>ordre du jour (point 1 de l</w:t>
      </w:r>
      <w:r>
        <w:t>’</w:t>
      </w:r>
      <w:r w:rsidRPr="00C71525">
        <w:t>o</w:t>
      </w:r>
      <w:r>
        <w:t>rdre du jour)</w:t>
      </w:r>
      <w:r>
        <w:tab/>
      </w:r>
      <w:r>
        <w:tab/>
      </w:r>
      <w:r w:rsidR="001D71D4">
        <w:t>7</w:t>
      </w:r>
      <w:r w:rsidRPr="001B507C">
        <w:tab/>
      </w:r>
      <w:r w:rsidR="00900CD4">
        <w:t>3</w:t>
      </w:r>
    </w:p>
    <w:p w:rsidR="00487995" w:rsidRDefault="00487995" w:rsidP="00487995">
      <w:pPr>
        <w:tabs>
          <w:tab w:val="right" w:pos="850"/>
          <w:tab w:val="left" w:pos="1984"/>
          <w:tab w:val="left" w:leader="dot" w:pos="7654"/>
          <w:tab w:val="right" w:pos="8929"/>
          <w:tab w:val="right" w:pos="9638"/>
        </w:tabs>
        <w:spacing w:after="120"/>
        <w:ind w:left="1200" w:hanging="600"/>
        <w:rPr>
          <w:lang w:val="fr-FR"/>
        </w:rPr>
      </w:pPr>
      <w:r>
        <w:t>III.</w:t>
      </w:r>
      <w:r>
        <w:tab/>
      </w:r>
      <w:r>
        <w:tab/>
      </w:r>
      <w:r w:rsidR="001D71D4">
        <w:rPr>
          <w:lang w:val="fr-FR"/>
        </w:rPr>
        <w:t xml:space="preserve">Quatre-vingt-unième </w:t>
      </w:r>
      <w:r w:rsidR="001D71D4" w:rsidRPr="00787CF7">
        <w:rPr>
          <w:lang w:val="fr-FR"/>
        </w:rPr>
        <w:t>session du Comité des transports intérieurs</w:t>
      </w:r>
      <w:r w:rsidR="001D71D4">
        <w:rPr>
          <w:lang w:val="fr-FR"/>
        </w:rPr>
        <w:t xml:space="preserve"> </w:t>
      </w:r>
      <w:r w:rsidR="001D71D4">
        <w:rPr>
          <w:lang w:val="fr-FR"/>
        </w:rPr>
        <w:br/>
      </w:r>
      <w:r w:rsidR="001D71D4" w:rsidRPr="005B2C1D">
        <w:t xml:space="preserve">(point </w:t>
      </w:r>
      <w:r w:rsidR="001D71D4">
        <w:t>2</w:t>
      </w:r>
      <w:r w:rsidR="001D71D4" w:rsidRPr="005B2C1D">
        <w:t xml:space="preserve"> de l</w:t>
      </w:r>
      <w:r w:rsidR="001D71D4">
        <w:t>’</w:t>
      </w:r>
      <w:r w:rsidR="001D71D4" w:rsidRPr="005B2C1D">
        <w:t>ordre du jour)</w:t>
      </w:r>
      <w:r>
        <w:rPr>
          <w:lang w:val="fr-FR"/>
        </w:rPr>
        <w:tab/>
      </w:r>
      <w:r>
        <w:rPr>
          <w:lang w:val="fr-FR"/>
        </w:rPr>
        <w:tab/>
      </w:r>
      <w:r w:rsidR="001D71D4">
        <w:rPr>
          <w:lang w:val="fr-FR"/>
        </w:rPr>
        <w:t>8-10</w:t>
      </w:r>
      <w:r w:rsidRPr="001B507C">
        <w:rPr>
          <w:lang w:val="fr-FR"/>
        </w:rPr>
        <w:tab/>
      </w:r>
      <w:r w:rsidR="00900CD4">
        <w:rPr>
          <w:lang w:val="fr-FR"/>
        </w:rPr>
        <w:t>3</w:t>
      </w:r>
    </w:p>
    <w:p w:rsidR="001D71D4" w:rsidRDefault="001D71D4" w:rsidP="00487995">
      <w:pPr>
        <w:tabs>
          <w:tab w:val="right" w:pos="850"/>
          <w:tab w:val="left" w:pos="1984"/>
          <w:tab w:val="left" w:leader="dot" w:pos="7654"/>
          <w:tab w:val="right" w:pos="8929"/>
          <w:tab w:val="right" w:pos="9638"/>
        </w:tabs>
        <w:spacing w:after="120"/>
        <w:ind w:left="1200" w:hanging="600"/>
      </w:pPr>
      <w:r>
        <w:t>IV.</w:t>
      </w:r>
      <w:r>
        <w:tab/>
      </w:r>
      <w:r>
        <w:rPr>
          <w:lang w:val="fr-FR"/>
        </w:rPr>
        <w:t>Conférence des Parties contractantes à l’ADR</w:t>
      </w:r>
      <w:r w:rsidRPr="005B2C1D">
        <w:t xml:space="preserve"> (point </w:t>
      </w:r>
      <w:r>
        <w:t>3</w:t>
      </w:r>
      <w:r w:rsidRPr="005B2C1D">
        <w:t xml:space="preserve"> de l</w:t>
      </w:r>
      <w:r>
        <w:t>’</w:t>
      </w:r>
      <w:r w:rsidRPr="005B2C1D">
        <w:t>ordre du jour)</w:t>
      </w:r>
      <w:r>
        <w:tab/>
      </w:r>
      <w:r>
        <w:tab/>
        <w:t>11</w:t>
      </w:r>
      <w:r>
        <w:tab/>
      </w:r>
      <w:r w:rsidR="00900CD4">
        <w:t>4</w:t>
      </w:r>
    </w:p>
    <w:p w:rsidR="00487995" w:rsidRDefault="00487995" w:rsidP="00487995">
      <w:pPr>
        <w:tabs>
          <w:tab w:val="right" w:pos="850"/>
          <w:tab w:val="left" w:pos="1984"/>
          <w:tab w:val="left" w:leader="dot" w:pos="7654"/>
          <w:tab w:val="right" w:pos="8929"/>
          <w:tab w:val="right" w:pos="9638"/>
        </w:tabs>
        <w:spacing w:after="120"/>
        <w:ind w:left="1200" w:hanging="600"/>
      </w:pPr>
      <w:r>
        <w:t>V</w:t>
      </w:r>
      <w:r w:rsidR="001D71D4">
        <w:t>.</w:t>
      </w:r>
      <w:r w:rsidR="001D71D4">
        <w:tab/>
      </w:r>
      <w:r w:rsidR="001D71D4">
        <w:tab/>
      </w:r>
      <w:r w:rsidRPr="005B2C1D">
        <w:t>État de l</w:t>
      </w:r>
      <w:r>
        <w:t>’</w:t>
      </w:r>
      <w:r w:rsidRPr="005B2C1D">
        <w:t xml:space="preserve">Accord européen relatif au transport international </w:t>
      </w:r>
      <w:r>
        <w:br/>
      </w:r>
      <w:r w:rsidRPr="005B2C1D">
        <w:t xml:space="preserve">des marchandises dangereuses par route (ADR) et </w:t>
      </w:r>
      <w:r>
        <w:br/>
      </w:r>
      <w:r w:rsidRPr="005B2C1D">
        <w:t xml:space="preserve">questions connexes (point </w:t>
      </w:r>
      <w:r w:rsidR="001D71D4">
        <w:t>4</w:t>
      </w:r>
      <w:r w:rsidRPr="005B2C1D">
        <w:t xml:space="preserve"> de l</w:t>
      </w:r>
      <w:r>
        <w:t>’</w:t>
      </w:r>
      <w:r w:rsidRPr="005B2C1D">
        <w:t>ordre du jour)</w:t>
      </w:r>
      <w:r>
        <w:tab/>
      </w:r>
      <w:r>
        <w:tab/>
      </w:r>
      <w:r w:rsidR="001D71D4">
        <w:t>12</w:t>
      </w:r>
      <w:r>
        <w:t>-1</w:t>
      </w:r>
      <w:r w:rsidR="001D71D4">
        <w:t>3</w:t>
      </w:r>
      <w:r w:rsidRPr="001B507C">
        <w:tab/>
      </w:r>
      <w:r w:rsidR="00900CD4">
        <w:t>4</w:t>
      </w:r>
    </w:p>
    <w:p w:rsidR="00487995" w:rsidRDefault="00487995" w:rsidP="00487995">
      <w:pPr>
        <w:tabs>
          <w:tab w:val="right" w:pos="850"/>
          <w:tab w:val="left" w:pos="1984"/>
          <w:tab w:val="left" w:leader="dot" w:pos="7654"/>
          <w:tab w:val="right" w:pos="8929"/>
          <w:tab w:val="right" w:pos="9638"/>
        </w:tabs>
        <w:spacing w:after="120"/>
        <w:ind w:left="1200" w:hanging="600"/>
      </w:pPr>
      <w:r>
        <w:t>V</w:t>
      </w:r>
      <w:r w:rsidR="001D71D4">
        <w:t>I</w:t>
      </w:r>
      <w:r>
        <w:t>.</w:t>
      </w:r>
      <w:r>
        <w:tab/>
      </w:r>
      <w:r w:rsidRPr="005B2C1D">
        <w:t>Travaux de la Réunion commune RID/A</w:t>
      </w:r>
      <w:r>
        <w:t>DR/ADN</w:t>
      </w:r>
      <w:r>
        <w:br/>
      </w:r>
      <w:r w:rsidRPr="005B2C1D">
        <w:t xml:space="preserve">(point </w:t>
      </w:r>
      <w:r w:rsidR="001D71D4">
        <w:t>5</w:t>
      </w:r>
      <w:r w:rsidRPr="005B2C1D">
        <w:t xml:space="preserve"> de l</w:t>
      </w:r>
      <w:r>
        <w:t>’ordre du jour)</w:t>
      </w:r>
      <w:r>
        <w:tab/>
      </w:r>
      <w:r>
        <w:tab/>
        <w:t>1</w:t>
      </w:r>
      <w:r w:rsidR="001D71D4">
        <w:t>4</w:t>
      </w:r>
      <w:r>
        <w:t>-</w:t>
      </w:r>
      <w:r w:rsidR="001D71D4">
        <w:t>18</w:t>
      </w:r>
      <w:r w:rsidRPr="001B507C">
        <w:tab/>
      </w:r>
      <w:r w:rsidR="00900CD4">
        <w:t>4</w:t>
      </w:r>
    </w:p>
    <w:p w:rsidR="00487995" w:rsidRDefault="00487995" w:rsidP="00487995">
      <w:pPr>
        <w:tabs>
          <w:tab w:val="right" w:pos="850"/>
          <w:tab w:val="left" w:pos="1134"/>
          <w:tab w:val="left" w:pos="1559"/>
          <w:tab w:val="left" w:pos="1984"/>
          <w:tab w:val="left" w:leader="dot" w:pos="7654"/>
          <w:tab w:val="right" w:pos="8929"/>
          <w:tab w:val="right" w:pos="9638"/>
        </w:tabs>
        <w:spacing w:after="120"/>
        <w:ind w:left="1559" w:hanging="1559"/>
        <w:rPr>
          <w:lang w:val="fr-FR"/>
        </w:rPr>
      </w:pPr>
      <w:r w:rsidRPr="00AF7A57">
        <w:rPr>
          <w:lang w:val="fr-FR"/>
        </w:rPr>
        <w:tab/>
      </w:r>
      <w:r w:rsidRPr="00AF7A57">
        <w:rPr>
          <w:lang w:val="fr-FR"/>
        </w:rPr>
        <w:tab/>
      </w:r>
      <w:r>
        <w:rPr>
          <w:lang w:val="fr-FR"/>
        </w:rPr>
        <w:t>A</w:t>
      </w:r>
      <w:r w:rsidRPr="00AF7A57">
        <w:rPr>
          <w:lang w:val="fr-FR"/>
        </w:rPr>
        <w:t>.</w:t>
      </w:r>
      <w:r w:rsidRPr="00AF7A57">
        <w:rPr>
          <w:lang w:val="fr-FR"/>
        </w:rPr>
        <w:tab/>
      </w:r>
      <w:r w:rsidR="001D71D4">
        <w:t>Généralités</w:t>
      </w:r>
      <w:r w:rsidRPr="00AF7A57">
        <w:rPr>
          <w:lang w:val="fr-FR"/>
        </w:rPr>
        <w:tab/>
      </w:r>
      <w:r w:rsidRPr="00AF7A57">
        <w:rPr>
          <w:lang w:val="fr-FR"/>
        </w:rPr>
        <w:tab/>
      </w:r>
      <w:r>
        <w:rPr>
          <w:lang w:val="fr-FR"/>
        </w:rPr>
        <w:t>1</w:t>
      </w:r>
      <w:r w:rsidR="001D71D4">
        <w:rPr>
          <w:lang w:val="fr-FR"/>
        </w:rPr>
        <w:t>4</w:t>
      </w:r>
      <w:r w:rsidRPr="001B507C">
        <w:rPr>
          <w:lang w:val="fr-FR"/>
        </w:rPr>
        <w:tab/>
      </w:r>
      <w:r w:rsidR="00900CD4">
        <w:rPr>
          <w:lang w:val="fr-FR"/>
        </w:rPr>
        <w:t>4</w:t>
      </w:r>
    </w:p>
    <w:p w:rsidR="00487995" w:rsidRDefault="00487995" w:rsidP="00487995">
      <w:pPr>
        <w:tabs>
          <w:tab w:val="right" w:pos="850"/>
          <w:tab w:val="left" w:pos="1134"/>
          <w:tab w:val="left" w:pos="1560"/>
          <w:tab w:val="left" w:pos="1984"/>
          <w:tab w:val="left" w:leader="dot" w:pos="7654"/>
          <w:tab w:val="right" w:pos="8929"/>
          <w:tab w:val="right" w:pos="9638"/>
        </w:tabs>
        <w:spacing w:after="120"/>
        <w:ind w:left="1559" w:hanging="1559"/>
        <w:rPr>
          <w:lang w:val="fr-FR"/>
        </w:rPr>
      </w:pPr>
      <w:r w:rsidRPr="00AF7A57">
        <w:rPr>
          <w:lang w:val="fr-FR"/>
        </w:rPr>
        <w:tab/>
      </w:r>
      <w:r w:rsidRPr="00AF7A57">
        <w:rPr>
          <w:lang w:val="fr-FR"/>
        </w:rPr>
        <w:tab/>
      </w:r>
      <w:r>
        <w:rPr>
          <w:lang w:val="fr-FR"/>
        </w:rPr>
        <w:t>B</w:t>
      </w:r>
      <w:r w:rsidRPr="00AF7A57">
        <w:rPr>
          <w:lang w:val="fr-FR"/>
        </w:rPr>
        <w:t>.</w:t>
      </w:r>
      <w:r w:rsidRPr="00AF7A57">
        <w:rPr>
          <w:lang w:val="fr-FR"/>
        </w:rPr>
        <w:tab/>
      </w:r>
      <w:r w:rsidR="001D71D4">
        <w:t xml:space="preserve">Disposition spéciale 671 pour les </w:t>
      </w:r>
      <w:r w:rsidR="001D71D4" w:rsidRPr="00F77E13">
        <w:rPr>
          <w:lang w:val="fr-FR"/>
        </w:rPr>
        <w:t xml:space="preserve">trousses chimiques et </w:t>
      </w:r>
      <w:r w:rsidR="001D71D4">
        <w:rPr>
          <w:lang w:val="fr-FR"/>
        </w:rPr>
        <w:br/>
      </w:r>
      <w:r w:rsidR="001D71D4" w:rsidRPr="00F77E13">
        <w:rPr>
          <w:lang w:val="fr-FR"/>
        </w:rPr>
        <w:t>trousses de</w:t>
      </w:r>
      <w:r w:rsidR="001D71D4">
        <w:rPr>
          <w:lang w:val="fr-FR"/>
        </w:rPr>
        <w:t> </w:t>
      </w:r>
      <w:r w:rsidR="001D71D4" w:rsidRPr="00F77E13">
        <w:rPr>
          <w:lang w:val="fr-FR"/>
        </w:rPr>
        <w:t>premiers secours (</w:t>
      </w:r>
      <w:r w:rsidR="001D71D4">
        <w:rPr>
          <w:lang w:val="fr-FR"/>
        </w:rPr>
        <w:t xml:space="preserve">numéro </w:t>
      </w:r>
      <w:r w:rsidR="001D71D4" w:rsidRPr="00F77E13">
        <w:rPr>
          <w:lang w:val="fr-FR"/>
        </w:rPr>
        <w:t>ONU</w:t>
      </w:r>
      <w:r w:rsidR="001D71D4">
        <w:rPr>
          <w:lang w:val="fr-FR"/>
        </w:rPr>
        <w:t> </w:t>
      </w:r>
      <w:r w:rsidR="001D71D4" w:rsidRPr="00F77E13">
        <w:rPr>
          <w:lang w:val="fr-FR"/>
        </w:rPr>
        <w:t>3316)</w:t>
      </w:r>
      <w:r>
        <w:rPr>
          <w:lang w:val="fr-FR"/>
        </w:rPr>
        <w:t>………………….</w:t>
      </w:r>
      <w:r>
        <w:rPr>
          <w:lang w:val="fr-FR"/>
        </w:rPr>
        <w:tab/>
      </w:r>
      <w:r w:rsidR="001D71D4">
        <w:rPr>
          <w:lang w:val="fr-FR"/>
        </w:rPr>
        <w:tab/>
      </w:r>
      <w:r>
        <w:rPr>
          <w:lang w:val="fr-FR"/>
        </w:rPr>
        <w:t>1</w:t>
      </w:r>
      <w:r w:rsidR="001D71D4">
        <w:rPr>
          <w:lang w:val="fr-FR"/>
        </w:rPr>
        <w:t>5</w:t>
      </w:r>
      <w:r>
        <w:rPr>
          <w:lang w:val="fr-FR"/>
        </w:rPr>
        <w:t>-1</w:t>
      </w:r>
      <w:r w:rsidR="001D71D4">
        <w:rPr>
          <w:lang w:val="fr-FR"/>
        </w:rPr>
        <w:t>7</w:t>
      </w:r>
      <w:r>
        <w:rPr>
          <w:lang w:val="fr-FR"/>
        </w:rPr>
        <w:tab/>
      </w:r>
      <w:r w:rsidR="00900CD4">
        <w:rPr>
          <w:lang w:val="fr-FR"/>
        </w:rPr>
        <w:t>4</w:t>
      </w:r>
    </w:p>
    <w:p w:rsidR="00487995" w:rsidRDefault="00487995" w:rsidP="00487995">
      <w:pPr>
        <w:tabs>
          <w:tab w:val="right" w:pos="850"/>
          <w:tab w:val="left" w:pos="1134"/>
          <w:tab w:val="left" w:pos="1559"/>
          <w:tab w:val="left" w:pos="1984"/>
          <w:tab w:val="left" w:leader="dot" w:pos="7654"/>
          <w:tab w:val="right" w:pos="8929"/>
          <w:tab w:val="right" w:pos="9638"/>
        </w:tabs>
        <w:spacing w:after="120"/>
        <w:ind w:left="1559" w:hanging="1559"/>
        <w:rPr>
          <w:lang w:val="fr-FR"/>
        </w:rPr>
      </w:pPr>
      <w:r>
        <w:rPr>
          <w:lang w:val="fr-FR"/>
        </w:rPr>
        <w:tab/>
      </w:r>
      <w:r>
        <w:rPr>
          <w:lang w:val="fr-FR"/>
        </w:rPr>
        <w:tab/>
        <w:t>C.</w:t>
      </w:r>
      <w:r>
        <w:rPr>
          <w:lang w:val="fr-FR"/>
        </w:rPr>
        <w:tab/>
      </w:r>
      <w:r w:rsidR="001D71D4">
        <w:t>Mandat pour l’élaboration de normes</w:t>
      </w:r>
      <w:r w:rsidR="001D71D4">
        <w:rPr>
          <w:lang w:val="fr-FR"/>
        </w:rPr>
        <w:t xml:space="preserve"> </w:t>
      </w:r>
      <w:r>
        <w:rPr>
          <w:lang w:val="fr-FR"/>
        </w:rPr>
        <w:t>…………………………</w:t>
      </w:r>
      <w:r>
        <w:rPr>
          <w:lang w:val="fr-FR"/>
        </w:rPr>
        <w:tab/>
      </w:r>
      <w:r w:rsidR="001D71D4">
        <w:rPr>
          <w:lang w:val="fr-FR"/>
        </w:rPr>
        <w:tab/>
      </w:r>
      <w:r>
        <w:rPr>
          <w:lang w:val="fr-FR"/>
        </w:rPr>
        <w:t>18</w:t>
      </w:r>
      <w:r>
        <w:rPr>
          <w:lang w:val="fr-FR"/>
        </w:rPr>
        <w:tab/>
      </w:r>
      <w:r w:rsidR="00900CD4">
        <w:rPr>
          <w:lang w:val="fr-FR"/>
        </w:rPr>
        <w:t>5</w:t>
      </w:r>
    </w:p>
    <w:p w:rsidR="00487995" w:rsidRDefault="00487995" w:rsidP="00487995">
      <w:pPr>
        <w:tabs>
          <w:tab w:val="right" w:pos="850"/>
          <w:tab w:val="left" w:pos="1984"/>
          <w:tab w:val="left" w:leader="dot" w:pos="7654"/>
          <w:tab w:val="right" w:pos="8929"/>
          <w:tab w:val="right" w:pos="9638"/>
        </w:tabs>
        <w:spacing w:before="240" w:after="120" w:line="0" w:lineRule="atLeast"/>
        <w:ind w:left="1200" w:hanging="600"/>
      </w:pPr>
      <w:r w:rsidRPr="00DF3E0D">
        <w:t>V</w:t>
      </w:r>
      <w:r w:rsidR="001D71D4">
        <w:t>I</w:t>
      </w:r>
      <w:r w:rsidRPr="00DF3E0D">
        <w:t>I.</w:t>
      </w:r>
      <w:r w:rsidRPr="00DF3E0D">
        <w:tab/>
      </w:r>
      <w:r w:rsidRPr="00787CF7">
        <w:rPr>
          <w:lang w:val="fr-FR"/>
        </w:rPr>
        <w:t>Propositions d'amendement aux annexes A et B de l'ADR</w:t>
      </w:r>
      <w:r>
        <w:br/>
      </w:r>
      <w:r w:rsidRPr="005B2C1D">
        <w:t xml:space="preserve">(point </w:t>
      </w:r>
      <w:r w:rsidR="001D71D4">
        <w:t>6</w:t>
      </w:r>
      <w:r w:rsidRPr="005B2C1D">
        <w:t xml:space="preserve"> de l</w:t>
      </w:r>
      <w:r>
        <w:t>’</w:t>
      </w:r>
      <w:r w:rsidRPr="005B2C1D">
        <w:t>ordre du jour)</w:t>
      </w:r>
      <w:r>
        <w:tab/>
      </w:r>
      <w:r>
        <w:tab/>
      </w:r>
      <w:r w:rsidR="001D71D4">
        <w:t>19</w:t>
      </w:r>
      <w:r>
        <w:t>-</w:t>
      </w:r>
      <w:r w:rsidR="001D71D4">
        <w:t>4</w:t>
      </w:r>
      <w:r>
        <w:t>8</w:t>
      </w:r>
      <w:r w:rsidRPr="001B507C">
        <w:tab/>
      </w:r>
      <w:r w:rsidR="00900CD4">
        <w:t>5</w:t>
      </w:r>
    </w:p>
    <w:p w:rsidR="00487995" w:rsidRDefault="00487995" w:rsidP="00487995">
      <w:pPr>
        <w:tabs>
          <w:tab w:val="right" w:pos="850"/>
          <w:tab w:val="left" w:pos="1134"/>
          <w:tab w:val="left" w:pos="1559"/>
          <w:tab w:val="left" w:pos="1984"/>
          <w:tab w:val="left" w:leader="dot" w:pos="7654"/>
          <w:tab w:val="right" w:pos="8929"/>
          <w:tab w:val="right" w:pos="9638"/>
        </w:tabs>
        <w:spacing w:after="120"/>
        <w:ind w:left="1559" w:hanging="1559"/>
        <w:rPr>
          <w:lang w:val="fr-FR"/>
        </w:rPr>
      </w:pPr>
      <w:r w:rsidRPr="00AF7A57">
        <w:rPr>
          <w:lang w:val="fr-FR"/>
        </w:rPr>
        <w:tab/>
      </w:r>
      <w:r w:rsidRPr="00AF7A57">
        <w:rPr>
          <w:lang w:val="fr-FR"/>
        </w:rPr>
        <w:tab/>
      </w:r>
      <w:r>
        <w:rPr>
          <w:lang w:val="fr-FR"/>
        </w:rPr>
        <w:t>A</w:t>
      </w:r>
      <w:r w:rsidRPr="00AF7A57">
        <w:rPr>
          <w:lang w:val="fr-FR"/>
        </w:rPr>
        <w:t>.</w:t>
      </w:r>
      <w:r w:rsidRPr="00AF7A57">
        <w:rPr>
          <w:lang w:val="fr-FR"/>
        </w:rPr>
        <w:tab/>
      </w:r>
      <w:r w:rsidRPr="00214393">
        <w:rPr>
          <w:lang w:val="fr-FR"/>
        </w:rPr>
        <w:t>Construction et agrément des véhicules</w:t>
      </w:r>
      <w:r>
        <w:rPr>
          <w:lang w:val="fr-FR"/>
        </w:rPr>
        <w:tab/>
      </w:r>
      <w:r>
        <w:rPr>
          <w:lang w:val="fr-FR"/>
        </w:rPr>
        <w:tab/>
      </w:r>
      <w:r w:rsidR="001D71D4">
        <w:rPr>
          <w:lang w:val="fr-FR"/>
        </w:rPr>
        <w:t>19-22</w:t>
      </w:r>
      <w:r>
        <w:rPr>
          <w:lang w:val="fr-FR"/>
        </w:rPr>
        <w:tab/>
      </w:r>
      <w:r w:rsidR="00900CD4">
        <w:rPr>
          <w:lang w:val="fr-FR"/>
        </w:rPr>
        <w:t>5</w:t>
      </w:r>
    </w:p>
    <w:p w:rsidR="00487995" w:rsidRPr="0076227D" w:rsidRDefault="00487995" w:rsidP="00487995">
      <w:pPr>
        <w:tabs>
          <w:tab w:val="right" w:pos="850"/>
          <w:tab w:val="left" w:pos="1134"/>
          <w:tab w:val="left" w:pos="1559"/>
          <w:tab w:val="left" w:pos="1984"/>
          <w:tab w:val="left" w:leader="dot" w:pos="7654"/>
          <w:tab w:val="right" w:pos="8929"/>
          <w:tab w:val="right" w:pos="9638"/>
        </w:tabs>
        <w:spacing w:after="120"/>
        <w:ind w:left="1980" w:hanging="1980"/>
      </w:pPr>
      <w:r>
        <w:rPr>
          <w:lang w:val="fr-FR"/>
        </w:rPr>
        <w:tab/>
      </w:r>
      <w:r>
        <w:rPr>
          <w:lang w:val="fr-FR"/>
        </w:rPr>
        <w:tab/>
      </w:r>
      <w:r>
        <w:rPr>
          <w:lang w:val="fr-FR"/>
        </w:rPr>
        <w:tab/>
      </w:r>
      <w:r w:rsidRPr="0076227D">
        <w:t>1.</w:t>
      </w:r>
      <w:r w:rsidRPr="0076227D">
        <w:tab/>
      </w:r>
      <w:r w:rsidR="001D71D4">
        <w:rPr>
          <w:lang w:val="fr-FR"/>
        </w:rPr>
        <w:t>Système de freinage pour les remorques EX/II</w:t>
      </w:r>
      <w:r w:rsidRPr="0076227D">
        <w:tab/>
      </w:r>
      <w:r w:rsidRPr="0076227D">
        <w:tab/>
      </w:r>
      <w:r w:rsidR="001D71D4">
        <w:t>19</w:t>
      </w:r>
      <w:r w:rsidRPr="0076227D">
        <w:tab/>
      </w:r>
      <w:r w:rsidR="00900CD4">
        <w:t>5</w:t>
      </w:r>
    </w:p>
    <w:p w:rsidR="00487995" w:rsidRPr="0076227D" w:rsidRDefault="00487995" w:rsidP="00487995">
      <w:pPr>
        <w:tabs>
          <w:tab w:val="right" w:pos="850"/>
          <w:tab w:val="left" w:pos="1134"/>
          <w:tab w:val="left" w:pos="1559"/>
          <w:tab w:val="left" w:pos="1984"/>
          <w:tab w:val="left" w:leader="dot" w:pos="7654"/>
          <w:tab w:val="right" w:pos="8929"/>
          <w:tab w:val="right" w:pos="9638"/>
        </w:tabs>
        <w:spacing w:after="120"/>
        <w:ind w:left="1980" w:hanging="1980"/>
      </w:pPr>
      <w:r w:rsidRPr="0076227D">
        <w:tab/>
      </w:r>
      <w:r w:rsidRPr="0076227D">
        <w:tab/>
      </w:r>
      <w:r w:rsidRPr="0076227D">
        <w:tab/>
        <w:t>2.</w:t>
      </w:r>
      <w:r w:rsidRPr="0076227D">
        <w:tab/>
      </w:r>
      <w:r w:rsidR="001D71D4">
        <w:t>Proposition de clarification du champ d’application du 9.1.3.4</w:t>
      </w:r>
      <w:r w:rsidRPr="0076227D">
        <w:tab/>
      </w:r>
      <w:r w:rsidRPr="0076227D">
        <w:tab/>
      </w:r>
      <w:r w:rsidR="001D71D4">
        <w:t>20</w:t>
      </w:r>
      <w:r w:rsidRPr="0076227D">
        <w:tab/>
      </w:r>
      <w:r w:rsidR="00900CD4">
        <w:t>5</w:t>
      </w:r>
    </w:p>
    <w:p w:rsidR="00487995" w:rsidRDefault="00487995" w:rsidP="00487995">
      <w:pPr>
        <w:tabs>
          <w:tab w:val="right" w:pos="850"/>
          <w:tab w:val="left" w:pos="1134"/>
          <w:tab w:val="left" w:pos="1559"/>
          <w:tab w:val="left" w:pos="1984"/>
          <w:tab w:val="left" w:leader="dot" w:pos="7654"/>
          <w:tab w:val="right" w:pos="8929"/>
          <w:tab w:val="right" w:pos="9638"/>
        </w:tabs>
        <w:spacing w:after="120"/>
        <w:ind w:left="1980" w:hanging="1980"/>
      </w:pPr>
      <w:r w:rsidRPr="0076227D">
        <w:tab/>
      </w:r>
      <w:r w:rsidRPr="0076227D">
        <w:tab/>
      </w:r>
      <w:r w:rsidRPr="0076227D">
        <w:tab/>
        <w:t>3.</w:t>
      </w:r>
      <w:r w:rsidRPr="0076227D">
        <w:tab/>
      </w:r>
      <w:r w:rsidR="001D71D4" w:rsidRPr="00583ABC">
        <w:rPr>
          <w:rFonts w:ascii="Times New Roman Gras" w:hAnsi="Times New Roman Gras"/>
          <w:spacing w:val="-3"/>
          <w:lang w:val="fr-FR"/>
        </w:rPr>
        <w:t>Transport sous régulation de température dans des conteneurs</w:t>
      </w:r>
      <w:r w:rsidR="001D71D4">
        <w:rPr>
          <w:lang w:val="fr-FR"/>
        </w:rPr>
        <w:t xml:space="preserve"> </w:t>
      </w:r>
      <w:r w:rsidR="001D71D4" w:rsidRPr="00583ABC">
        <w:t>frigorifiques</w:t>
      </w:r>
      <w:r w:rsidR="001D71D4">
        <w:rPr>
          <w:lang w:val="fr-FR"/>
        </w:rPr>
        <w:t xml:space="preserve"> − </w:t>
      </w:r>
      <w:r w:rsidR="001D71D4">
        <w:rPr>
          <w:lang w:val="fr-FR"/>
        </w:rPr>
        <w:br/>
        <w:t xml:space="preserve">Surveillance de la température depuis la cabine du conducteur − </w:t>
      </w:r>
      <w:r w:rsidR="001D71D4">
        <w:rPr>
          <w:lang w:val="fr-FR"/>
        </w:rPr>
        <w:br/>
        <w:t>9.6.1 c) de l’ADR</w:t>
      </w:r>
      <w:r>
        <w:tab/>
      </w:r>
      <w:r>
        <w:tab/>
      </w:r>
      <w:r w:rsidR="001D71D4">
        <w:t>21-22</w:t>
      </w:r>
      <w:r>
        <w:tab/>
      </w:r>
      <w:r w:rsidR="00900CD4">
        <w:t>6</w:t>
      </w:r>
    </w:p>
    <w:p w:rsidR="00487995" w:rsidRDefault="00487995" w:rsidP="00487995">
      <w:pPr>
        <w:tabs>
          <w:tab w:val="right" w:pos="850"/>
          <w:tab w:val="left" w:pos="1134"/>
          <w:tab w:val="left" w:pos="1559"/>
          <w:tab w:val="left" w:pos="1984"/>
          <w:tab w:val="left" w:leader="dot" w:pos="7654"/>
          <w:tab w:val="right" w:pos="8929"/>
          <w:tab w:val="right" w:pos="9638"/>
        </w:tabs>
        <w:spacing w:after="120"/>
        <w:ind w:left="1559" w:hanging="1559"/>
        <w:rPr>
          <w:lang w:val="fr-FR"/>
        </w:rPr>
      </w:pPr>
      <w:r w:rsidRPr="00AF7A57">
        <w:rPr>
          <w:lang w:val="fr-FR"/>
        </w:rPr>
        <w:tab/>
      </w:r>
      <w:r w:rsidRPr="00AF7A57">
        <w:rPr>
          <w:lang w:val="fr-FR"/>
        </w:rPr>
        <w:tab/>
      </w:r>
      <w:r>
        <w:rPr>
          <w:lang w:val="fr-FR"/>
        </w:rPr>
        <w:t>B</w:t>
      </w:r>
      <w:r w:rsidRPr="00AF7A57">
        <w:rPr>
          <w:lang w:val="fr-FR"/>
        </w:rPr>
        <w:t>.</w:t>
      </w:r>
      <w:r w:rsidRPr="00AF7A57">
        <w:rPr>
          <w:lang w:val="fr-FR"/>
        </w:rPr>
        <w:tab/>
      </w:r>
      <w:r>
        <w:rPr>
          <w:lang w:val="fr-FR"/>
        </w:rPr>
        <w:t>Propositions diverses</w:t>
      </w:r>
      <w:r>
        <w:rPr>
          <w:lang w:val="fr-FR"/>
        </w:rPr>
        <w:tab/>
      </w:r>
      <w:r>
        <w:rPr>
          <w:lang w:val="fr-FR"/>
        </w:rPr>
        <w:tab/>
      </w:r>
      <w:r w:rsidR="001D71D4">
        <w:rPr>
          <w:lang w:val="fr-FR"/>
        </w:rPr>
        <w:t>23-48</w:t>
      </w:r>
      <w:r>
        <w:rPr>
          <w:lang w:val="fr-FR"/>
        </w:rPr>
        <w:tab/>
      </w:r>
      <w:r w:rsidR="00900CD4">
        <w:rPr>
          <w:lang w:val="fr-FR"/>
        </w:rPr>
        <w:t>6</w:t>
      </w:r>
    </w:p>
    <w:p w:rsidR="00487995" w:rsidRDefault="00487995" w:rsidP="00487995">
      <w:pPr>
        <w:tabs>
          <w:tab w:val="right" w:pos="850"/>
          <w:tab w:val="left" w:pos="1134"/>
          <w:tab w:val="left" w:pos="1559"/>
          <w:tab w:val="left" w:pos="1984"/>
          <w:tab w:val="left" w:leader="dot" w:pos="7654"/>
          <w:tab w:val="right" w:pos="8929"/>
          <w:tab w:val="right" w:pos="9638"/>
        </w:tabs>
        <w:spacing w:after="120"/>
        <w:ind w:left="1980" w:hanging="1980"/>
      </w:pPr>
      <w:r>
        <w:tab/>
      </w:r>
      <w:r>
        <w:tab/>
      </w:r>
      <w:r>
        <w:tab/>
        <w:t>1.</w:t>
      </w:r>
      <w:r>
        <w:tab/>
      </w:r>
      <w:r w:rsidR="001D71D4">
        <w:rPr>
          <w:lang w:val="fr-FR"/>
        </w:rPr>
        <w:t>Proposition de modification du 5.4.1.1.1 k)</w:t>
      </w:r>
      <w:r>
        <w:tab/>
      </w:r>
      <w:r>
        <w:tab/>
      </w:r>
      <w:r w:rsidR="001D71D4">
        <w:t>23</w:t>
      </w:r>
      <w:r>
        <w:tab/>
      </w:r>
      <w:r w:rsidR="00900CD4">
        <w:t>6</w:t>
      </w:r>
    </w:p>
    <w:p w:rsidR="00487995" w:rsidRDefault="00487995" w:rsidP="00487995">
      <w:pPr>
        <w:tabs>
          <w:tab w:val="right" w:pos="850"/>
          <w:tab w:val="left" w:pos="1134"/>
          <w:tab w:val="left" w:pos="1559"/>
          <w:tab w:val="left" w:pos="1984"/>
          <w:tab w:val="left" w:leader="dot" w:pos="7654"/>
          <w:tab w:val="right" w:pos="8929"/>
          <w:tab w:val="right" w:pos="9638"/>
        </w:tabs>
        <w:spacing w:after="120"/>
        <w:ind w:left="1980" w:hanging="1980"/>
      </w:pPr>
      <w:r>
        <w:lastRenderedPageBreak/>
        <w:tab/>
      </w:r>
      <w:r>
        <w:tab/>
      </w:r>
      <w:r>
        <w:tab/>
        <w:t>2.</w:t>
      </w:r>
      <w:r>
        <w:tab/>
      </w:r>
      <w:r w:rsidR="001D71D4">
        <w:rPr>
          <w:lang w:val="fr-FR"/>
        </w:rPr>
        <w:t>T</w:t>
      </w:r>
      <w:r w:rsidR="001D71D4" w:rsidRPr="00911FB3">
        <w:rPr>
          <w:lang w:val="fr-FR"/>
        </w:rPr>
        <w:t xml:space="preserve">ransport par la poste de colis exceptés de la classe 7 ayant </w:t>
      </w:r>
      <w:r w:rsidR="001D71D4">
        <w:rPr>
          <w:lang w:val="fr-FR"/>
        </w:rPr>
        <w:br/>
      </w:r>
      <w:r w:rsidR="001D71D4" w:rsidRPr="00911FB3">
        <w:rPr>
          <w:lang w:val="fr-FR"/>
        </w:rPr>
        <w:t>un niveau d’activité limité</w:t>
      </w:r>
      <w:r>
        <w:tab/>
      </w:r>
      <w:r>
        <w:tab/>
      </w:r>
      <w:r w:rsidR="001D71D4">
        <w:t>24</w:t>
      </w:r>
      <w:r>
        <w:tab/>
      </w:r>
      <w:r w:rsidR="00900CD4">
        <w:t>6</w:t>
      </w:r>
    </w:p>
    <w:p w:rsidR="00487995" w:rsidRDefault="00487995" w:rsidP="00487995">
      <w:pPr>
        <w:tabs>
          <w:tab w:val="right" w:pos="850"/>
          <w:tab w:val="left" w:pos="1134"/>
          <w:tab w:val="left" w:pos="1559"/>
          <w:tab w:val="left" w:pos="1984"/>
          <w:tab w:val="left" w:leader="dot" w:pos="7654"/>
          <w:tab w:val="right" w:pos="8929"/>
          <w:tab w:val="right" w:pos="9638"/>
        </w:tabs>
        <w:spacing w:after="120"/>
        <w:ind w:left="1980" w:hanging="1980"/>
      </w:pPr>
      <w:r w:rsidRPr="0076227D">
        <w:tab/>
      </w:r>
      <w:r w:rsidRPr="0076227D">
        <w:tab/>
      </w:r>
      <w:r w:rsidRPr="0076227D">
        <w:tab/>
      </w:r>
      <w:r>
        <w:t>3.</w:t>
      </w:r>
      <w:r>
        <w:tab/>
      </w:r>
      <w:r w:rsidR="001D71D4" w:rsidRPr="00786751">
        <w:t xml:space="preserve">Formation de recyclage en ligne pour les conducteurs transportant </w:t>
      </w:r>
      <w:r w:rsidR="001D71D4">
        <w:br/>
      </w:r>
      <w:r w:rsidR="001D71D4" w:rsidRPr="00786751">
        <w:t>des marchandises dangereuses</w:t>
      </w:r>
      <w:r>
        <w:tab/>
      </w:r>
      <w:r>
        <w:tab/>
      </w:r>
      <w:r w:rsidR="001D71D4">
        <w:t>25</w:t>
      </w:r>
      <w:r>
        <w:tab/>
      </w:r>
      <w:r w:rsidR="00900CD4">
        <w:t>6</w:t>
      </w:r>
    </w:p>
    <w:p w:rsidR="00487995" w:rsidRDefault="00487995" w:rsidP="00487995">
      <w:pPr>
        <w:tabs>
          <w:tab w:val="right" w:pos="850"/>
          <w:tab w:val="left" w:pos="1134"/>
          <w:tab w:val="left" w:pos="1559"/>
          <w:tab w:val="left" w:pos="1984"/>
          <w:tab w:val="left" w:leader="dot" w:pos="7654"/>
          <w:tab w:val="right" w:pos="8929"/>
          <w:tab w:val="right" w:pos="9638"/>
        </w:tabs>
        <w:spacing w:after="120"/>
        <w:ind w:left="1980" w:hanging="1980"/>
      </w:pPr>
      <w:r>
        <w:tab/>
      </w:r>
      <w:r>
        <w:tab/>
      </w:r>
      <w:r>
        <w:tab/>
        <w:t>4.</w:t>
      </w:r>
      <w:r>
        <w:tab/>
      </w:r>
      <w:r w:rsidR="001D71D4">
        <w:t xml:space="preserve">Proposition de modification de la disposition spéciale 363 </w:t>
      </w:r>
      <w:r w:rsidR="001D71D4" w:rsidRPr="006B2609">
        <w:rPr>
          <w:i/>
          <w:iCs/>
        </w:rPr>
        <w:t>l</w:t>
      </w:r>
      <w:r w:rsidR="001D71D4">
        <w:t>)</w:t>
      </w:r>
      <w:r>
        <w:tab/>
      </w:r>
      <w:r>
        <w:tab/>
      </w:r>
      <w:r w:rsidR="001D71D4">
        <w:t>26</w:t>
      </w:r>
      <w:r>
        <w:tab/>
      </w:r>
      <w:r w:rsidR="00900CD4">
        <w:t>6</w:t>
      </w:r>
    </w:p>
    <w:p w:rsidR="00487995" w:rsidRDefault="00487995" w:rsidP="00487995">
      <w:pPr>
        <w:tabs>
          <w:tab w:val="right" w:pos="850"/>
          <w:tab w:val="left" w:pos="1134"/>
          <w:tab w:val="left" w:pos="1559"/>
          <w:tab w:val="left" w:pos="1984"/>
          <w:tab w:val="left" w:leader="dot" w:pos="7654"/>
          <w:tab w:val="right" w:pos="8929"/>
          <w:tab w:val="right" w:pos="9638"/>
        </w:tabs>
        <w:spacing w:after="120"/>
        <w:ind w:left="1980" w:hanging="1980"/>
      </w:pPr>
      <w:r>
        <w:tab/>
      </w:r>
      <w:r>
        <w:tab/>
      </w:r>
      <w:r>
        <w:tab/>
        <w:t>5.</w:t>
      </w:r>
      <w:r>
        <w:tab/>
      </w:r>
      <w:r w:rsidR="001D71D4" w:rsidRPr="00A778FE">
        <w:rPr>
          <w:lang w:val="fr-FR"/>
        </w:rPr>
        <w:t xml:space="preserve">Marquage des unités de transport et des conteneurs chargés </w:t>
      </w:r>
      <w:r w:rsidR="001D71D4">
        <w:rPr>
          <w:lang w:val="fr-FR"/>
        </w:rPr>
        <w:br/>
      </w:r>
      <w:r w:rsidR="001D71D4" w:rsidRPr="00A778FE">
        <w:rPr>
          <w:lang w:val="fr-FR"/>
        </w:rPr>
        <w:t>avec des quantités limitées</w:t>
      </w:r>
      <w:r>
        <w:tab/>
      </w:r>
      <w:r>
        <w:tab/>
      </w:r>
      <w:r w:rsidR="001D71D4">
        <w:t>27</w:t>
      </w:r>
      <w:r>
        <w:tab/>
      </w:r>
      <w:r w:rsidR="00900CD4">
        <w:t>7</w:t>
      </w:r>
    </w:p>
    <w:p w:rsidR="00487995" w:rsidRPr="0076227D" w:rsidRDefault="00487995" w:rsidP="00487995">
      <w:pPr>
        <w:tabs>
          <w:tab w:val="right" w:pos="850"/>
          <w:tab w:val="left" w:pos="1134"/>
          <w:tab w:val="left" w:pos="1559"/>
          <w:tab w:val="left" w:pos="1984"/>
          <w:tab w:val="left" w:leader="dot" w:pos="7654"/>
          <w:tab w:val="right" w:pos="8929"/>
          <w:tab w:val="right" w:pos="9638"/>
        </w:tabs>
        <w:spacing w:after="120"/>
        <w:ind w:left="1980" w:hanging="1980"/>
      </w:pPr>
      <w:r w:rsidRPr="0076227D">
        <w:tab/>
      </w:r>
      <w:r w:rsidRPr="0076227D">
        <w:tab/>
      </w:r>
      <w:r w:rsidRPr="0076227D">
        <w:tab/>
        <w:t>6.</w:t>
      </w:r>
      <w:r w:rsidRPr="0076227D">
        <w:tab/>
      </w:r>
      <w:r w:rsidR="001D71D4" w:rsidRPr="004818BD">
        <w:rPr>
          <w:lang w:val="fr-FR"/>
        </w:rPr>
        <w:t xml:space="preserve">Information requise dans le document de transport permettant </w:t>
      </w:r>
      <w:r w:rsidR="001D71D4">
        <w:rPr>
          <w:lang w:val="fr-FR"/>
        </w:rPr>
        <w:br/>
      </w:r>
      <w:r w:rsidR="001D71D4" w:rsidRPr="004818BD">
        <w:rPr>
          <w:lang w:val="fr-FR"/>
        </w:rPr>
        <w:t>le passage dans les tunnels soumis à restriction</w:t>
      </w:r>
      <w:r w:rsidRPr="0076227D">
        <w:tab/>
      </w:r>
      <w:r w:rsidRPr="0076227D">
        <w:tab/>
      </w:r>
      <w:r w:rsidR="001D71D4">
        <w:t>28</w:t>
      </w:r>
      <w:r w:rsidRPr="0076227D">
        <w:tab/>
      </w:r>
      <w:r w:rsidR="00900CD4">
        <w:t>7</w:t>
      </w:r>
    </w:p>
    <w:p w:rsidR="00487995" w:rsidRDefault="00487995" w:rsidP="00487995">
      <w:pPr>
        <w:tabs>
          <w:tab w:val="right" w:pos="850"/>
          <w:tab w:val="left" w:pos="1134"/>
          <w:tab w:val="left" w:pos="1559"/>
          <w:tab w:val="left" w:pos="1984"/>
          <w:tab w:val="left" w:leader="dot" w:pos="7654"/>
          <w:tab w:val="right" w:pos="8929"/>
          <w:tab w:val="right" w:pos="9638"/>
        </w:tabs>
        <w:spacing w:after="120"/>
        <w:ind w:left="1980" w:hanging="1980"/>
        <w:rPr>
          <w:lang w:val="fr-FR"/>
        </w:rPr>
      </w:pPr>
      <w:r w:rsidRPr="0076227D">
        <w:tab/>
      </w:r>
      <w:r w:rsidRPr="0076227D">
        <w:tab/>
      </w:r>
      <w:r w:rsidRPr="0076227D">
        <w:tab/>
        <w:t>7.</w:t>
      </w:r>
      <w:r w:rsidRPr="0076227D">
        <w:tab/>
      </w:r>
      <w:r w:rsidR="009735FD">
        <w:rPr>
          <w:lang w:val="fr-FR"/>
        </w:rPr>
        <w:t xml:space="preserve">Plus d’une remorque (ou semi-remorque) dans une </w:t>
      </w:r>
      <w:r w:rsidR="009735FD">
        <w:rPr>
          <w:lang w:val="fr-FR"/>
        </w:rPr>
        <w:br/>
        <w:t>unité de transport (8.1.1)</w:t>
      </w:r>
      <w:r>
        <w:rPr>
          <w:lang w:val="fr-FR"/>
        </w:rPr>
        <w:tab/>
      </w:r>
      <w:r>
        <w:rPr>
          <w:lang w:val="fr-FR"/>
        </w:rPr>
        <w:tab/>
      </w:r>
      <w:r w:rsidR="009735FD">
        <w:rPr>
          <w:lang w:val="fr-FR"/>
        </w:rPr>
        <w:t>29</w:t>
      </w:r>
      <w:r>
        <w:rPr>
          <w:lang w:val="fr-FR"/>
        </w:rPr>
        <w:tab/>
      </w:r>
      <w:r w:rsidR="00900CD4">
        <w:rPr>
          <w:lang w:val="fr-FR"/>
        </w:rPr>
        <w:t>7</w:t>
      </w:r>
    </w:p>
    <w:p w:rsidR="009735FD" w:rsidRDefault="009735FD" w:rsidP="00487995">
      <w:pPr>
        <w:tabs>
          <w:tab w:val="right" w:pos="850"/>
          <w:tab w:val="left" w:pos="1134"/>
          <w:tab w:val="left" w:pos="1559"/>
          <w:tab w:val="left" w:pos="1984"/>
          <w:tab w:val="left" w:leader="dot" w:pos="7654"/>
          <w:tab w:val="right" w:pos="8929"/>
          <w:tab w:val="right" w:pos="9638"/>
        </w:tabs>
        <w:spacing w:after="120"/>
        <w:ind w:left="1980" w:hanging="1980"/>
        <w:rPr>
          <w:lang w:val="fr-FR"/>
        </w:rPr>
      </w:pPr>
      <w:r>
        <w:rPr>
          <w:lang w:val="fr-FR"/>
        </w:rPr>
        <w:tab/>
      </w:r>
      <w:r>
        <w:rPr>
          <w:lang w:val="fr-FR"/>
        </w:rPr>
        <w:tab/>
      </w:r>
      <w:r>
        <w:rPr>
          <w:lang w:val="fr-FR"/>
        </w:rPr>
        <w:tab/>
        <w:t>8</w:t>
      </w:r>
      <w:r w:rsidRPr="009D22FF">
        <w:rPr>
          <w:lang w:val="fr-FR"/>
        </w:rPr>
        <w:t>.</w:t>
      </w:r>
      <w:r w:rsidRPr="009D22FF">
        <w:rPr>
          <w:lang w:val="fr-FR"/>
        </w:rPr>
        <w:tab/>
      </w:r>
      <w:r>
        <w:rPr>
          <w:lang w:val="fr-FR"/>
        </w:rPr>
        <w:t xml:space="preserve">Formes </w:t>
      </w:r>
      <w:r w:rsidRPr="000468E2">
        <w:t>des</w:t>
      </w:r>
      <w:r>
        <w:rPr>
          <w:lang w:val="fr-FR"/>
        </w:rPr>
        <w:t xml:space="preserve"> coupes transversales des réservoirs conformément au 6.8.2.1.18</w:t>
      </w:r>
      <w:r>
        <w:rPr>
          <w:lang w:val="fr-FR"/>
        </w:rPr>
        <w:tab/>
        <w:t>30-33</w:t>
      </w:r>
      <w:r>
        <w:rPr>
          <w:lang w:val="fr-FR"/>
        </w:rPr>
        <w:tab/>
      </w:r>
      <w:r w:rsidR="00900CD4">
        <w:rPr>
          <w:lang w:val="fr-FR"/>
        </w:rPr>
        <w:t>7</w:t>
      </w:r>
    </w:p>
    <w:p w:rsidR="009735FD" w:rsidRDefault="009735FD" w:rsidP="00487995">
      <w:pPr>
        <w:tabs>
          <w:tab w:val="right" w:pos="850"/>
          <w:tab w:val="left" w:pos="1134"/>
          <w:tab w:val="left" w:pos="1559"/>
          <w:tab w:val="left" w:pos="1984"/>
          <w:tab w:val="left" w:leader="dot" w:pos="7654"/>
          <w:tab w:val="right" w:pos="8929"/>
          <w:tab w:val="right" w:pos="9638"/>
        </w:tabs>
        <w:spacing w:after="120"/>
        <w:ind w:left="1980" w:hanging="1980"/>
        <w:rPr>
          <w:lang w:val="fr-FR"/>
        </w:rPr>
      </w:pPr>
      <w:r>
        <w:rPr>
          <w:lang w:val="fr-FR"/>
        </w:rPr>
        <w:tab/>
      </w:r>
      <w:r>
        <w:rPr>
          <w:lang w:val="fr-FR"/>
        </w:rPr>
        <w:tab/>
      </w:r>
      <w:r>
        <w:rPr>
          <w:lang w:val="fr-FR"/>
        </w:rPr>
        <w:tab/>
        <w:t>9</w:t>
      </w:r>
      <w:r w:rsidRPr="009D22FF">
        <w:rPr>
          <w:lang w:val="fr-FR"/>
        </w:rPr>
        <w:t>.</w:t>
      </w:r>
      <w:r w:rsidRPr="009D22FF">
        <w:rPr>
          <w:lang w:val="fr-FR"/>
        </w:rPr>
        <w:tab/>
      </w:r>
      <w:r>
        <w:rPr>
          <w:lang w:val="fr-FR"/>
        </w:rPr>
        <w:t>Définition de normo mètre cube</w:t>
      </w:r>
      <w:r>
        <w:rPr>
          <w:lang w:val="fr-FR"/>
        </w:rPr>
        <w:tab/>
      </w:r>
      <w:r>
        <w:rPr>
          <w:lang w:val="fr-FR"/>
        </w:rPr>
        <w:tab/>
        <w:t>34-35</w:t>
      </w:r>
      <w:r>
        <w:rPr>
          <w:lang w:val="fr-FR"/>
        </w:rPr>
        <w:tab/>
      </w:r>
      <w:r w:rsidR="00900CD4">
        <w:rPr>
          <w:lang w:val="fr-FR"/>
        </w:rPr>
        <w:t>8</w:t>
      </w:r>
    </w:p>
    <w:p w:rsidR="009735FD" w:rsidRDefault="009735FD" w:rsidP="00487995">
      <w:pPr>
        <w:tabs>
          <w:tab w:val="right" w:pos="850"/>
          <w:tab w:val="left" w:pos="1134"/>
          <w:tab w:val="left" w:pos="1559"/>
          <w:tab w:val="left" w:pos="1984"/>
          <w:tab w:val="left" w:leader="dot" w:pos="7654"/>
          <w:tab w:val="right" w:pos="8929"/>
          <w:tab w:val="right" w:pos="9638"/>
        </w:tabs>
        <w:spacing w:after="120"/>
        <w:ind w:left="1980" w:hanging="1980"/>
      </w:pPr>
      <w:r>
        <w:rPr>
          <w:lang w:val="fr-FR"/>
        </w:rPr>
        <w:tab/>
      </w:r>
      <w:r>
        <w:rPr>
          <w:lang w:val="fr-FR"/>
        </w:rPr>
        <w:tab/>
      </w:r>
      <w:r>
        <w:rPr>
          <w:lang w:val="fr-FR"/>
        </w:rPr>
        <w:tab/>
        <w:t>10</w:t>
      </w:r>
      <w:r w:rsidRPr="009D22FF">
        <w:rPr>
          <w:lang w:val="fr-FR"/>
        </w:rPr>
        <w:t>.</w:t>
      </w:r>
      <w:r w:rsidRPr="009D22FF">
        <w:rPr>
          <w:lang w:val="fr-FR"/>
        </w:rPr>
        <w:tab/>
      </w:r>
      <w:r>
        <w:t>Changement des produits chargés dans les véhicules-citernes</w:t>
      </w:r>
      <w:r>
        <w:tab/>
      </w:r>
      <w:r>
        <w:tab/>
        <w:t>36-37</w:t>
      </w:r>
      <w:r>
        <w:tab/>
      </w:r>
      <w:r w:rsidR="00900CD4">
        <w:t>8</w:t>
      </w:r>
    </w:p>
    <w:p w:rsidR="009735FD" w:rsidRDefault="009735FD" w:rsidP="00487995">
      <w:pPr>
        <w:tabs>
          <w:tab w:val="right" w:pos="850"/>
          <w:tab w:val="left" w:pos="1134"/>
          <w:tab w:val="left" w:pos="1559"/>
          <w:tab w:val="left" w:pos="1984"/>
          <w:tab w:val="left" w:leader="dot" w:pos="7654"/>
          <w:tab w:val="right" w:pos="8929"/>
          <w:tab w:val="right" w:pos="9638"/>
        </w:tabs>
        <w:spacing w:after="120"/>
        <w:ind w:left="1980" w:hanging="1980"/>
      </w:pPr>
      <w:r>
        <w:rPr>
          <w:lang w:val="fr-FR"/>
        </w:rPr>
        <w:tab/>
      </w:r>
      <w:r>
        <w:rPr>
          <w:lang w:val="fr-FR"/>
        </w:rPr>
        <w:tab/>
      </w:r>
      <w:r>
        <w:rPr>
          <w:lang w:val="fr-FR"/>
        </w:rPr>
        <w:tab/>
        <w:t>11</w:t>
      </w:r>
      <w:r w:rsidRPr="009D22FF">
        <w:rPr>
          <w:lang w:val="fr-FR"/>
        </w:rPr>
        <w:t>.</w:t>
      </w:r>
      <w:r w:rsidRPr="009D22FF">
        <w:rPr>
          <w:lang w:val="fr-FR"/>
        </w:rPr>
        <w:tab/>
      </w:r>
      <w:r>
        <w:t>Chapitre 8.5 – Prescriptions supplémentaires S1 (6), S16 et S21</w:t>
      </w:r>
      <w:r>
        <w:tab/>
      </w:r>
      <w:r>
        <w:tab/>
        <w:t>38</w:t>
      </w:r>
      <w:r>
        <w:tab/>
      </w:r>
      <w:r w:rsidR="00900CD4">
        <w:t>8</w:t>
      </w:r>
    </w:p>
    <w:p w:rsidR="009735FD" w:rsidRDefault="009735FD" w:rsidP="00487995">
      <w:pPr>
        <w:tabs>
          <w:tab w:val="right" w:pos="850"/>
          <w:tab w:val="left" w:pos="1134"/>
          <w:tab w:val="left" w:pos="1559"/>
          <w:tab w:val="left" w:pos="1984"/>
          <w:tab w:val="left" w:leader="dot" w:pos="7654"/>
          <w:tab w:val="right" w:pos="8929"/>
          <w:tab w:val="right" w:pos="9638"/>
        </w:tabs>
        <w:spacing w:after="120"/>
        <w:ind w:left="1980" w:hanging="1980"/>
        <w:rPr>
          <w:lang w:val="fr-FR"/>
        </w:rPr>
      </w:pPr>
      <w:r>
        <w:rPr>
          <w:lang w:val="fr-FR"/>
        </w:rPr>
        <w:tab/>
      </w:r>
      <w:r>
        <w:rPr>
          <w:lang w:val="fr-FR"/>
        </w:rPr>
        <w:tab/>
      </w:r>
      <w:r>
        <w:rPr>
          <w:lang w:val="fr-FR"/>
        </w:rPr>
        <w:tab/>
        <w:t>12</w:t>
      </w:r>
      <w:r w:rsidRPr="009D22FF">
        <w:rPr>
          <w:lang w:val="fr-FR"/>
        </w:rPr>
        <w:t>.</w:t>
      </w:r>
      <w:r w:rsidRPr="009D22FF">
        <w:rPr>
          <w:lang w:val="fr-FR"/>
        </w:rPr>
        <w:tab/>
      </w:r>
      <w:r w:rsidRPr="004D1999">
        <w:rPr>
          <w:lang w:val="fr-FR"/>
        </w:rPr>
        <w:t>Certificat</w:t>
      </w:r>
      <w:r>
        <w:rPr>
          <w:lang w:val="fr-FR"/>
        </w:rPr>
        <w:t>s</w:t>
      </w:r>
      <w:r w:rsidRPr="004D1999">
        <w:rPr>
          <w:lang w:val="fr-FR"/>
        </w:rPr>
        <w:t xml:space="preserve"> de formation du conducteur</w:t>
      </w:r>
      <w:r>
        <w:rPr>
          <w:lang w:val="fr-FR"/>
        </w:rPr>
        <w:t xml:space="preserve"> – 8.2.2.8</w:t>
      </w:r>
      <w:r>
        <w:rPr>
          <w:lang w:val="fr-FR"/>
        </w:rPr>
        <w:tab/>
      </w:r>
      <w:r>
        <w:rPr>
          <w:lang w:val="fr-FR"/>
        </w:rPr>
        <w:tab/>
        <w:t>39-43</w:t>
      </w:r>
      <w:r>
        <w:rPr>
          <w:lang w:val="fr-FR"/>
        </w:rPr>
        <w:tab/>
      </w:r>
      <w:r w:rsidR="00900CD4">
        <w:rPr>
          <w:lang w:val="fr-FR"/>
        </w:rPr>
        <w:t>9</w:t>
      </w:r>
    </w:p>
    <w:p w:rsidR="009735FD" w:rsidRDefault="009735FD" w:rsidP="00487995">
      <w:pPr>
        <w:tabs>
          <w:tab w:val="right" w:pos="850"/>
          <w:tab w:val="left" w:pos="1134"/>
          <w:tab w:val="left" w:pos="1559"/>
          <w:tab w:val="left" w:pos="1984"/>
          <w:tab w:val="left" w:leader="dot" w:pos="7654"/>
          <w:tab w:val="right" w:pos="8929"/>
          <w:tab w:val="right" w:pos="9638"/>
        </w:tabs>
        <w:spacing w:after="120"/>
        <w:ind w:left="1980" w:hanging="1980"/>
        <w:rPr>
          <w:lang w:val="fr-FR"/>
        </w:rPr>
      </w:pPr>
      <w:r>
        <w:rPr>
          <w:lang w:val="fr-FR"/>
        </w:rPr>
        <w:tab/>
      </w:r>
      <w:r>
        <w:rPr>
          <w:lang w:val="fr-FR"/>
        </w:rPr>
        <w:tab/>
      </w:r>
      <w:r>
        <w:rPr>
          <w:lang w:val="fr-FR"/>
        </w:rPr>
        <w:tab/>
        <w:t>13</w:t>
      </w:r>
      <w:r w:rsidRPr="009D22FF">
        <w:rPr>
          <w:lang w:val="fr-FR"/>
        </w:rPr>
        <w:t>.</w:t>
      </w:r>
      <w:r w:rsidRPr="009D22FF">
        <w:rPr>
          <w:lang w:val="fr-FR"/>
        </w:rPr>
        <w:tab/>
      </w:r>
      <w:r w:rsidRPr="00FE5D52">
        <w:rPr>
          <w:lang w:val="fr-FR"/>
        </w:rPr>
        <w:t xml:space="preserve">Proposition d'ajustement du volume des réservoirs de carburant </w:t>
      </w:r>
      <w:r>
        <w:rPr>
          <w:lang w:val="fr-FR"/>
        </w:rPr>
        <w:br/>
      </w:r>
      <w:r w:rsidRPr="00FE5D52">
        <w:rPr>
          <w:lang w:val="fr-FR"/>
        </w:rPr>
        <w:t>installés sur l'unité de transport</w:t>
      </w:r>
      <w:r>
        <w:rPr>
          <w:lang w:val="fr-FR"/>
        </w:rPr>
        <w:tab/>
      </w:r>
      <w:r>
        <w:rPr>
          <w:lang w:val="fr-FR"/>
        </w:rPr>
        <w:tab/>
        <w:t>44-46</w:t>
      </w:r>
      <w:r>
        <w:rPr>
          <w:lang w:val="fr-FR"/>
        </w:rPr>
        <w:tab/>
      </w:r>
      <w:r w:rsidR="00900CD4">
        <w:rPr>
          <w:lang w:val="fr-FR"/>
        </w:rPr>
        <w:t>9</w:t>
      </w:r>
    </w:p>
    <w:p w:rsidR="009735FD" w:rsidRDefault="009735FD" w:rsidP="00487995">
      <w:pPr>
        <w:tabs>
          <w:tab w:val="right" w:pos="850"/>
          <w:tab w:val="left" w:pos="1134"/>
          <w:tab w:val="left" w:pos="1559"/>
          <w:tab w:val="left" w:pos="1984"/>
          <w:tab w:val="left" w:leader="dot" w:pos="7654"/>
          <w:tab w:val="right" w:pos="8929"/>
          <w:tab w:val="right" w:pos="9638"/>
        </w:tabs>
        <w:spacing w:after="120"/>
        <w:ind w:left="1980" w:hanging="1980"/>
        <w:rPr>
          <w:lang w:val="fr-FR"/>
        </w:rPr>
      </w:pPr>
      <w:r>
        <w:rPr>
          <w:lang w:val="fr-FR"/>
        </w:rPr>
        <w:tab/>
      </w:r>
      <w:r>
        <w:rPr>
          <w:lang w:val="fr-FR"/>
        </w:rPr>
        <w:tab/>
      </w:r>
      <w:r>
        <w:rPr>
          <w:lang w:val="fr-FR"/>
        </w:rPr>
        <w:tab/>
        <w:t>14</w:t>
      </w:r>
      <w:r w:rsidRPr="009D22FF">
        <w:rPr>
          <w:lang w:val="fr-FR"/>
        </w:rPr>
        <w:t>.</w:t>
      </w:r>
      <w:r w:rsidRPr="009D22FF">
        <w:rPr>
          <w:lang w:val="fr-FR"/>
        </w:rPr>
        <w:tab/>
      </w:r>
      <w:r w:rsidRPr="00FE5D52">
        <w:rPr>
          <w:lang w:val="fr-FR"/>
        </w:rPr>
        <w:t>Proposition</w:t>
      </w:r>
      <w:r>
        <w:rPr>
          <w:lang w:val="fr-FR"/>
        </w:rPr>
        <w:t>s</w:t>
      </w:r>
      <w:r w:rsidRPr="00FE5D52">
        <w:rPr>
          <w:lang w:val="fr-FR"/>
        </w:rPr>
        <w:t xml:space="preserve"> </w:t>
      </w:r>
      <w:r>
        <w:rPr>
          <w:lang w:val="fr-FR"/>
        </w:rPr>
        <w:t>de modification du 1.1.3.1</w:t>
      </w:r>
      <w:r>
        <w:rPr>
          <w:lang w:val="fr-FR"/>
        </w:rPr>
        <w:tab/>
      </w:r>
      <w:r>
        <w:rPr>
          <w:lang w:val="fr-FR"/>
        </w:rPr>
        <w:tab/>
        <w:t>47-48</w:t>
      </w:r>
      <w:r>
        <w:rPr>
          <w:lang w:val="fr-FR"/>
        </w:rPr>
        <w:tab/>
      </w:r>
      <w:r w:rsidR="00900CD4">
        <w:rPr>
          <w:lang w:val="fr-FR"/>
        </w:rPr>
        <w:t>10</w:t>
      </w:r>
    </w:p>
    <w:p w:rsidR="00487995" w:rsidRDefault="00487995" w:rsidP="00487995">
      <w:pPr>
        <w:tabs>
          <w:tab w:val="right" w:pos="850"/>
          <w:tab w:val="left" w:pos="1134"/>
          <w:tab w:val="left" w:pos="1984"/>
          <w:tab w:val="left" w:leader="dot" w:pos="7654"/>
          <w:tab w:val="right" w:pos="8929"/>
          <w:tab w:val="right" w:pos="9638"/>
        </w:tabs>
        <w:spacing w:after="120"/>
        <w:ind w:left="1134" w:hanging="1134"/>
      </w:pPr>
      <w:r>
        <w:rPr>
          <w:lang w:val="fr-FR"/>
        </w:rPr>
        <w:tab/>
      </w:r>
      <w:r>
        <w:t>VII</w:t>
      </w:r>
      <w:r w:rsidR="009735FD">
        <w:t>I</w:t>
      </w:r>
      <w:r>
        <w:t>.</w:t>
      </w:r>
      <w:r>
        <w:tab/>
      </w:r>
      <w:r w:rsidRPr="00787CF7">
        <w:rPr>
          <w:lang w:val="fr-FR"/>
        </w:rPr>
        <w:t>Interprétation de l’ADR</w:t>
      </w:r>
      <w:r>
        <w:rPr>
          <w:lang w:val="fr-FR"/>
        </w:rPr>
        <w:t xml:space="preserve"> </w:t>
      </w:r>
      <w:r w:rsidRPr="005B2C1D">
        <w:t xml:space="preserve">(point </w:t>
      </w:r>
      <w:r w:rsidR="009735FD">
        <w:t>7</w:t>
      </w:r>
      <w:r w:rsidRPr="005B2C1D">
        <w:t xml:space="preserve"> de l</w:t>
      </w:r>
      <w:r>
        <w:t>’</w:t>
      </w:r>
      <w:r w:rsidRPr="005B2C1D">
        <w:t>ordre du jour)</w:t>
      </w:r>
      <w:r>
        <w:tab/>
      </w:r>
      <w:r>
        <w:tab/>
      </w:r>
      <w:r w:rsidR="009735FD">
        <w:t>49</w:t>
      </w:r>
      <w:r>
        <w:t>-</w:t>
      </w:r>
      <w:r w:rsidR="009735FD">
        <w:t>56</w:t>
      </w:r>
      <w:r>
        <w:tab/>
      </w:r>
      <w:r w:rsidR="00900CD4">
        <w:t>10</w:t>
      </w:r>
    </w:p>
    <w:p w:rsidR="009735FD" w:rsidRDefault="00487995" w:rsidP="009735FD">
      <w:pPr>
        <w:tabs>
          <w:tab w:val="right" w:pos="850"/>
          <w:tab w:val="left" w:pos="1134"/>
          <w:tab w:val="left" w:pos="1559"/>
          <w:tab w:val="left" w:pos="1984"/>
          <w:tab w:val="left" w:leader="dot" w:pos="7654"/>
          <w:tab w:val="right" w:pos="8929"/>
          <w:tab w:val="right" w:pos="9638"/>
        </w:tabs>
        <w:spacing w:after="120"/>
        <w:ind w:left="1980" w:hanging="1980"/>
        <w:rPr>
          <w:lang w:val="fr-FR"/>
        </w:rPr>
      </w:pPr>
      <w:r>
        <w:tab/>
      </w:r>
      <w:r>
        <w:tab/>
      </w:r>
      <w:r w:rsidR="009735FD">
        <w:tab/>
      </w:r>
      <w:r w:rsidR="009735FD">
        <w:rPr>
          <w:lang w:val="fr-FR"/>
        </w:rPr>
        <w:t>1.</w:t>
      </w:r>
      <w:r w:rsidR="009735FD">
        <w:rPr>
          <w:lang w:val="fr-FR"/>
        </w:rPr>
        <w:tab/>
      </w:r>
      <w:r w:rsidR="009735FD" w:rsidRPr="00005182">
        <w:rPr>
          <w:lang w:val="fr-FR"/>
        </w:rPr>
        <w:t>Interprétation des exigences relatives à l'isolation thermique du 7.1.7.4.5</w:t>
      </w:r>
      <w:r w:rsidR="009735FD">
        <w:rPr>
          <w:lang w:val="fr-FR"/>
        </w:rPr>
        <w:tab/>
        <w:t>49</w:t>
      </w:r>
      <w:r w:rsidR="009735FD">
        <w:rPr>
          <w:lang w:val="fr-FR"/>
        </w:rPr>
        <w:tab/>
      </w:r>
      <w:r w:rsidR="00900CD4">
        <w:rPr>
          <w:lang w:val="fr-FR"/>
        </w:rPr>
        <w:t>10</w:t>
      </w:r>
    </w:p>
    <w:p w:rsidR="009735FD" w:rsidRDefault="009735FD" w:rsidP="009735FD">
      <w:pPr>
        <w:tabs>
          <w:tab w:val="right" w:pos="850"/>
          <w:tab w:val="left" w:pos="1134"/>
          <w:tab w:val="left" w:pos="1559"/>
          <w:tab w:val="left" w:pos="1984"/>
          <w:tab w:val="left" w:leader="dot" w:pos="7654"/>
          <w:tab w:val="right" w:pos="8929"/>
          <w:tab w:val="right" w:pos="9638"/>
        </w:tabs>
        <w:spacing w:after="120"/>
        <w:ind w:left="1980" w:hanging="1980"/>
        <w:rPr>
          <w:lang w:val="fr-FR"/>
        </w:rPr>
      </w:pPr>
      <w:r>
        <w:rPr>
          <w:lang w:val="fr-FR"/>
        </w:rPr>
        <w:tab/>
      </w:r>
      <w:r>
        <w:rPr>
          <w:lang w:val="fr-FR"/>
        </w:rPr>
        <w:tab/>
      </w:r>
      <w:r>
        <w:rPr>
          <w:lang w:val="fr-FR"/>
        </w:rPr>
        <w:tab/>
        <w:t>2.</w:t>
      </w:r>
      <w:r>
        <w:rPr>
          <w:lang w:val="fr-FR"/>
        </w:rPr>
        <w:tab/>
      </w:r>
      <w:r w:rsidRPr="001E6DD8">
        <w:rPr>
          <w:rFonts w:ascii="Times New Roman Gras" w:hAnsi="Times New Roman Gras"/>
          <w:spacing w:val="-3"/>
          <w:lang w:val="fr-FR"/>
        </w:rPr>
        <w:t xml:space="preserve">Utilisation d'une unité de transport comprenant un </w:t>
      </w:r>
      <w:r>
        <w:rPr>
          <w:rFonts w:ascii="Times New Roman Gras" w:hAnsi="Times New Roman Gras"/>
          <w:spacing w:val="-3"/>
          <w:lang w:val="fr-FR"/>
        </w:rPr>
        <w:t>avant-train (</w:t>
      </w:r>
      <w:proofErr w:type="spellStart"/>
      <w:r>
        <w:rPr>
          <w:rFonts w:ascii="Times New Roman Gras" w:hAnsi="Times New Roman Gras"/>
          <w:spacing w:val="-3"/>
          <w:lang w:val="fr-FR"/>
        </w:rPr>
        <w:t>dolly</w:t>
      </w:r>
      <w:proofErr w:type="spellEnd"/>
      <w:r>
        <w:rPr>
          <w:rFonts w:ascii="Times New Roman Gras" w:hAnsi="Times New Roman Gras"/>
          <w:spacing w:val="-3"/>
          <w:lang w:val="fr-FR"/>
        </w:rPr>
        <w:t xml:space="preserve">) </w:t>
      </w:r>
      <w:r>
        <w:rPr>
          <w:rFonts w:ascii="Times New Roman Gras" w:hAnsi="Times New Roman Gras"/>
          <w:spacing w:val="-3"/>
          <w:lang w:val="fr-FR"/>
        </w:rPr>
        <w:br/>
        <w:t xml:space="preserve">pour un transport suivant le </w:t>
      </w:r>
      <w:r w:rsidRPr="001E6DD8">
        <w:rPr>
          <w:rFonts w:ascii="Times New Roman Gras" w:hAnsi="Times New Roman Gras"/>
          <w:spacing w:val="-3"/>
          <w:lang w:val="fr-FR"/>
        </w:rPr>
        <w:t>1.1.3.6</w:t>
      </w:r>
      <w:r>
        <w:rPr>
          <w:rFonts w:ascii="Times New Roman Gras" w:hAnsi="Times New Roman Gras"/>
          <w:spacing w:val="-3"/>
          <w:lang w:val="fr-FR"/>
        </w:rPr>
        <w:tab/>
      </w:r>
      <w:r>
        <w:rPr>
          <w:rFonts w:ascii="Times New Roman Gras" w:hAnsi="Times New Roman Gras"/>
          <w:spacing w:val="-3"/>
          <w:lang w:val="fr-FR"/>
        </w:rPr>
        <w:tab/>
        <w:t>50-51</w:t>
      </w:r>
      <w:r>
        <w:rPr>
          <w:rFonts w:ascii="Times New Roman Gras" w:hAnsi="Times New Roman Gras"/>
          <w:spacing w:val="-3"/>
          <w:lang w:val="fr-FR"/>
        </w:rPr>
        <w:tab/>
      </w:r>
      <w:r w:rsidR="00900CD4">
        <w:rPr>
          <w:rFonts w:ascii="Times New Roman Gras" w:hAnsi="Times New Roman Gras"/>
          <w:spacing w:val="-3"/>
          <w:lang w:val="fr-FR"/>
        </w:rPr>
        <w:t>10</w:t>
      </w:r>
    </w:p>
    <w:p w:rsidR="00487995" w:rsidRDefault="009735FD" w:rsidP="009735FD">
      <w:pPr>
        <w:tabs>
          <w:tab w:val="right" w:pos="850"/>
          <w:tab w:val="left" w:pos="1134"/>
          <w:tab w:val="left" w:pos="1559"/>
          <w:tab w:val="left" w:pos="1984"/>
          <w:tab w:val="left" w:leader="dot" w:pos="7654"/>
          <w:tab w:val="right" w:pos="8929"/>
          <w:tab w:val="right" w:pos="9638"/>
        </w:tabs>
        <w:spacing w:after="120"/>
        <w:ind w:left="1559" w:hanging="1559"/>
        <w:rPr>
          <w:rFonts w:ascii="Times New Roman Gras" w:hAnsi="Times New Roman Gras"/>
          <w:spacing w:val="-3"/>
          <w:lang w:val="fr-FR"/>
        </w:rPr>
      </w:pPr>
      <w:r>
        <w:rPr>
          <w:lang w:val="fr-FR"/>
        </w:rPr>
        <w:tab/>
      </w:r>
      <w:r>
        <w:rPr>
          <w:lang w:val="fr-FR"/>
        </w:rPr>
        <w:tab/>
      </w:r>
      <w:r>
        <w:rPr>
          <w:lang w:val="fr-FR"/>
        </w:rPr>
        <w:tab/>
        <w:t>3.</w:t>
      </w:r>
      <w:r>
        <w:rPr>
          <w:lang w:val="fr-FR"/>
        </w:rPr>
        <w:tab/>
      </w:r>
      <w:r w:rsidRPr="00E851AE">
        <w:rPr>
          <w:rFonts w:ascii="Times New Roman Gras" w:hAnsi="Times New Roman Gras"/>
          <w:spacing w:val="-3"/>
          <w:lang w:val="fr-FR"/>
        </w:rPr>
        <w:t>Certificat d’agrément des véhicules</w:t>
      </w:r>
      <w:r>
        <w:rPr>
          <w:rFonts w:ascii="Times New Roman Gras" w:hAnsi="Times New Roman Gras"/>
          <w:spacing w:val="-3"/>
          <w:lang w:val="fr-FR"/>
        </w:rPr>
        <w:tab/>
      </w:r>
      <w:r>
        <w:rPr>
          <w:rFonts w:ascii="Times New Roman Gras" w:hAnsi="Times New Roman Gras"/>
          <w:spacing w:val="-3"/>
          <w:lang w:val="fr-FR"/>
        </w:rPr>
        <w:tab/>
        <w:t>52-54</w:t>
      </w:r>
      <w:r>
        <w:rPr>
          <w:rFonts w:ascii="Times New Roman Gras" w:hAnsi="Times New Roman Gras"/>
          <w:spacing w:val="-3"/>
          <w:lang w:val="fr-FR"/>
        </w:rPr>
        <w:tab/>
      </w:r>
      <w:r w:rsidR="00900CD4">
        <w:rPr>
          <w:rFonts w:ascii="Times New Roman Gras" w:hAnsi="Times New Roman Gras"/>
          <w:spacing w:val="-3"/>
          <w:lang w:val="fr-FR"/>
        </w:rPr>
        <w:t>10</w:t>
      </w:r>
    </w:p>
    <w:p w:rsidR="009735FD" w:rsidRDefault="009735FD" w:rsidP="009735FD">
      <w:pPr>
        <w:tabs>
          <w:tab w:val="right" w:pos="850"/>
          <w:tab w:val="left" w:pos="1134"/>
          <w:tab w:val="left" w:pos="1559"/>
          <w:tab w:val="left" w:pos="1984"/>
          <w:tab w:val="left" w:leader="dot" w:pos="7654"/>
          <w:tab w:val="right" w:pos="8929"/>
          <w:tab w:val="right" w:pos="9638"/>
        </w:tabs>
        <w:spacing w:after="120"/>
        <w:ind w:left="1559" w:hanging="1559"/>
        <w:rPr>
          <w:rFonts w:ascii="Times New Roman Gras" w:hAnsi="Times New Roman Gras"/>
          <w:spacing w:val="-3"/>
          <w:lang w:val="fr-FR"/>
        </w:rPr>
      </w:pPr>
      <w:r>
        <w:rPr>
          <w:lang w:val="fr-FR"/>
        </w:rPr>
        <w:tab/>
      </w:r>
      <w:r>
        <w:rPr>
          <w:lang w:val="fr-FR"/>
        </w:rPr>
        <w:tab/>
      </w:r>
      <w:r>
        <w:rPr>
          <w:lang w:val="fr-FR"/>
        </w:rPr>
        <w:tab/>
        <w:t>4.</w:t>
      </w:r>
      <w:r>
        <w:rPr>
          <w:lang w:val="fr-FR"/>
        </w:rPr>
        <w:tab/>
      </w:r>
      <w:r w:rsidRPr="00CC1860">
        <w:rPr>
          <w:rFonts w:ascii="Times New Roman Gras" w:hAnsi="Times New Roman Gras"/>
          <w:spacing w:val="-3"/>
          <w:lang w:val="fr-FR"/>
        </w:rPr>
        <w:t>Restrictions de circulation en tunnels</w:t>
      </w:r>
      <w:r>
        <w:rPr>
          <w:rFonts w:ascii="Times New Roman Gras" w:hAnsi="Times New Roman Gras"/>
          <w:spacing w:val="-3"/>
          <w:lang w:val="fr-FR"/>
        </w:rPr>
        <w:tab/>
      </w:r>
      <w:r>
        <w:rPr>
          <w:rFonts w:ascii="Times New Roman Gras" w:hAnsi="Times New Roman Gras"/>
          <w:spacing w:val="-3"/>
          <w:lang w:val="fr-FR"/>
        </w:rPr>
        <w:tab/>
        <w:t>55</w:t>
      </w:r>
      <w:r>
        <w:rPr>
          <w:rFonts w:ascii="Times New Roman Gras" w:hAnsi="Times New Roman Gras"/>
          <w:spacing w:val="-3"/>
          <w:lang w:val="fr-FR"/>
        </w:rPr>
        <w:tab/>
      </w:r>
      <w:r w:rsidR="00900CD4">
        <w:rPr>
          <w:rFonts w:ascii="Times New Roman Gras" w:hAnsi="Times New Roman Gras"/>
          <w:spacing w:val="-3"/>
          <w:lang w:val="fr-FR"/>
        </w:rPr>
        <w:t>10</w:t>
      </w:r>
    </w:p>
    <w:p w:rsidR="009735FD" w:rsidRDefault="009735FD" w:rsidP="009735FD">
      <w:pPr>
        <w:tabs>
          <w:tab w:val="right" w:pos="850"/>
          <w:tab w:val="left" w:pos="1134"/>
          <w:tab w:val="left" w:pos="1559"/>
          <w:tab w:val="left" w:pos="1984"/>
          <w:tab w:val="left" w:leader="dot" w:pos="7654"/>
          <w:tab w:val="right" w:pos="8929"/>
          <w:tab w:val="right" w:pos="9638"/>
        </w:tabs>
        <w:spacing w:after="120"/>
        <w:ind w:left="1559" w:hanging="1559"/>
        <w:rPr>
          <w:lang w:val="fr-FR"/>
        </w:rPr>
      </w:pPr>
      <w:r>
        <w:rPr>
          <w:lang w:val="fr-FR"/>
        </w:rPr>
        <w:tab/>
      </w:r>
      <w:r>
        <w:rPr>
          <w:lang w:val="fr-FR"/>
        </w:rPr>
        <w:tab/>
      </w:r>
      <w:r>
        <w:rPr>
          <w:lang w:val="fr-FR"/>
        </w:rPr>
        <w:tab/>
        <w:t>5.</w:t>
      </w:r>
      <w:r>
        <w:rPr>
          <w:lang w:val="fr-FR"/>
        </w:rPr>
        <w:tab/>
      </w:r>
      <w:r>
        <w:rPr>
          <w:rFonts w:ascii="Times New Roman Gras" w:hAnsi="Times New Roman Gras"/>
          <w:spacing w:val="-3"/>
          <w:lang w:val="fr-FR"/>
        </w:rPr>
        <w:t>Codification des citernes</w:t>
      </w:r>
      <w:r>
        <w:rPr>
          <w:rFonts w:ascii="Times New Roman Gras" w:hAnsi="Times New Roman Gras"/>
          <w:spacing w:val="-3"/>
          <w:lang w:val="fr-FR"/>
        </w:rPr>
        <w:tab/>
      </w:r>
      <w:r>
        <w:rPr>
          <w:rFonts w:ascii="Times New Roman Gras" w:hAnsi="Times New Roman Gras"/>
          <w:spacing w:val="-3"/>
          <w:lang w:val="fr-FR"/>
        </w:rPr>
        <w:tab/>
        <w:t>56</w:t>
      </w:r>
      <w:r>
        <w:rPr>
          <w:rFonts w:ascii="Times New Roman Gras" w:hAnsi="Times New Roman Gras"/>
          <w:spacing w:val="-3"/>
          <w:lang w:val="fr-FR"/>
        </w:rPr>
        <w:tab/>
      </w:r>
      <w:r w:rsidR="00900CD4">
        <w:rPr>
          <w:rFonts w:ascii="Times New Roman Gras" w:hAnsi="Times New Roman Gras"/>
          <w:spacing w:val="-3"/>
          <w:lang w:val="fr-FR"/>
        </w:rPr>
        <w:t>1</w:t>
      </w:r>
      <w:r w:rsidR="00367F0D">
        <w:rPr>
          <w:rFonts w:ascii="Times New Roman Gras" w:hAnsi="Times New Roman Gras"/>
          <w:spacing w:val="-3"/>
          <w:lang w:val="fr-FR"/>
        </w:rPr>
        <w:t>1</w:t>
      </w:r>
    </w:p>
    <w:p w:rsidR="00487995" w:rsidRDefault="00487995" w:rsidP="00487995">
      <w:pPr>
        <w:tabs>
          <w:tab w:val="right" w:pos="850"/>
          <w:tab w:val="left" w:pos="1134"/>
          <w:tab w:val="left" w:pos="1984"/>
          <w:tab w:val="left" w:leader="dot" w:pos="7654"/>
          <w:tab w:val="right" w:pos="8929"/>
          <w:tab w:val="right" w:pos="9638"/>
        </w:tabs>
        <w:spacing w:after="120"/>
        <w:ind w:left="1134" w:hanging="1134"/>
      </w:pPr>
      <w:r w:rsidRPr="00DF4D2A">
        <w:rPr>
          <w:b/>
          <w:sz w:val="28"/>
        </w:rPr>
        <w:tab/>
      </w:r>
      <w:r w:rsidRPr="00113838">
        <w:t>IX.</w:t>
      </w:r>
      <w:r w:rsidRPr="00113838">
        <w:tab/>
      </w:r>
      <w:r w:rsidR="009735FD" w:rsidRPr="00F078D1">
        <w:rPr>
          <w:lang w:val="fr-FR"/>
        </w:rPr>
        <w:t xml:space="preserve">Programme de travail (point </w:t>
      </w:r>
      <w:r w:rsidR="009735FD">
        <w:rPr>
          <w:lang w:val="fr-FR"/>
        </w:rPr>
        <w:t>8</w:t>
      </w:r>
      <w:r w:rsidR="009735FD" w:rsidRPr="00F078D1">
        <w:rPr>
          <w:lang w:val="fr-FR"/>
        </w:rPr>
        <w:t xml:space="preserve"> de l’ordre du jour)</w:t>
      </w:r>
      <w:r w:rsidRPr="00113838">
        <w:t xml:space="preserve"> </w:t>
      </w:r>
      <w:r>
        <w:tab/>
      </w:r>
      <w:r>
        <w:tab/>
      </w:r>
      <w:r w:rsidR="001E6034">
        <w:t>57-61</w:t>
      </w:r>
      <w:r>
        <w:tab/>
      </w:r>
      <w:r w:rsidR="00900CD4">
        <w:t>11</w:t>
      </w:r>
    </w:p>
    <w:p w:rsidR="00487995" w:rsidRDefault="00487995" w:rsidP="00487995">
      <w:pPr>
        <w:tabs>
          <w:tab w:val="right" w:pos="850"/>
          <w:tab w:val="left" w:pos="1134"/>
          <w:tab w:val="left" w:pos="1984"/>
          <w:tab w:val="left" w:leader="dot" w:pos="7654"/>
          <w:tab w:val="right" w:pos="8929"/>
          <w:tab w:val="right" w:pos="9638"/>
        </w:tabs>
        <w:spacing w:after="120"/>
        <w:ind w:left="1134" w:hanging="1134"/>
      </w:pPr>
      <w:r>
        <w:tab/>
      </w:r>
      <w:r w:rsidRPr="00113838">
        <w:t>X.</w:t>
      </w:r>
      <w:r w:rsidRPr="00113838">
        <w:tab/>
      </w:r>
      <w:r w:rsidR="001E6034">
        <w:rPr>
          <w:lang w:val="fr-FR"/>
        </w:rPr>
        <w:t>Questions diverses</w:t>
      </w:r>
      <w:r w:rsidR="001E6034" w:rsidRPr="00F078D1">
        <w:rPr>
          <w:lang w:val="fr-FR"/>
        </w:rPr>
        <w:t xml:space="preserve"> </w:t>
      </w:r>
      <w:r w:rsidRPr="00F078D1">
        <w:rPr>
          <w:lang w:val="fr-FR"/>
        </w:rPr>
        <w:t>(point 9 de l’ordre du jour)</w:t>
      </w:r>
      <w:r>
        <w:tab/>
      </w:r>
      <w:r>
        <w:tab/>
        <w:t>6</w:t>
      </w:r>
      <w:r w:rsidR="001E6034">
        <w:t>2</w:t>
      </w:r>
      <w:r>
        <w:tab/>
      </w:r>
      <w:r w:rsidR="00900CD4">
        <w:t>11</w:t>
      </w:r>
    </w:p>
    <w:p w:rsidR="001E6034" w:rsidRDefault="001E6034" w:rsidP="001E6034">
      <w:pPr>
        <w:tabs>
          <w:tab w:val="right" w:pos="850"/>
          <w:tab w:val="left" w:pos="1134"/>
          <w:tab w:val="left" w:pos="1984"/>
          <w:tab w:val="left" w:leader="dot" w:pos="7654"/>
          <w:tab w:val="right" w:pos="8929"/>
          <w:tab w:val="right" w:pos="9638"/>
        </w:tabs>
        <w:spacing w:after="120"/>
        <w:ind w:left="1134" w:hanging="1134"/>
      </w:pPr>
      <w:r>
        <w:tab/>
      </w:r>
      <w:r w:rsidRPr="00113838">
        <w:t>X</w:t>
      </w:r>
      <w:r>
        <w:t>I</w:t>
      </w:r>
      <w:r w:rsidRPr="00113838">
        <w:t>.</w:t>
      </w:r>
      <w:r w:rsidRPr="00113838">
        <w:tab/>
      </w:r>
      <w:r w:rsidRPr="00F078D1">
        <w:rPr>
          <w:lang w:val="fr-FR"/>
        </w:rPr>
        <w:t xml:space="preserve">Adoption du rapport (point </w:t>
      </w:r>
      <w:r>
        <w:rPr>
          <w:lang w:val="fr-FR"/>
        </w:rPr>
        <w:t>10</w:t>
      </w:r>
      <w:r w:rsidRPr="00F078D1">
        <w:rPr>
          <w:lang w:val="fr-FR"/>
        </w:rPr>
        <w:t xml:space="preserve"> de l’ordre du jour)</w:t>
      </w:r>
      <w:r>
        <w:tab/>
      </w:r>
      <w:r>
        <w:tab/>
        <w:t>63</w:t>
      </w:r>
      <w:r>
        <w:tab/>
      </w:r>
      <w:r w:rsidR="00900CD4">
        <w:t>11</w:t>
      </w:r>
    </w:p>
    <w:p w:rsidR="005F2B70" w:rsidRPr="005F2B70" w:rsidRDefault="005F2B70" w:rsidP="005F2B70">
      <w:pPr>
        <w:pStyle w:val="HChG"/>
        <w:spacing w:before="240"/>
        <w:rPr>
          <w:b w:val="0"/>
          <w:bCs/>
          <w:sz w:val="20"/>
        </w:rPr>
      </w:pPr>
      <w:r w:rsidRPr="005F2B70">
        <w:rPr>
          <w:b w:val="0"/>
          <w:bCs/>
          <w:sz w:val="20"/>
        </w:rPr>
        <w:t>Annex</w:t>
      </w:r>
      <w:r>
        <w:rPr>
          <w:b w:val="0"/>
          <w:bCs/>
          <w:sz w:val="20"/>
        </w:rPr>
        <w:t>e</w:t>
      </w:r>
    </w:p>
    <w:p w:rsidR="001E6034" w:rsidRDefault="005F2B70" w:rsidP="00487995">
      <w:pPr>
        <w:tabs>
          <w:tab w:val="right" w:pos="850"/>
          <w:tab w:val="left" w:pos="1134"/>
          <w:tab w:val="left" w:pos="1984"/>
          <w:tab w:val="left" w:leader="dot" w:pos="7654"/>
          <w:tab w:val="right" w:pos="8929"/>
          <w:tab w:val="right" w:pos="9638"/>
        </w:tabs>
        <w:spacing w:after="120"/>
        <w:ind w:left="1134" w:hanging="1134"/>
      </w:pPr>
      <w:r>
        <w:tab/>
      </w:r>
      <w:r>
        <w:tab/>
        <w:t xml:space="preserve">Projet d’amendements aux annexes A et B de l’ADR adopté par le Groupe de travail </w:t>
      </w:r>
      <w:r>
        <w:br/>
        <w:t xml:space="preserve">pour </w:t>
      </w:r>
      <w:proofErr w:type="spellStart"/>
      <w:r>
        <w:t>entrée</w:t>
      </w:r>
      <w:proofErr w:type="spellEnd"/>
      <w:r>
        <w:t xml:space="preserve"> en vigueur le 1</w:t>
      </w:r>
      <w:r w:rsidRPr="00A613E4">
        <w:t>er</w:t>
      </w:r>
      <w:r>
        <w:t xml:space="preserve"> janvier 2021</w:t>
      </w:r>
      <w:r>
        <w:tab/>
      </w:r>
      <w:r>
        <w:tab/>
      </w:r>
      <w:r>
        <w:tab/>
      </w:r>
      <w:r w:rsidR="00900CD4">
        <w:t>12</w:t>
      </w:r>
    </w:p>
    <w:p w:rsidR="0011139A" w:rsidRDefault="0011139A">
      <w:pPr>
        <w:suppressAutoHyphens w:val="0"/>
        <w:kinsoku/>
        <w:overflowPunct/>
        <w:autoSpaceDE/>
        <w:autoSpaceDN/>
        <w:adjustRightInd/>
        <w:snapToGrid/>
        <w:spacing w:after="200" w:line="276" w:lineRule="auto"/>
      </w:pPr>
      <w:r>
        <w:br w:type="page"/>
      </w:r>
    </w:p>
    <w:p w:rsidR="0011139A" w:rsidRPr="00F12E1F" w:rsidRDefault="0011139A" w:rsidP="0011139A">
      <w:pPr>
        <w:pStyle w:val="HChG"/>
      </w:pPr>
      <w:r w:rsidRPr="00F12E1F">
        <w:lastRenderedPageBreak/>
        <w:tab/>
        <w:t>I.</w:t>
      </w:r>
      <w:r w:rsidRPr="00F12E1F">
        <w:tab/>
        <w:t>Participation</w:t>
      </w:r>
    </w:p>
    <w:p w:rsidR="0011139A" w:rsidRPr="00047D1A" w:rsidRDefault="0011139A" w:rsidP="0011139A">
      <w:pPr>
        <w:pStyle w:val="SingleTxtG"/>
      </w:pPr>
      <w:r w:rsidRPr="00047D1A">
        <w:rPr>
          <w:lang w:val="fr-FR"/>
        </w:rPr>
        <w:t>1.</w:t>
      </w:r>
      <w:r w:rsidRPr="00047D1A">
        <w:rPr>
          <w:lang w:val="fr-FR"/>
        </w:rPr>
        <w:tab/>
        <w:t>Le Groupe de travail des transports de marchandises dangereuses a tenu sa 10</w:t>
      </w:r>
      <w:r>
        <w:rPr>
          <w:lang w:val="fr-FR"/>
        </w:rPr>
        <w:t>6</w:t>
      </w:r>
      <w:r w:rsidRPr="0012735B">
        <w:rPr>
          <w:vertAlign w:val="superscript"/>
          <w:lang w:val="fr-FR"/>
        </w:rPr>
        <w:t>e</w:t>
      </w:r>
      <w:r>
        <w:rPr>
          <w:lang w:val="fr-FR"/>
        </w:rPr>
        <w:t> </w:t>
      </w:r>
      <w:r w:rsidRPr="00047D1A">
        <w:rPr>
          <w:lang w:val="fr-FR"/>
        </w:rPr>
        <w:t xml:space="preserve">session du </w:t>
      </w:r>
      <w:r>
        <w:rPr>
          <w:lang w:val="fr-FR"/>
        </w:rPr>
        <w:t>13</w:t>
      </w:r>
      <w:r w:rsidRPr="00047D1A">
        <w:rPr>
          <w:lang w:val="fr-FR"/>
        </w:rPr>
        <w:t xml:space="preserve"> au </w:t>
      </w:r>
      <w:r>
        <w:rPr>
          <w:lang w:val="fr-FR"/>
        </w:rPr>
        <w:t>17</w:t>
      </w:r>
      <w:r w:rsidRPr="00047D1A">
        <w:rPr>
          <w:lang w:val="fr-FR"/>
        </w:rPr>
        <w:t xml:space="preserve"> </w:t>
      </w:r>
      <w:r>
        <w:rPr>
          <w:lang w:val="fr-FR"/>
        </w:rPr>
        <w:t>mai</w:t>
      </w:r>
      <w:r w:rsidRPr="00047D1A">
        <w:rPr>
          <w:lang w:val="fr-FR"/>
        </w:rPr>
        <w:t xml:space="preserve"> 201</w:t>
      </w:r>
      <w:r>
        <w:rPr>
          <w:lang w:val="fr-FR"/>
        </w:rPr>
        <w:t>9</w:t>
      </w:r>
      <w:r w:rsidRPr="00047D1A">
        <w:rPr>
          <w:lang w:val="fr-FR"/>
        </w:rPr>
        <w:t xml:space="preserve"> sous la présidence de </w:t>
      </w:r>
      <w:r w:rsidRPr="0012735B">
        <w:rPr>
          <w:lang w:val="fr-FR"/>
        </w:rPr>
        <w:t>M</w:t>
      </w:r>
      <w:r w:rsidRPr="0012735B">
        <w:rPr>
          <w:vertAlign w:val="superscript"/>
          <w:lang w:val="fr-FR"/>
        </w:rPr>
        <w:t>me</w:t>
      </w:r>
      <w:r w:rsidRPr="0012735B">
        <w:rPr>
          <w:lang w:val="fr-FR"/>
        </w:rPr>
        <w:t> </w:t>
      </w:r>
      <w:r w:rsidRPr="00047D1A">
        <w:rPr>
          <w:lang w:val="fr-FR"/>
        </w:rPr>
        <w:t>A.</w:t>
      </w:r>
      <w:r>
        <w:rPr>
          <w:lang w:val="fr-FR"/>
        </w:rPr>
        <w:t> </w:t>
      </w:r>
      <w:proofErr w:type="spellStart"/>
      <w:r w:rsidRPr="00047D1A">
        <w:rPr>
          <w:lang w:val="fr-FR"/>
        </w:rPr>
        <w:t>Roumier</w:t>
      </w:r>
      <w:proofErr w:type="spellEnd"/>
      <w:r w:rsidRPr="00047D1A">
        <w:rPr>
          <w:lang w:val="fr-FR"/>
        </w:rPr>
        <w:t xml:space="preserve"> (France)</w:t>
      </w:r>
      <w:r>
        <w:rPr>
          <w:lang w:val="fr-FR"/>
        </w:rPr>
        <w:t xml:space="preserve"> </w:t>
      </w:r>
      <w:r w:rsidRPr="00047D1A">
        <w:rPr>
          <w:lang w:val="fr-FR"/>
        </w:rPr>
        <w:t>et la vice-présidence de</w:t>
      </w:r>
      <w:r>
        <w:rPr>
          <w:lang w:val="fr-FR"/>
        </w:rPr>
        <w:t xml:space="preserve"> M. A. Simoni (Italie)</w:t>
      </w:r>
      <w:r w:rsidRPr="00047D1A">
        <w:rPr>
          <w:lang w:val="fr-FR"/>
        </w:rPr>
        <w:t>.</w:t>
      </w:r>
    </w:p>
    <w:p w:rsidR="0011139A" w:rsidRPr="00047D1A" w:rsidRDefault="0011139A" w:rsidP="0011139A">
      <w:pPr>
        <w:pStyle w:val="SingleTxtG"/>
      </w:pPr>
      <w:r w:rsidRPr="00047D1A">
        <w:rPr>
          <w:lang w:val="fr-FR"/>
        </w:rPr>
        <w:t>2.</w:t>
      </w:r>
      <w:r w:rsidRPr="00047D1A">
        <w:rPr>
          <w:lang w:val="fr-FR"/>
        </w:rPr>
        <w:tab/>
        <w:t>Ont pris part à la session des représentants des pays suivants</w:t>
      </w:r>
      <w:r>
        <w:rPr>
          <w:lang w:val="fr-FR"/>
        </w:rPr>
        <w:t> </w:t>
      </w:r>
      <w:r w:rsidRPr="00047D1A">
        <w:rPr>
          <w:lang w:val="fr-FR"/>
        </w:rPr>
        <w:t xml:space="preserve">: </w:t>
      </w:r>
      <w:r w:rsidRPr="00A81676">
        <w:rPr>
          <w:lang w:val="fr-FR"/>
        </w:rPr>
        <w:t xml:space="preserve">Allemagne, Autriche, Bélarus, Belgique, </w:t>
      </w:r>
      <w:r>
        <w:rPr>
          <w:lang w:val="fr-FR"/>
        </w:rPr>
        <w:t xml:space="preserve">Croatie, </w:t>
      </w:r>
      <w:r w:rsidRPr="00A81676">
        <w:rPr>
          <w:lang w:val="fr-FR"/>
        </w:rPr>
        <w:t>Danemark, Espagne, Fédération de Russie, Finlande, France, Géorgie, Hongrie, Italie, Lettonie, Luxembourg, Pays-Bas, Pologne, Portugal, Roumanie, Royaume-Uni, Slovaquie, Suède, Suisse, Tchéquie et Turquie.</w:t>
      </w:r>
    </w:p>
    <w:p w:rsidR="0011139A" w:rsidRPr="00047D1A" w:rsidRDefault="0011139A" w:rsidP="0011139A">
      <w:pPr>
        <w:pStyle w:val="SingleTxtG"/>
      </w:pPr>
      <w:r w:rsidRPr="00A81676">
        <w:rPr>
          <w:lang w:val="fr-FR"/>
        </w:rPr>
        <w:t>3.</w:t>
      </w:r>
      <w:r w:rsidRPr="00A81676">
        <w:rPr>
          <w:lang w:val="fr-FR"/>
        </w:rPr>
        <w:tab/>
        <w:t>Des représentants du Nigeria</w:t>
      </w:r>
      <w:r>
        <w:rPr>
          <w:lang w:val="fr-FR"/>
        </w:rPr>
        <w:t>,</w:t>
      </w:r>
      <w:r w:rsidRPr="00A81676">
        <w:rPr>
          <w:lang w:val="fr-FR"/>
        </w:rPr>
        <w:t xml:space="preserve"> du Maroc</w:t>
      </w:r>
      <w:r>
        <w:rPr>
          <w:lang w:val="fr-FR"/>
        </w:rPr>
        <w:t xml:space="preserve"> et de la Tunisie</w:t>
      </w:r>
      <w:r w:rsidRPr="00A81676">
        <w:rPr>
          <w:lang w:val="fr-FR"/>
        </w:rPr>
        <w:t xml:space="preserve"> ont participé à la session conformément aux</w:t>
      </w:r>
      <w:r w:rsidRPr="00047D1A">
        <w:rPr>
          <w:lang w:val="fr-FR"/>
        </w:rPr>
        <w:t xml:space="preserve"> dispositions du paragraphe 11 du mandat de la Commission économique pour l’Europe. </w:t>
      </w:r>
      <w:r>
        <w:rPr>
          <w:lang w:val="fr-FR"/>
        </w:rPr>
        <w:t>Ils</w:t>
      </w:r>
      <w:r w:rsidRPr="00047D1A">
        <w:rPr>
          <w:lang w:val="fr-FR"/>
        </w:rPr>
        <w:t xml:space="preserve"> ont pris part de plein droit à la session pour les questions relatives à l’Accord européen relatif au transport international des marchandises dangereuses par route (ADR), conformément à l’article premier, alinéa b), du règlement intérieur du Groupe de travail.</w:t>
      </w:r>
    </w:p>
    <w:p w:rsidR="0011139A" w:rsidRPr="00A81676" w:rsidRDefault="0011139A" w:rsidP="0011139A">
      <w:pPr>
        <w:pStyle w:val="SingleTxtG"/>
      </w:pPr>
      <w:r w:rsidRPr="00A81676">
        <w:rPr>
          <w:lang w:val="fr-FR"/>
        </w:rPr>
        <w:t>4.</w:t>
      </w:r>
      <w:r w:rsidRPr="00A81676">
        <w:rPr>
          <w:lang w:val="fr-FR"/>
        </w:rPr>
        <w:tab/>
        <w:t>L’Union européenne était représentée.</w:t>
      </w:r>
    </w:p>
    <w:p w:rsidR="0011139A" w:rsidRPr="00A81676" w:rsidRDefault="0011139A" w:rsidP="0011139A">
      <w:pPr>
        <w:pStyle w:val="SingleTxtG"/>
      </w:pPr>
      <w:r w:rsidRPr="00A81676">
        <w:rPr>
          <w:lang w:val="fr-FR"/>
        </w:rPr>
        <w:t>5.</w:t>
      </w:r>
      <w:r w:rsidRPr="00A81676">
        <w:rPr>
          <w:lang w:val="fr-FR"/>
        </w:rPr>
        <w:tab/>
        <w:t>L’organisation intergouvernementale suivante était représentée : Organisation intergouvernementale pour les transports internationaux ferroviaires (OTIF).</w:t>
      </w:r>
    </w:p>
    <w:p w:rsidR="0011139A" w:rsidRDefault="0011139A" w:rsidP="0011139A">
      <w:pPr>
        <w:pStyle w:val="SingleTxtG"/>
        <w:rPr>
          <w:lang w:val="fr-FR"/>
        </w:rPr>
      </w:pPr>
      <w:r w:rsidRPr="00A81676">
        <w:rPr>
          <w:lang w:val="fr-FR"/>
        </w:rPr>
        <w:t>6.</w:t>
      </w:r>
      <w:r w:rsidRPr="00A81676">
        <w:rPr>
          <w:lang w:val="fr-FR"/>
        </w:rPr>
        <w:tab/>
        <w:t>Les organisations non gouvernementales suivantes étaient représentées : la Conférence européenne des négociants en combustibles et carburants (ECFD), le Conseil européen de l’industrie chimique (CEFIC) et l’Union internationale des transports routiers (IRU).</w:t>
      </w:r>
    </w:p>
    <w:p w:rsidR="0011139A" w:rsidRPr="00047D1A" w:rsidRDefault="0011139A" w:rsidP="0011139A">
      <w:pPr>
        <w:pStyle w:val="HChG"/>
      </w:pPr>
      <w:r w:rsidRPr="00047D1A">
        <w:rPr>
          <w:lang w:val="fr-FR"/>
        </w:rPr>
        <w:tab/>
        <w:t>II.</w:t>
      </w:r>
      <w:r w:rsidRPr="00047D1A">
        <w:rPr>
          <w:lang w:val="fr-FR"/>
        </w:rPr>
        <w:tab/>
      </w:r>
      <w:bookmarkStart w:id="1" w:name="_Hlk6316889"/>
      <w:r w:rsidRPr="00047D1A">
        <w:rPr>
          <w:lang w:val="fr-FR"/>
        </w:rPr>
        <w:t>Adoption de l’ordre du jour (point 1 de l’ordre du jour)</w:t>
      </w:r>
      <w:bookmarkStart w:id="2" w:name="_Toc499903630"/>
      <w:bookmarkEnd w:id="1"/>
      <w:bookmarkEnd w:id="2"/>
    </w:p>
    <w:p w:rsidR="0011139A" w:rsidRPr="00047D1A" w:rsidRDefault="0011139A" w:rsidP="0011139A">
      <w:pPr>
        <w:pStyle w:val="SingleTxtG"/>
        <w:ind w:left="3402" w:hanging="2268"/>
      </w:pPr>
      <w:r w:rsidRPr="00047D1A">
        <w:rPr>
          <w:i/>
          <w:iCs/>
          <w:lang w:val="fr-FR"/>
        </w:rPr>
        <w:t>Documents</w:t>
      </w:r>
      <w:r>
        <w:rPr>
          <w:i/>
          <w:iCs/>
          <w:lang w:val="fr-FR"/>
        </w:rPr>
        <w:t> </w:t>
      </w:r>
      <w:r w:rsidRPr="00F871EF">
        <w:rPr>
          <w:iCs/>
          <w:lang w:val="fr-FR"/>
        </w:rPr>
        <w:t>:</w:t>
      </w:r>
      <w:r w:rsidRPr="00047D1A">
        <w:rPr>
          <w:lang w:val="fr-FR"/>
        </w:rPr>
        <w:tab/>
        <w:t>ECE/TRANS/WP.15/24</w:t>
      </w:r>
      <w:r>
        <w:rPr>
          <w:lang w:val="fr-FR"/>
        </w:rPr>
        <w:t>5</w:t>
      </w:r>
      <w:r w:rsidRPr="00047D1A">
        <w:rPr>
          <w:lang w:val="fr-FR"/>
        </w:rPr>
        <w:t xml:space="preserve"> et Add.1 (secrétariat)</w:t>
      </w:r>
    </w:p>
    <w:p w:rsidR="0011139A" w:rsidRPr="00047D1A" w:rsidRDefault="0011139A" w:rsidP="0011139A">
      <w:pPr>
        <w:pStyle w:val="SingleTxtG"/>
        <w:ind w:left="3402" w:hanging="2268"/>
      </w:pPr>
      <w:r w:rsidRPr="00047D1A">
        <w:rPr>
          <w:i/>
          <w:iCs/>
          <w:lang w:val="fr-FR"/>
        </w:rPr>
        <w:t>Documents informels</w:t>
      </w:r>
      <w:r>
        <w:rPr>
          <w:i/>
          <w:iCs/>
          <w:lang w:val="fr-FR"/>
        </w:rPr>
        <w:t> </w:t>
      </w:r>
      <w:r w:rsidRPr="00047D1A">
        <w:rPr>
          <w:lang w:val="fr-FR"/>
        </w:rPr>
        <w:t>:</w:t>
      </w:r>
      <w:r w:rsidRPr="00047D1A">
        <w:rPr>
          <w:lang w:val="fr-FR"/>
        </w:rPr>
        <w:tab/>
        <w:t>INF.1 et INF.2 (secrétariat)</w:t>
      </w:r>
    </w:p>
    <w:p w:rsidR="0011139A" w:rsidRDefault="0011139A" w:rsidP="0011139A">
      <w:pPr>
        <w:pStyle w:val="SingleTxtG"/>
        <w:rPr>
          <w:lang w:val="fr-FR"/>
        </w:rPr>
      </w:pPr>
      <w:r w:rsidRPr="00047D1A">
        <w:rPr>
          <w:lang w:val="fr-FR"/>
        </w:rPr>
        <w:t>7.</w:t>
      </w:r>
      <w:r w:rsidRPr="00047D1A">
        <w:rPr>
          <w:lang w:val="fr-FR"/>
        </w:rPr>
        <w:tab/>
        <w:t>Le Groupe de travail a adopté l’ordre du jour provisoire établi par le secrétariat, tel que modifié par le document informel INF.2 pour tenir compte des documents informels INF.1 à INF.</w:t>
      </w:r>
      <w:r>
        <w:rPr>
          <w:lang w:val="fr-FR"/>
        </w:rPr>
        <w:t>21</w:t>
      </w:r>
      <w:r w:rsidRPr="00047D1A">
        <w:rPr>
          <w:lang w:val="fr-FR"/>
        </w:rPr>
        <w:t>.</w:t>
      </w:r>
    </w:p>
    <w:p w:rsidR="0011139A" w:rsidRDefault="0011139A" w:rsidP="0011139A">
      <w:pPr>
        <w:pStyle w:val="HChG"/>
        <w:rPr>
          <w:lang w:val="fr-FR"/>
        </w:rPr>
      </w:pPr>
      <w:r w:rsidRPr="00047D1A">
        <w:rPr>
          <w:lang w:val="fr-FR"/>
        </w:rPr>
        <w:tab/>
        <w:t>I</w:t>
      </w:r>
      <w:r>
        <w:rPr>
          <w:lang w:val="fr-FR"/>
        </w:rPr>
        <w:t>I</w:t>
      </w:r>
      <w:r w:rsidRPr="00047D1A">
        <w:rPr>
          <w:lang w:val="fr-FR"/>
        </w:rPr>
        <w:t>I.</w:t>
      </w:r>
      <w:r w:rsidRPr="00047D1A">
        <w:rPr>
          <w:lang w:val="fr-FR"/>
        </w:rPr>
        <w:tab/>
      </w:r>
      <w:r>
        <w:rPr>
          <w:lang w:val="fr-FR"/>
        </w:rPr>
        <w:t xml:space="preserve">Quatre-vingt-unième </w:t>
      </w:r>
      <w:r w:rsidRPr="00787CF7">
        <w:rPr>
          <w:lang w:val="fr-FR"/>
        </w:rPr>
        <w:t>session du Comité des transports intérieurs</w:t>
      </w:r>
      <w:r>
        <w:rPr>
          <w:lang w:val="fr-FR"/>
        </w:rPr>
        <w:t xml:space="preserve"> </w:t>
      </w:r>
      <w:r w:rsidRPr="005B2C1D">
        <w:t xml:space="preserve">(point </w:t>
      </w:r>
      <w:r>
        <w:t>2</w:t>
      </w:r>
      <w:r w:rsidRPr="005B2C1D">
        <w:t xml:space="preserve"> de l</w:t>
      </w:r>
      <w:r>
        <w:t>’</w:t>
      </w:r>
      <w:r w:rsidRPr="005B2C1D">
        <w:t>ordre du jour)</w:t>
      </w:r>
    </w:p>
    <w:p w:rsidR="0011139A" w:rsidRPr="00047D1A" w:rsidRDefault="0011139A" w:rsidP="0011139A">
      <w:pPr>
        <w:pStyle w:val="SingleTxtG"/>
        <w:ind w:left="3402" w:hanging="2268"/>
      </w:pPr>
      <w:r w:rsidRPr="00047D1A">
        <w:rPr>
          <w:i/>
          <w:iCs/>
          <w:lang w:val="fr-FR"/>
        </w:rPr>
        <w:t>Document informel</w:t>
      </w:r>
      <w:r>
        <w:rPr>
          <w:i/>
          <w:iCs/>
          <w:lang w:val="fr-FR"/>
        </w:rPr>
        <w:t> </w:t>
      </w:r>
      <w:r w:rsidRPr="00047D1A">
        <w:rPr>
          <w:lang w:val="fr-FR"/>
        </w:rPr>
        <w:t>:</w:t>
      </w:r>
      <w:r w:rsidRPr="00047D1A">
        <w:rPr>
          <w:lang w:val="fr-FR"/>
        </w:rPr>
        <w:tab/>
      </w:r>
      <w:r w:rsidRPr="00636F0C">
        <w:t xml:space="preserve">ITC </w:t>
      </w:r>
      <w:r>
        <w:t xml:space="preserve">(2019) </w:t>
      </w:r>
      <w:r w:rsidRPr="00636F0C">
        <w:t>No. 9/Rev.5</w:t>
      </w:r>
      <w:r w:rsidRPr="00047D1A">
        <w:rPr>
          <w:lang w:val="fr-FR"/>
        </w:rPr>
        <w:t xml:space="preserve"> (secrétariat)</w:t>
      </w:r>
    </w:p>
    <w:p w:rsidR="0011139A" w:rsidRDefault="0011139A" w:rsidP="0011139A">
      <w:pPr>
        <w:pStyle w:val="SingleTxtG"/>
      </w:pPr>
      <w:r>
        <w:t>8.</w:t>
      </w:r>
      <w:r>
        <w:tab/>
        <w:t xml:space="preserve"> </w:t>
      </w:r>
      <w:r w:rsidRPr="00134080">
        <w:t xml:space="preserve">Le Groupe de travail a noté les principales décisions relatives à ses travaux prises par le Comité à sa </w:t>
      </w:r>
      <w:r>
        <w:t>q</w:t>
      </w:r>
      <w:r w:rsidRPr="00BD0803">
        <w:t xml:space="preserve">uatre-vingt-unième session </w:t>
      </w:r>
      <w:r>
        <w:t>et notamment la décision 22 sur la poursuite des travaux sur l’utilisation de la télématique pour le transport des marchandises dangereuses et la décision 47 relative au Protocole portant modification des articles 1 a), 14 1) et 14 3) b) de l’ADR.</w:t>
      </w:r>
    </w:p>
    <w:p w:rsidR="0011139A" w:rsidRDefault="0011139A" w:rsidP="0011139A">
      <w:pPr>
        <w:pStyle w:val="SingleTxtG"/>
        <w:rPr>
          <w:lang w:val="fr-FR"/>
        </w:rPr>
      </w:pPr>
      <w:r>
        <w:t>9.</w:t>
      </w:r>
      <w:r>
        <w:tab/>
        <w:t xml:space="preserve">Concernant l’utilisation de la télématique, le Président de la </w:t>
      </w:r>
      <w:r w:rsidRPr="00F12E1F">
        <w:t>Réunion commune de la Commission d</w:t>
      </w:r>
      <w:r>
        <w:t>’</w:t>
      </w:r>
      <w:r w:rsidRPr="00F12E1F">
        <w:t>experts du RID et du Groupe de travail des transports de marchandises dangereuses</w:t>
      </w:r>
      <w:r>
        <w:t xml:space="preserve"> (Réunion commune RID/ADR/ADN) a présenté les travaux en cours au sein du </w:t>
      </w:r>
      <w:r w:rsidRPr="00306EE5">
        <w:rPr>
          <w:lang w:val="fr-FR"/>
        </w:rPr>
        <w:t>groupe de travail informel</w:t>
      </w:r>
      <w:r>
        <w:rPr>
          <w:lang w:val="fr-FR"/>
        </w:rPr>
        <w:t xml:space="preserve"> de la télématique. Ces travaux devraient aboutir à la publication de lignes directrices </w:t>
      </w:r>
      <w:r w:rsidRPr="00306EE5">
        <w:rPr>
          <w:lang w:val="fr-FR"/>
        </w:rPr>
        <w:t>pour l’application du paragraphe 5.4.0.2 du RID/ADR/ADN afin de faciliter la mise en œuvre des dispositions</w:t>
      </w:r>
      <w:r>
        <w:rPr>
          <w:lang w:val="fr-FR"/>
        </w:rPr>
        <w:t xml:space="preserve">. Le Groupe de travail a </w:t>
      </w:r>
      <w:r w:rsidRPr="00306EE5">
        <w:rPr>
          <w:lang w:val="fr-FR"/>
        </w:rPr>
        <w:t>également pris note des travaux en cours au niveau de l’Union européenne</w:t>
      </w:r>
      <w:r w:rsidRPr="00A442AA">
        <w:rPr>
          <w:lang w:val="fr-FR"/>
        </w:rPr>
        <w:t xml:space="preserve"> </w:t>
      </w:r>
      <w:r w:rsidRPr="00306EE5">
        <w:rPr>
          <w:lang w:val="fr-FR"/>
        </w:rPr>
        <w:t xml:space="preserve">en vue de </w:t>
      </w:r>
      <w:r>
        <w:rPr>
          <w:lang w:val="fr-FR"/>
        </w:rPr>
        <w:t>l’adoption</w:t>
      </w:r>
      <w:r w:rsidRPr="00306EE5">
        <w:rPr>
          <w:lang w:val="fr-FR"/>
        </w:rPr>
        <w:t xml:space="preserve"> d’un règlement portant sur les informations électroniques relatives aux transports de marchandises (</w:t>
      </w:r>
      <w:proofErr w:type="spellStart"/>
      <w:r w:rsidRPr="00306EE5">
        <w:rPr>
          <w:lang w:val="fr-FR"/>
        </w:rPr>
        <w:t>eFTI</w:t>
      </w:r>
      <w:proofErr w:type="spellEnd"/>
      <w:r w:rsidRPr="00306EE5">
        <w:rPr>
          <w:lang w:val="fr-FR"/>
        </w:rPr>
        <w:t>)</w:t>
      </w:r>
      <w:r>
        <w:rPr>
          <w:lang w:val="fr-FR"/>
        </w:rPr>
        <w:t>.</w:t>
      </w:r>
    </w:p>
    <w:p w:rsidR="0011139A" w:rsidRDefault="0011139A" w:rsidP="0011139A">
      <w:pPr>
        <w:pStyle w:val="SingleTxtG"/>
        <w:rPr>
          <w:lang w:val="fr-FR"/>
        </w:rPr>
      </w:pPr>
      <w:r>
        <w:rPr>
          <w:lang w:val="fr-FR"/>
        </w:rPr>
        <w:t>10.</w:t>
      </w:r>
      <w:r>
        <w:rPr>
          <w:lang w:val="fr-FR"/>
        </w:rPr>
        <w:tab/>
        <w:t xml:space="preserve">Le Directeur de la Division des Transports Durables a présenté les </w:t>
      </w:r>
      <w:r>
        <w:t xml:space="preserve">principaux éléments de la stratégie </w:t>
      </w:r>
      <w:r w:rsidRPr="00047D1A">
        <w:rPr>
          <w:lang w:val="fr-FR"/>
        </w:rPr>
        <w:t xml:space="preserve">du Comité </w:t>
      </w:r>
      <w:bookmarkStart w:id="3" w:name="_Hlk9949071"/>
      <w:r w:rsidR="00BA100A">
        <w:rPr>
          <w:lang w:val="fr-FR"/>
        </w:rPr>
        <w:t xml:space="preserve">des transports intérieurs </w:t>
      </w:r>
      <w:bookmarkEnd w:id="3"/>
      <w:r w:rsidRPr="00047D1A">
        <w:rPr>
          <w:lang w:val="fr-FR"/>
        </w:rPr>
        <w:t>jusqu’en 2030</w:t>
      </w:r>
      <w:r>
        <w:rPr>
          <w:lang w:val="fr-FR"/>
        </w:rPr>
        <w:t xml:space="preserve">, </w:t>
      </w:r>
      <w:r>
        <w:t>y compris la vision, le mandat, les objectifs, le plan d’action, la liste des priorités, la mobilisation des ressources et le partenariat</w:t>
      </w:r>
      <w:r>
        <w:rPr>
          <w:lang w:val="fr-FR"/>
        </w:rPr>
        <w:t xml:space="preserve"> (décision 4). Il a rappelé que le Groupe de travail devra prendre </w:t>
      </w:r>
      <w:r>
        <w:rPr>
          <w:lang w:val="fr-FR"/>
        </w:rPr>
        <w:lastRenderedPageBreak/>
        <w:t>les mesures appropriées pour aligner ses travaux sur la stratégie adoptée. À cet effet, le Président du Comité a transmis à la Présidente du Groupe de travail une invitation à contribuer à la mise en œuvre de la stratégie, notamment sur le volet de la sécurité routière dans un premier temps. La Présidente du Groupe de travail transmettra les documents correspondants aux participants au Groupe de travail pour avis et contribution afin qu’une discussion puisse être menée sur ce sujet à la prochaine session.</w:t>
      </w:r>
    </w:p>
    <w:p w:rsidR="0011139A" w:rsidRPr="007C0178" w:rsidRDefault="0011139A" w:rsidP="0011139A">
      <w:pPr>
        <w:pStyle w:val="HChG"/>
      </w:pPr>
      <w:r>
        <w:tab/>
        <w:t>I</w:t>
      </w:r>
      <w:r w:rsidRPr="003659AC">
        <w:t>V.</w:t>
      </w:r>
      <w:r w:rsidRPr="003659AC">
        <w:tab/>
      </w:r>
      <w:r>
        <w:rPr>
          <w:lang w:val="fr-FR"/>
        </w:rPr>
        <w:t>Conférence des Parties contractantes à l’ADR</w:t>
      </w:r>
      <w:r w:rsidRPr="005B2C1D">
        <w:t xml:space="preserve"> (point </w:t>
      </w:r>
      <w:r>
        <w:t>3</w:t>
      </w:r>
      <w:r w:rsidRPr="005B2C1D">
        <w:t xml:space="preserve"> de l</w:t>
      </w:r>
      <w:r>
        <w:t>’</w:t>
      </w:r>
      <w:r w:rsidRPr="005B2C1D">
        <w:t>ordre du jour)</w:t>
      </w:r>
    </w:p>
    <w:p w:rsidR="0011139A" w:rsidRDefault="0011139A" w:rsidP="0011139A">
      <w:pPr>
        <w:pStyle w:val="SingleTxtG"/>
        <w:rPr>
          <w:highlight w:val="yellow"/>
          <w:lang w:val="fr-FR"/>
        </w:rPr>
      </w:pPr>
      <w:r>
        <w:t>1</w:t>
      </w:r>
      <w:r w:rsidR="004C5540">
        <w:t>1</w:t>
      </w:r>
      <w:r>
        <w:t>.</w:t>
      </w:r>
      <w:r>
        <w:tab/>
      </w:r>
      <w:r w:rsidRPr="001628AC">
        <w:t xml:space="preserve">La Conférence des Parties </w:t>
      </w:r>
      <w:r>
        <w:rPr>
          <w:lang w:val="fr-FR"/>
        </w:rPr>
        <w:t>contractantes à l’ADR</w:t>
      </w:r>
      <w:r w:rsidRPr="005B2C1D">
        <w:t xml:space="preserve"> </w:t>
      </w:r>
      <w:r w:rsidRPr="001628AC">
        <w:t>s'est tenue à Genève le 13 mai 2019</w:t>
      </w:r>
      <w:r>
        <w:t xml:space="preserve"> et a adopté par consensus la proposition du Portugal visant à supprimer le mot « européen » du titre actuel de l’ADR. Le Groupe de travail s’est félicité de cette adoption et a noté que cette décision et le Protocole d’amendement correspondant seraient communiqués à toutes les Parties contractantes par le biais d'une notification du dépositaire. En l'absence d'objection dans les six mois suivant l'émission de la notification du dépositaire, l'amendement sera considéré comme accepté et entrera en vigueur le 1er janvier 2021. Le rapport de la </w:t>
      </w:r>
      <w:r w:rsidRPr="001628AC">
        <w:t>Conférence des Parties</w:t>
      </w:r>
      <w:r>
        <w:t xml:space="preserve"> sera </w:t>
      </w:r>
      <w:r w:rsidRPr="004369FC">
        <w:rPr>
          <w:lang w:val="fr-FR"/>
        </w:rPr>
        <w:t>distribué sous la cote</w:t>
      </w:r>
      <w:r>
        <w:rPr>
          <w:lang w:val="fr-FR"/>
        </w:rPr>
        <w:t xml:space="preserve"> ECE/TRANS/ADR/CONF/2019/2</w:t>
      </w:r>
      <w:r w:rsidRPr="007041D7">
        <w:rPr>
          <w:lang w:val="fr-FR"/>
        </w:rPr>
        <w:t>.</w:t>
      </w:r>
    </w:p>
    <w:p w:rsidR="0011139A" w:rsidRPr="007C0178" w:rsidRDefault="0011139A" w:rsidP="0011139A">
      <w:pPr>
        <w:pStyle w:val="HChG"/>
      </w:pPr>
      <w:r>
        <w:tab/>
      </w:r>
      <w:r w:rsidRPr="003659AC">
        <w:t>V.</w:t>
      </w:r>
      <w:r w:rsidRPr="003659AC">
        <w:tab/>
      </w:r>
      <w:r w:rsidRPr="005B2C1D">
        <w:t>État de l</w:t>
      </w:r>
      <w:r>
        <w:t>’</w:t>
      </w:r>
      <w:r w:rsidRPr="005B2C1D">
        <w:t xml:space="preserve">Accord européen relatif au transport international des marchandises dangereuses par route (ADR) et questions connexes (point </w:t>
      </w:r>
      <w:r>
        <w:t>4</w:t>
      </w:r>
      <w:r w:rsidRPr="005B2C1D">
        <w:t xml:space="preserve"> de l</w:t>
      </w:r>
      <w:r>
        <w:t>’</w:t>
      </w:r>
      <w:r w:rsidRPr="005B2C1D">
        <w:t>ordre du jour)</w:t>
      </w:r>
    </w:p>
    <w:p w:rsidR="0011139A" w:rsidRDefault="0011139A" w:rsidP="0011139A">
      <w:pPr>
        <w:pStyle w:val="SingleTxtG"/>
      </w:pPr>
      <w:r>
        <w:t>1</w:t>
      </w:r>
      <w:r w:rsidR="004C5540">
        <w:t>2</w:t>
      </w:r>
      <w:r>
        <w:t>.</w:t>
      </w:r>
      <w:r>
        <w:tab/>
        <w:t>Le Groupe de travail a noté qu’il n’y avait pas de nouvelles parties contractantes à l’ADR. Le Groupe de travail s’est félicité de l’accession de la Tunisie au Protocole portant modification des articles 1 a), 14 1) et 14 3) b) de l’ADR, et a encouragé les 14 pays  qui n’avaient pas encore déposé l’instrument juridique nécessaire pour que le Protocole entre en vigueur (</w:t>
      </w:r>
      <w:r w:rsidRPr="009110C3">
        <w:t xml:space="preserve">Azerbaïdjan, Bélarus, Bosnie-Herzégovine, Croatie, </w:t>
      </w:r>
      <w:r>
        <w:t xml:space="preserve">Géorgie, </w:t>
      </w:r>
      <w:r w:rsidRPr="009110C3">
        <w:t xml:space="preserve">Islande, Kazakhstan, </w:t>
      </w:r>
      <w:r w:rsidRPr="00E30353">
        <w:t>Macédoine du Nord,</w:t>
      </w:r>
      <w:r w:rsidRPr="009110C3">
        <w:t xml:space="preserve"> Malte, Maroc, Monténégro, </w:t>
      </w:r>
      <w:r>
        <w:t>Nigeria, San Marin</w:t>
      </w:r>
      <w:r w:rsidRPr="009110C3">
        <w:t xml:space="preserve"> </w:t>
      </w:r>
      <w:r>
        <w:t xml:space="preserve">et </w:t>
      </w:r>
      <w:r w:rsidRPr="009110C3">
        <w:t>Tadjikistan</w:t>
      </w:r>
      <w:r>
        <w:t>) à prendre les mesures nécessaires pour ratifier le Protocole ou y adhérer, afin qu’il puisse prendre effet.</w:t>
      </w:r>
    </w:p>
    <w:p w:rsidR="0011139A" w:rsidRDefault="0011139A" w:rsidP="0011139A">
      <w:pPr>
        <w:pStyle w:val="SingleTxtG"/>
      </w:pPr>
      <w:r>
        <w:t>1</w:t>
      </w:r>
      <w:r w:rsidR="004C5540">
        <w:t>3</w:t>
      </w:r>
      <w:r>
        <w:t>.</w:t>
      </w:r>
      <w:r>
        <w:tab/>
        <w:t xml:space="preserve">Le représentant du Nigéria a indiqué que, pour donner suite à l’accession de son pays à l’ADR et à cinq autres accords et conventions des Nations Unies relatives à la sécurité routière, un séminaire national avait été organisé en mars 2019 à Abuja, sous l’égide de l’Envoyé Spécial des Nations Unies pour la Sécurité Routière. Des représentants de la Division des Transports durables </w:t>
      </w:r>
      <w:bookmarkStart w:id="4" w:name="_Hlk9949128"/>
      <w:r w:rsidR="00BA100A">
        <w:t>y ont participé</w:t>
      </w:r>
      <w:r>
        <w:t xml:space="preserve"> </w:t>
      </w:r>
      <w:bookmarkEnd w:id="4"/>
      <w:r>
        <w:t xml:space="preserve">pour </w:t>
      </w:r>
      <w:r w:rsidRPr="00940AB7">
        <w:t xml:space="preserve">expliquer les dispositions </w:t>
      </w:r>
      <w:r>
        <w:t>de ces accords et conventions et pour</w:t>
      </w:r>
      <w:r w:rsidRPr="00940AB7">
        <w:t xml:space="preserve"> présenter des moyens efficaces </w:t>
      </w:r>
      <w:r>
        <w:t xml:space="preserve">et des bonnes pratiques pour la mise </w:t>
      </w:r>
      <w:r w:rsidRPr="00940AB7">
        <w:t xml:space="preserve">en œuvre </w:t>
      </w:r>
      <w:r w:rsidR="00BA100A">
        <w:t xml:space="preserve">de </w:t>
      </w:r>
      <w:r w:rsidRPr="00940AB7">
        <w:t>ces dispositions.</w:t>
      </w:r>
      <w:r>
        <w:t xml:space="preserve"> Le représentant du Nigeria a souligné l’importance de la mise en œuvre de l’ADR dans sa région et l’importance de son extension aux pays voisins du Nigeria dans un futur proche.  </w:t>
      </w:r>
    </w:p>
    <w:p w:rsidR="007A5D72" w:rsidRDefault="007A5D72" w:rsidP="007A5D72">
      <w:pPr>
        <w:pStyle w:val="HChG"/>
        <w:spacing w:before="320" w:after="200"/>
        <w:rPr>
          <w:i/>
          <w:iCs/>
          <w:lang w:val="fr-FR"/>
        </w:rPr>
      </w:pPr>
      <w:bookmarkStart w:id="5" w:name="_Hlk8735591"/>
      <w:r>
        <w:rPr>
          <w:lang w:val="fr-FR"/>
        </w:rPr>
        <w:tab/>
        <w:t>VI.</w:t>
      </w:r>
      <w:r>
        <w:rPr>
          <w:lang w:val="fr-FR"/>
        </w:rPr>
        <w:tab/>
        <w:t>Travaux de la Réunion commune RID/ADR/ADN</w:t>
      </w:r>
      <w:r w:rsidRPr="009D22FF">
        <w:rPr>
          <w:lang w:val="fr-FR"/>
        </w:rPr>
        <w:t xml:space="preserve"> (point </w:t>
      </w:r>
      <w:r>
        <w:rPr>
          <w:lang w:val="fr-FR"/>
        </w:rPr>
        <w:t>5</w:t>
      </w:r>
      <w:r w:rsidRPr="009D22FF">
        <w:rPr>
          <w:lang w:val="fr-FR"/>
        </w:rPr>
        <w:t xml:space="preserve"> de l’ordre du jour)</w:t>
      </w:r>
      <w:r>
        <w:rPr>
          <w:lang w:val="fr-FR"/>
        </w:rPr>
        <w:t xml:space="preserve"> </w:t>
      </w:r>
    </w:p>
    <w:bookmarkEnd w:id="5"/>
    <w:p w:rsidR="007A5D72" w:rsidRDefault="007A5D72" w:rsidP="007A5D72">
      <w:pPr>
        <w:pStyle w:val="H1G"/>
      </w:pPr>
      <w:r>
        <w:rPr>
          <w:lang w:val="fr-FR"/>
        </w:rPr>
        <w:tab/>
        <w:t>A.</w:t>
      </w:r>
      <w:r>
        <w:rPr>
          <w:lang w:val="fr-FR"/>
        </w:rPr>
        <w:tab/>
      </w:r>
      <w:r>
        <w:t>Généralités</w:t>
      </w:r>
    </w:p>
    <w:p w:rsidR="007A5D72" w:rsidRDefault="007A5D72" w:rsidP="007A5D72">
      <w:pPr>
        <w:pStyle w:val="SingleTxtG"/>
        <w:ind w:left="3119" w:hanging="1985"/>
        <w:rPr>
          <w:lang w:val="fr-FR"/>
        </w:rPr>
      </w:pPr>
      <w:r w:rsidRPr="005929BA">
        <w:rPr>
          <w:i/>
          <w:lang w:val="fr-FR"/>
        </w:rPr>
        <w:t>Document</w:t>
      </w:r>
      <w:r>
        <w:rPr>
          <w:i/>
          <w:lang w:val="fr-FR"/>
        </w:rPr>
        <w:t> </w:t>
      </w:r>
      <w:r>
        <w:rPr>
          <w:lang w:val="fr-FR"/>
        </w:rPr>
        <w:t>:</w:t>
      </w:r>
      <w:r>
        <w:rPr>
          <w:lang w:val="fr-FR"/>
        </w:rPr>
        <w:tab/>
      </w:r>
      <w:r w:rsidRPr="00047D1A">
        <w:rPr>
          <w:lang w:val="fr-FR"/>
        </w:rPr>
        <w:t>ECE/TRANS/WP.15/</w:t>
      </w:r>
      <w:r>
        <w:rPr>
          <w:lang w:val="fr-FR"/>
        </w:rPr>
        <w:t xml:space="preserve">AC.1/154, annexe II </w:t>
      </w:r>
      <w:r w:rsidRPr="009D22FF">
        <w:rPr>
          <w:lang w:val="fr-FR"/>
        </w:rPr>
        <w:t>(</w:t>
      </w:r>
      <w:r>
        <w:rPr>
          <w:lang w:val="fr-FR"/>
        </w:rPr>
        <w:t>Secrétariat</w:t>
      </w:r>
      <w:r w:rsidRPr="009D22FF">
        <w:rPr>
          <w:lang w:val="fr-FR"/>
        </w:rPr>
        <w:t>)</w:t>
      </w:r>
    </w:p>
    <w:p w:rsidR="007A5D72" w:rsidRDefault="004C5540" w:rsidP="007A5D72">
      <w:pPr>
        <w:pStyle w:val="SingleTxtG"/>
        <w:rPr>
          <w:lang w:val="fr-FR"/>
        </w:rPr>
      </w:pPr>
      <w:r>
        <w:rPr>
          <w:lang w:val="fr-FR"/>
        </w:rPr>
        <w:t>14</w:t>
      </w:r>
      <w:r w:rsidR="007A5D72">
        <w:rPr>
          <w:lang w:val="fr-FR"/>
        </w:rPr>
        <w:t>.</w:t>
      </w:r>
      <w:r w:rsidR="007A5D72">
        <w:rPr>
          <w:lang w:val="fr-FR"/>
        </w:rPr>
        <w:tab/>
      </w:r>
      <w:r w:rsidR="007A5D72" w:rsidRPr="004B4555">
        <w:rPr>
          <w:lang w:val="fr-FR"/>
        </w:rPr>
        <w:t xml:space="preserve">Le Groupe de travail a entériné les amendements adoptés par la Réunion commune, </w:t>
      </w:r>
      <w:r w:rsidR="007A5D72">
        <w:rPr>
          <w:lang w:val="fr-FR"/>
        </w:rPr>
        <w:t>à sa session de printemps 2019 (voir annexe</w:t>
      </w:r>
      <w:r w:rsidR="007A5D72" w:rsidRPr="004B4555">
        <w:rPr>
          <w:lang w:val="fr-FR"/>
        </w:rPr>
        <w:t>).</w:t>
      </w:r>
    </w:p>
    <w:p w:rsidR="007A5D72" w:rsidRDefault="007A5D72" w:rsidP="007A5D72">
      <w:pPr>
        <w:pStyle w:val="H1G"/>
      </w:pPr>
      <w:r>
        <w:rPr>
          <w:lang w:val="fr-FR"/>
        </w:rPr>
        <w:tab/>
        <w:t>B.</w:t>
      </w:r>
      <w:r>
        <w:rPr>
          <w:lang w:val="fr-FR"/>
        </w:rPr>
        <w:tab/>
      </w:r>
      <w:r>
        <w:t xml:space="preserve">Disposition spéciale 671 pour les </w:t>
      </w:r>
      <w:r w:rsidRPr="00F77E13">
        <w:rPr>
          <w:lang w:val="fr-FR"/>
        </w:rPr>
        <w:t>trousses chimiques et trousses de</w:t>
      </w:r>
      <w:r>
        <w:rPr>
          <w:lang w:val="fr-FR"/>
        </w:rPr>
        <w:t> </w:t>
      </w:r>
      <w:r w:rsidRPr="00F77E13">
        <w:rPr>
          <w:lang w:val="fr-FR"/>
        </w:rPr>
        <w:t>premiers secours (</w:t>
      </w:r>
      <w:r>
        <w:rPr>
          <w:lang w:val="fr-FR"/>
        </w:rPr>
        <w:t xml:space="preserve">numéro </w:t>
      </w:r>
      <w:r w:rsidRPr="00F77E13">
        <w:rPr>
          <w:lang w:val="fr-FR"/>
        </w:rPr>
        <w:t>ONU</w:t>
      </w:r>
      <w:r>
        <w:rPr>
          <w:lang w:val="fr-FR"/>
        </w:rPr>
        <w:t> </w:t>
      </w:r>
      <w:r w:rsidRPr="00F77E13">
        <w:rPr>
          <w:lang w:val="fr-FR"/>
        </w:rPr>
        <w:t>3316)</w:t>
      </w:r>
    </w:p>
    <w:p w:rsidR="007A5D72" w:rsidRDefault="007A5D72" w:rsidP="007A5D72">
      <w:pPr>
        <w:pStyle w:val="SingleTxtG"/>
        <w:ind w:left="3119" w:hanging="1985"/>
        <w:rPr>
          <w:lang w:val="fr-FR"/>
        </w:rPr>
      </w:pPr>
      <w:r w:rsidRPr="005929BA">
        <w:rPr>
          <w:i/>
          <w:lang w:val="fr-FR"/>
        </w:rPr>
        <w:t>Document</w:t>
      </w:r>
      <w:r>
        <w:rPr>
          <w:i/>
          <w:lang w:val="fr-FR"/>
        </w:rPr>
        <w:t> </w:t>
      </w:r>
      <w:r>
        <w:rPr>
          <w:lang w:val="fr-FR"/>
        </w:rPr>
        <w:t>:</w:t>
      </w:r>
      <w:r>
        <w:rPr>
          <w:lang w:val="fr-FR"/>
        </w:rPr>
        <w:tab/>
      </w:r>
      <w:r w:rsidRPr="00047D1A">
        <w:rPr>
          <w:lang w:val="fr-FR"/>
        </w:rPr>
        <w:t>ECE/TRANS/WP.15/</w:t>
      </w:r>
      <w:r>
        <w:rPr>
          <w:lang w:val="fr-FR"/>
        </w:rPr>
        <w:t xml:space="preserve">2019/13 </w:t>
      </w:r>
      <w:r w:rsidRPr="009D22FF">
        <w:rPr>
          <w:lang w:val="fr-FR"/>
        </w:rPr>
        <w:t>(</w:t>
      </w:r>
      <w:r>
        <w:rPr>
          <w:lang w:val="fr-FR"/>
        </w:rPr>
        <w:t>Royaume-Uni</w:t>
      </w:r>
      <w:r w:rsidRPr="009D22FF">
        <w:rPr>
          <w:lang w:val="fr-FR"/>
        </w:rPr>
        <w:t>)</w:t>
      </w:r>
    </w:p>
    <w:p w:rsidR="007A5D72" w:rsidRDefault="007A5D72" w:rsidP="007A5D72">
      <w:pPr>
        <w:pStyle w:val="SingleTxtG"/>
        <w:ind w:left="3119" w:hanging="1985"/>
        <w:rPr>
          <w:lang w:val="fr-FR"/>
        </w:rPr>
      </w:pPr>
      <w:r w:rsidRPr="005929BA">
        <w:rPr>
          <w:i/>
          <w:lang w:val="fr-FR"/>
        </w:rPr>
        <w:lastRenderedPageBreak/>
        <w:t>Document</w:t>
      </w:r>
      <w:r>
        <w:rPr>
          <w:i/>
          <w:lang w:val="fr-FR"/>
        </w:rPr>
        <w:t xml:space="preserve"> informel </w:t>
      </w:r>
      <w:r>
        <w:rPr>
          <w:lang w:val="fr-FR"/>
        </w:rPr>
        <w:t>:</w:t>
      </w:r>
      <w:r>
        <w:rPr>
          <w:lang w:val="fr-FR"/>
        </w:rPr>
        <w:tab/>
        <w:t>INF.14 (Royaume-Uni)</w:t>
      </w:r>
    </w:p>
    <w:p w:rsidR="007A5D72" w:rsidRDefault="004C5540" w:rsidP="007A5D72">
      <w:pPr>
        <w:pStyle w:val="SingleTxtG"/>
        <w:rPr>
          <w:lang w:val="fr-FR"/>
        </w:rPr>
      </w:pPr>
      <w:r>
        <w:rPr>
          <w:lang w:val="fr-FR"/>
        </w:rPr>
        <w:t>15</w:t>
      </w:r>
      <w:r w:rsidR="007A5D72">
        <w:rPr>
          <w:lang w:val="fr-FR"/>
        </w:rPr>
        <w:t>.</w:t>
      </w:r>
      <w:r w:rsidR="007A5D72">
        <w:rPr>
          <w:lang w:val="fr-FR"/>
        </w:rPr>
        <w:tab/>
        <w:t xml:space="preserve">Le Royaume-Uni souhaitait que l’amendement à la disposition spéciale 671 adopté par la Réunion commune et entériné par le Groupe de travail puisse être considéré en tant que correction. </w:t>
      </w:r>
    </w:p>
    <w:p w:rsidR="007A5D72" w:rsidRDefault="004C5540" w:rsidP="007A5D72">
      <w:pPr>
        <w:pStyle w:val="SingleTxtG"/>
        <w:rPr>
          <w:lang w:val="fr-FR"/>
        </w:rPr>
      </w:pPr>
      <w:r>
        <w:rPr>
          <w:lang w:val="fr-FR"/>
        </w:rPr>
        <w:t>16</w:t>
      </w:r>
      <w:r w:rsidR="007A5D72">
        <w:rPr>
          <w:lang w:val="fr-FR"/>
        </w:rPr>
        <w:t>.</w:t>
      </w:r>
      <w:r w:rsidR="007A5D72">
        <w:rPr>
          <w:lang w:val="fr-FR"/>
        </w:rPr>
        <w:tab/>
      </w:r>
      <w:r w:rsidR="00BA100A">
        <w:rPr>
          <w:lang w:val="fr-FR"/>
        </w:rPr>
        <w:t>Le</w:t>
      </w:r>
      <w:r w:rsidR="007A5D72">
        <w:rPr>
          <w:lang w:val="fr-FR"/>
        </w:rPr>
        <w:t xml:space="preserve"> secrétariat a </w:t>
      </w:r>
      <w:r w:rsidR="00BA100A">
        <w:rPr>
          <w:lang w:val="fr-FR"/>
        </w:rPr>
        <w:t>rappelé</w:t>
      </w:r>
      <w:r w:rsidR="007A5D72">
        <w:rPr>
          <w:lang w:val="fr-FR"/>
        </w:rPr>
        <w:t xml:space="preserve"> que la</w:t>
      </w:r>
      <w:r w:rsidR="007A5D72" w:rsidRPr="00064870">
        <w:rPr>
          <w:lang w:val="fr-FR"/>
        </w:rPr>
        <w:t xml:space="preserve"> </w:t>
      </w:r>
      <w:r w:rsidR="007A5D72">
        <w:rPr>
          <w:lang w:val="fr-FR"/>
        </w:rPr>
        <w:t>modification</w:t>
      </w:r>
      <w:r w:rsidR="007A5D72" w:rsidRPr="00064870">
        <w:rPr>
          <w:lang w:val="fr-FR"/>
        </w:rPr>
        <w:t xml:space="preserve"> proposée ne satisfaisait pas aux critères de rectification d'erreurs ou de défauts de concordance dans l'original d'un traité multilatéral, tel qu'énoncé dans le Précis de la pratique du Secrétaire Général en tant que dépositaire des traités multilatéraux, et devrait être traité</w:t>
      </w:r>
      <w:r w:rsidR="007A5D72">
        <w:rPr>
          <w:lang w:val="fr-FR"/>
        </w:rPr>
        <w:t>e</w:t>
      </w:r>
      <w:r w:rsidR="007A5D72" w:rsidRPr="00064870">
        <w:rPr>
          <w:lang w:val="fr-FR"/>
        </w:rPr>
        <w:t xml:space="preserve"> comme </w:t>
      </w:r>
      <w:r w:rsidR="007A5D72">
        <w:rPr>
          <w:lang w:val="fr-FR"/>
        </w:rPr>
        <w:t xml:space="preserve">un amendement. </w:t>
      </w:r>
    </w:p>
    <w:p w:rsidR="007A5D72" w:rsidRDefault="004C5540" w:rsidP="007A5D72">
      <w:pPr>
        <w:pStyle w:val="SingleTxtG"/>
      </w:pPr>
      <w:r>
        <w:rPr>
          <w:lang w:val="fr-FR"/>
        </w:rPr>
        <w:t>17</w:t>
      </w:r>
      <w:r w:rsidR="007A5D72">
        <w:rPr>
          <w:lang w:val="fr-FR"/>
        </w:rPr>
        <w:t>.</w:t>
      </w:r>
      <w:r w:rsidR="007A5D72">
        <w:rPr>
          <w:lang w:val="fr-FR"/>
        </w:rPr>
        <w:tab/>
        <w:t xml:space="preserve">Après discussion, le Groupe de travail a confirmé que cette modification était nécessaire pour pouvoir appliquer la disposition spéciale 671 et donc bénéficier de </w:t>
      </w:r>
      <w:r w:rsidR="007A5D72" w:rsidRPr="00EE2A8F">
        <w:t>conditions moins rigoureuses que celles imposées par les annexes</w:t>
      </w:r>
      <w:r w:rsidR="007A5D72">
        <w:t xml:space="preserve"> A et B de l’ADR en vigueur depuis 1er janvier 2019. Le Groupe de travail a donc invité la représentante du Royaume-Uni à initier un accord multilatéral pour l’application de la disposition spéciale 671 telle que modifiée et a encouragé l’ensemble des Parties Contractantes à l’ADR à le signer.</w:t>
      </w:r>
    </w:p>
    <w:p w:rsidR="007A5D72" w:rsidRDefault="007A5D72" w:rsidP="007A5D72">
      <w:pPr>
        <w:pStyle w:val="H1G"/>
      </w:pPr>
      <w:r>
        <w:rPr>
          <w:lang w:val="fr-FR"/>
        </w:rPr>
        <w:tab/>
        <w:t>C.</w:t>
      </w:r>
      <w:r>
        <w:rPr>
          <w:lang w:val="fr-FR"/>
        </w:rPr>
        <w:tab/>
      </w:r>
      <w:r>
        <w:t>Mandat pour l’élaboration de normes</w:t>
      </w:r>
    </w:p>
    <w:p w:rsidR="007A5D72" w:rsidRDefault="007A5D72" w:rsidP="007A5D72">
      <w:pPr>
        <w:pStyle w:val="SingleTxtG"/>
        <w:ind w:left="3119" w:hanging="1985"/>
        <w:rPr>
          <w:lang w:val="fr-FR"/>
        </w:rPr>
      </w:pPr>
      <w:r w:rsidRPr="005929BA">
        <w:rPr>
          <w:i/>
          <w:lang w:val="fr-FR"/>
        </w:rPr>
        <w:t>Document</w:t>
      </w:r>
      <w:r>
        <w:rPr>
          <w:i/>
          <w:lang w:val="fr-FR"/>
        </w:rPr>
        <w:t> </w:t>
      </w:r>
      <w:r>
        <w:rPr>
          <w:lang w:val="fr-FR"/>
        </w:rPr>
        <w:t>:</w:t>
      </w:r>
      <w:r>
        <w:rPr>
          <w:lang w:val="fr-FR"/>
        </w:rPr>
        <w:tab/>
      </w:r>
      <w:r w:rsidRPr="00047D1A">
        <w:rPr>
          <w:lang w:val="fr-FR"/>
        </w:rPr>
        <w:t>ECE/TRANS/WP.15/</w:t>
      </w:r>
      <w:r>
        <w:rPr>
          <w:lang w:val="fr-FR"/>
        </w:rPr>
        <w:t xml:space="preserve">AC.1/154, paragraphe 17 </w:t>
      </w:r>
      <w:r w:rsidRPr="009D22FF">
        <w:rPr>
          <w:lang w:val="fr-FR"/>
        </w:rPr>
        <w:t>(</w:t>
      </w:r>
      <w:r>
        <w:rPr>
          <w:lang w:val="fr-FR"/>
        </w:rPr>
        <w:t>Secrétariat</w:t>
      </w:r>
      <w:r w:rsidRPr="009D22FF">
        <w:rPr>
          <w:lang w:val="fr-FR"/>
        </w:rPr>
        <w:t>)</w:t>
      </w:r>
    </w:p>
    <w:p w:rsidR="007A5D72" w:rsidRDefault="004C5540" w:rsidP="007A5D72">
      <w:pPr>
        <w:pStyle w:val="SingleTxtG"/>
      </w:pPr>
      <w:r>
        <w:rPr>
          <w:lang w:val="fr-FR"/>
        </w:rPr>
        <w:t>18</w:t>
      </w:r>
      <w:r w:rsidR="007A5D72">
        <w:rPr>
          <w:lang w:val="fr-FR"/>
        </w:rPr>
        <w:t>.</w:t>
      </w:r>
      <w:r w:rsidR="007A5D72">
        <w:rPr>
          <w:lang w:val="fr-FR"/>
        </w:rPr>
        <w:tab/>
        <w:t xml:space="preserve">La représentante de l’Union Européenne a informé le Groupe de travail </w:t>
      </w:r>
      <w:r w:rsidR="007A5D72" w:rsidRPr="00797C3E">
        <w:t>que le mandat confié par la Commission européenne au CEN en 1995 pour l’élaboration de normes</w:t>
      </w:r>
      <w:r w:rsidR="007A5D72">
        <w:t xml:space="preserve"> relatives au transport de marchandises dangereuses</w:t>
      </w:r>
      <w:r w:rsidR="007A5D72" w:rsidRPr="00797C3E">
        <w:t xml:space="preserve"> (M/086)</w:t>
      </w:r>
      <w:r w:rsidR="007A5D72">
        <w:t xml:space="preserve"> </w:t>
      </w:r>
      <w:r w:rsidR="007A5D72" w:rsidRPr="00797C3E">
        <w:t>serait annulé en raison d’un changement de politique au niveau de l’Union européenne</w:t>
      </w:r>
      <w:r w:rsidR="007A5D72">
        <w:t>.</w:t>
      </w:r>
    </w:p>
    <w:p w:rsidR="0011139A" w:rsidRPr="009D22FF" w:rsidRDefault="0011139A" w:rsidP="0011139A">
      <w:pPr>
        <w:pStyle w:val="HChG"/>
        <w:spacing w:before="320" w:after="200"/>
        <w:rPr>
          <w:lang w:val="fr-FR"/>
        </w:rPr>
      </w:pPr>
      <w:r>
        <w:rPr>
          <w:lang w:val="fr-FR"/>
        </w:rPr>
        <w:tab/>
        <w:t>VII.</w:t>
      </w:r>
      <w:r>
        <w:rPr>
          <w:lang w:val="fr-FR"/>
        </w:rPr>
        <w:tab/>
      </w:r>
      <w:r w:rsidRPr="009D22FF">
        <w:rPr>
          <w:lang w:val="fr-FR"/>
        </w:rPr>
        <w:t xml:space="preserve">Propositions d’amendements aux annexes A et B de l’ADR (point </w:t>
      </w:r>
      <w:r>
        <w:rPr>
          <w:lang w:val="fr-FR"/>
        </w:rPr>
        <w:t>6</w:t>
      </w:r>
      <w:r w:rsidRPr="009D22FF">
        <w:rPr>
          <w:lang w:val="fr-FR"/>
        </w:rPr>
        <w:t xml:space="preserve"> de l’ordre du jour)</w:t>
      </w:r>
    </w:p>
    <w:p w:rsidR="0011139A" w:rsidRDefault="0011139A" w:rsidP="0011139A">
      <w:pPr>
        <w:pStyle w:val="H1G"/>
      </w:pPr>
      <w:r>
        <w:rPr>
          <w:lang w:val="fr-FR"/>
        </w:rPr>
        <w:tab/>
        <w:t>A.</w:t>
      </w:r>
      <w:r>
        <w:rPr>
          <w:lang w:val="fr-FR"/>
        </w:rPr>
        <w:tab/>
      </w:r>
      <w:r w:rsidRPr="000A35E0">
        <w:t>Construction et agrément des véhicules</w:t>
      </w:r>
    </w:p>
    <w:p w:rsidR="0011139A" w:rsidRPr="009D22FF" w:rsidRDefault="0011139A" w:rsidP="0011139A">
      <w:pPr>
        <w:pStyle w:val="H23G"/>
        <w:rPr>
          <w:lang w:val="fr-FR"/>
        </w:rPr>
      </w:pPr>
      <w:r>
        <w:rPr>
          <w:lang w:val="fr-FR"/>
        </w:rPr>
        <w:tab/>
      </w:r>
      <w:r w:rsidRPr="009D22FF">
        <w:rPr>
          <w:lang w:val="fr-FR"/>
        </w:rPr>
        <w:t>1.</w:t>
      </w:r>
      <w:r w:rsidRPr="009D22FF">
        <w:rPr>
          <w:lang w:val="fr-FR"/>
        </w:rPr>
        <w:tab/>
      </w:r>
      <w:r>
        <w:rPr>
          <w:lang w:val="fr-FR"/>
        </w:rPr>
        <w:t>Système de freinage pour les remorques EX/II</w:t>
      </w:r>
    </w:p>
    <w:p w:rsidR="0011139A" w:rsidRPr="00047D1A" w:rsidRDefault="0011139A" w:rsidP="0011139A">
      <w:pPr>
        <w:pStyle w:val="SingleTxtG"/>
        <w:ind w:left="3402" w:hanging="2268"/>
      </w:pPr>
      <w:r w:rsidRPr="00047D1A">
        <w:rPr>
          <w:i/>
          <w:iCs/>
          <w:lang w:val="fr-FR"/>
        </w:rPr>
        <w:t>Document informel</w:t>
      </w:r>
      <w:r>
        <w:rPr>
          <w:i/>
          <w:iCs/>
          <w:lang w:val="fr-FR"/>
        </w:rPr>
        <w:t> </w:t>
      </w:r>
      <w:r w:rsidRPr="00047D1A">
        <w:rPr>
          <w:lang w:val="fr-FR"/>
        </w:rPr>
        <w:t>:</w:t>
      </w:r>
      <w:r w:rsidRPr="00047D1A">
        <w:rPr>
          <w:lang w:val="fr-FR"/>
        </w:rPr>
        <w:tab/>
      </w:r>
      <w:r>
        <w:t>INF.6</w:t>
      </w:r>
      <w:r w:rsidRPr="00047D1A">
        <w:rPr>
          <w:lang w:val="fr-FR"/>
        </w:rPr>
        <w:t xml:space="preserve"> (</w:t>
      </w:r>
      <w:r>
        <w:rPr>
          <w:lang w:val="fr-FR"/>
        </w:rPr>
        <w:t>Suède</w:t>
      </w:r>
      <w:r w:rsidRPr="00047D1A">
        <w:rPr>
          <w:lang w:val="fr-FR"/>
        </w:rPr>
        <w:t>)</w:t>
      </w:r>
    </w:p>
    <w:p w:rsidR="0011139A" w:rsidRDefault="004C5540" w:rsidP="0011139A">
      <w:pPr>
        <w:pStyle w:val="SingleTxtG"/>
        <w:rPr>
          <w:lang w:val="fr-FR"/>
        </w:rPr>
      </w:pPr>
      <w:r>
        <w:t>19</w:t>
      </w:r>
      <w:r w:rsidR="0011139A">
        <w:t>.</w:t>
      </w:r>
      <w:r w:rsidR="0011139A">
        <w:tab/>
      </w:r>
      <w:r w:rsidR="0011139A">
        <w:rPr>
          <w:lang w:val="fr-FR"/>
        </w:rPr>
        <w:t xml:space="preserve">La représentante de la Suède souhaitait savoir s’il serait </w:t>
      </w:r>
      <w:r w:rsidR="0011139A" w:rsidRPr="00A93A09">
        <w:rPr>
          <w:lang w:val="fr-FR"/>
        </w:rPr>
        <w:t xml:space="preserve">approprié d'introduire les mêmes exigences de freinage pour les </w:t>
      </w:r>
      <w:r w:rsidR="0011139A">
        <w:rPr>
          <w:lang w:val="fr-FR"/>
        </w:rPr>
        <w:t>remorques</w:t>
      </w:r>
      <w:r w:rsidR="0011139A" w:rsidRPr="00A93A09">
        <w:rPr>
          <w:lang w:val="fr-FR"/>
        </w:rPr>
        <w:t xml:space="preserve"> EX/II des catégories O</w:t>
      </w:r>
      <w:r w:rsidR="0011139A" w:rsidRPr="00FB2DB1">
        <w:rPr>
          <w:vertAlign w:val="subscript"/>
          <w:lang w:val="fr-FR"/>
        </w:rPr>
        <w:t>1</w:t>
      </w:r>
      <w:r w:rsidR="0011139A" w:rsidRPr="00A93A09">
        <w:rPr>
          <w:lang w:val="fr-FR"/>
        </w:rPr>
        <w:t xml:space="preserve"> et O</w:t>
      </w:r>
      <w:r w:rsidR="0011139A" w:rsidRPr="00FB2DB1">
        <w:rPr>
          <w:vertAlign w:val="subscript"/>
          <w:lang w:val="fr-FR"/>
        </w:rPr>
        <w:t>2</w:t>
      </w:r>
      <w:r w:rsidR="0011139A" w:rsidRPr="00A93A09">
        <w:rPr>
          <w:lang w:val="fr-FR"/>
        </w:rPr>
        <w:t xml:space="preserve"> que celles applicables aux véhicules EX/III </w:t>
      </w:r>
      <w:r w:rsidR="0011139A">
        <w:rPr>
          <w:lang w:val="fr-FR"/>
        </w:rPr>
        <w:t>selon le</w:t>
      </w:r>
      <w:r w:rsidR="0011139A" w:rsidRPr="00A93A09">
        <w:rPr>
          <w:lang w:val="fr-FR"/>
        </w:rPr>
        <w:t xml:space="preserve"> paragraphe 2.4 d</w:t>
      </w:r>
      <w:r w:rsidR="0011139A">
        <w:rPr>
          <w:lang w:val="fr-FR"/>
        </w:rPr>
        <w:t xml:space="preserve">e </w:t>
      </w:r>
      <w:r w:rsidR="0011139A" w:rsidRPr="00A93A09">
        <w:rPr>
          <w:lang w:val="fr-FR"/>
        </w:rPr>
        <w:t>l'annexe 5 du Règlement</w:t>
      </w:r>
      <w:r w:rsidR="0011139A">
        <w:rPr>
          <w:lang w:val="fr-FR"/>
        </w:rPr>
        <w:t xml:space="preserve"> </w:t>
      </w:r>
      <w:r w:rsidR="0011139A" w:rsidRPr="00A93A09">
        <w:rPr>
          <w:lang w:val="fr-FR"/>
        </w:rPr>
        <w:t>ONU No 13</w:t>
      </w:r>
      <w:r w:rsidR="0011139A">
        <w:rPr>
          <w:lang w:val="fr-FR"/>
        </w:rPr>
        <w:t xml:space="preserve">. </w:t>
      </w:r>
      <w:r w:rsidR="0011139A" w:rsidRPr="006C50C0">
        <w:rPr>
          <w:lang w:val="fr-FR"/>
        </w:rPr>
        <w:t xml:space="preserve">La représentante de la Suède a déclaré qu'elle examinerait les </w:t>
      </w:r>
      <w:r w:rsidR="0011139A">
        <w:rPr>
          <w:lang w:val="fr-FR"/>
        </w:rPr>
        <w:t>commentaires</w:t>
      </w:r>
      <w:r w:rsidR="0011139A" w:rsidRPr="006C50C0">
        <w:rPr>
          <w:lang w:val="fr-FR"/>
        </w:rPr>
        <w:t xml:space="preserve"> et analyserait de nouveau la nécessité d'un amendement.</w:t>
      </w:r>
      <w:r w:rsidR="0011139A">
        <w:rPr>
          <w:lang w:val="fr-FR"/>
        </w:rPr>
        <w:t xml:space="preserve"> Si un nouvel amendement s’avérait justifié, la Suède présenterait un document officiel à la prochaine session. La représentante de la Suède a invité les délégations qui le souhaiteraient à lui transmettre d’autres commentaires avant la prochaine session.</w:t>
      </w:r>
    </w:p>
    <w:p w:rsidR="0011139A" w:rsidRPr="009D22FF" w:rsidRDefault="0011139A" w:rsidP="0011139A">
      <w:pPr>
        <w:pStyle w:val="H23G"/>
        <w:rPr>
          <w:lang w:val="fr-FR"/>
        </w:rPr>
      </w:pPr>
      <w:r>
        <w:rPr>
          <w:lang w:val="fr-FR"/>
        </w:rPr>
        <w:tab/>
        <w:t>2</w:t>
      </w:r>
      <w:r w:rsidRPr="009D22FF">
        <w:rPr>
          <w:lang w:val="fr-FR"/>
        </w:rPr>
        <w:t>.</w:t>
      </w:r>
      <w:r w:rsidRPr="009D22FF">
        <w:rPr>
          <w:lang w:val="fr-FR"/>
        </w:rPr>
        <w:tab/>
      </w:r>
      <w:r>
        <w:t>Proposition de clarification du champ d’application du 9.1.3.4</w:t>
      </w:r>
    </w:p>
    <w:p w:rsidR="0011139A" w:rsidRDefault="0011139A" w:rsidP="0011139A">
      <w:pPr>
        <w:pStyle w:val="SingleTxtG"/>
        <w:ind w:left="3119" w:hanging="1985"/>
        <w:rPr>
          <w:lang w:val="fr-FR"/>
        </w:rPr>
      </w:pPr>
      <w:r w:rsidRPr="005929BA">
        <w:rPr>
          <w:i/>
          <w:lang w:val="fr-FR"/>
        </w:rPr>
        <w:t>Document</w:t>
      </w:r>
      <w:r>
        <w:rPr>
          <w:i/>
          <w:lang w:val="fr-FR"/>
        </w:rPr>
        <w:t> </w:t>
      </w:r>
      <w:r>
        <w:rPr>
          <w:lang w:val="fr-FR"/>
        </w:rPr>
        <w:t>:</w:t>
      </w:r>
      <w:r>
        <w:rPr>
          <w:lang w:val="fr-FR"/>
        </w:rPr>
        <w:tab/>
      </w:r>
      <w:r w:rsidRPr="00047D1A">
        <w:rPr>
          <w:lang w:val="fr-FR"/>
        </w:rPr>
        <w:t>ECE/TRANS/WP.15/</w:t>
      </w:r>
      <w:r>
        <w:rPr>
          <w:lang w:val="fr-FR"/>
        </w:rPr>
        <w:t xml:space="preserve">2019/3 </w:t>
      </w:r>
      <w:r w:rsidRPr="009D22FF">
        <w:rPr>
          <w:lang w:val="fr-FR"/>
        </w:rPr>
        <w:t>(</w:t>
      </w:r>
      <w:r>
        <w:rPr>
          <w:lang w:val="fr-FR"/>
        </w:rPr>
        <w:t>Suisse</w:t>
      </w:r>
      <w:r w:rsidRPr="009D22FF">
        <w:rPr>
          <w:lang w:val="fr-FR"/>
        </w:rPr>
        <w:t>)</w:t>
      </w:r>
    </w:p>
    <w:p w:rsidR="0011139A" w:rsidRDefault="0011139A" w:rsidP="0011139A">
      <w:pPr>
        <w:pStyle w:val="SingleTxtG"/>
        <w:ind w:left="3119" w:hanging="1985"/>
        <w:rPr>
          <w:lang w:val="fr-FR"/>
        </w:rPr>
      </w:pPr>
      <w:r w:rsidRPr="005929BA">
        <w:rPr>
          <w:i/>
          <w:lang w:val="fr-FR"/>
        </w:rPr>
        <w:t>Document</w:t>
      </w:r>
      <w:r>
        <w:rPr>
          <w:i/>
          <w:lang w:val="fr-FR"/>
        </w:rPr>
        <w:t>s informels </w:t>
      </w:r>
      <w:r>
        <w:rPr>
          <w:lang w:val="fr-FR"/>
        </w:rPr>
        <w:t>:</w:t>
      </w:r>
      <w:r>
        <w:rPr>
          <w:lang w:val="fr-FR"/>
        </w:rPr>
        <w:tab/>
        <w:t xml:space="preserve">INF.15 </w:t>
      </w:r>
      <w:r w:rsidRPr="009D22FF">
        <w:rPr>
          <w:lang w:val="fr-FR"/>
        </w:rPr>
        <w:t>(</w:t>
      </w:r>
      <w:r>
        <w:rPr>
          <w:lang w:val="fr-FR"/>
        </w:rPr>
        <w:t>Allemagne</w:t>
      </w:r>
      <w:r w:rsidRPr="009D22FF">
        <w:rPr>
          <w:lang w:val="fr-FR"/>
        </w:rPr>
        <w:t>)</w:t>
      </w:r>
      <w:r>
        <w:rPr>
          <w:lang w:val="fr-FR"/>
        </w:rPr>
        <w:t>, INF.17 (Allemagne), INF.20 (Royaume-Uni)</w:t>
      </w:r>
    </w:p>
    <w:p w:rsidR="0011139A" w:rsidRDefault="004C5540" w:rsidP="0011139A">
      <w:pPr>
        <w:pStyle w:val="SingleTxtG"/>
        <w:rPr>
          <w:lang w:val="fr-FR"/>
        </w:rPr>
      </w:pPr>
      <w:r>
        <w:t>20</w:t>
      </w:r>
      <w:r w:rsidR="0011139A">
        <w:t>.</w:t>
      </w:r>
      <w:r w:rsidR="0011139A">
        <w:tab/>
      </w:r>
      <w:r w:rsidR="0011139A">
        <w:rPr>
          <w:lang w:val="fr-FR"/>
        </w:rPr>
        <w:t xml:space="preserve">La plupart des délégations qui se sont prononcées souhaitaient maintenir la possibilité de réaliser la visite technique </w:t>
      </w:r>
      <w:r w:rsidR="0011139A" w:rsidRPr="001B3FC0">
        <w:t>dans le mois qui précède ou dans le mois</w:t>
      </w:r>
      <w:r w:rsidR="0011139A">
        <w:rPr>
          <w:b/>
          <w:bCs/>
        </w:rPr>
        <w:t xml:space="preserve"> </w:t>
      </w:r>
      <w:r w:rsidR="0011139A" w:rsidRPr="001B3FC0">
        <w:t>qui suit</w:t>
      </w:r>
      <w:r w:rsidR="0011139A">
        <w:t xml:space="preserve"> la date d’expiration du certificat d’agrément, notamment dans les cas où le contrôle technique du véhicule et le contrôle ADR sont réalisé par des instances différentes. La plupart des délégations étaient également d’avis que, dans les cas où la visite était effectuée </w:t>
      </w:r>
      <w:r w:rsidR="0011139A" w:rsidRPr="001B3FC0">
        <w:t>dans le mois</w:t>
      </w:r>
      <w:r w:rsidR="0011139A">
        <w:rPr>
          <w:b/>
          <w:bCs/>
        </w:rPr>
        <w:t xml:space="preserve"> </w:t>
      </w:r>
      <w:r w:rsidR="0011139A" w:rsidRPr="001B3FC0">
        <w:t>qui suit</w:t>
      </w:r>
      <w:r w:rsidR="0011139A">
        <w:t xml:space="preserve"> la date d’expiration du certificat d’agrément, le véhicule ne devait pas être utilisé pour transporter des marchandises dangereuses avant la délivrance d’un certificat d'agrément valide. Après discussion, la solution présentée dans la proposition 2 du document informel INF.20 a reçu le soutien de la plupart des délégations qui se sont prononcées et a été adoptée par vote </w:t>
      </w:r>
      <w:r w:rsidR="0011139A" w:rsidRPr="004A02BF">
        <w:t>(voir annexe).</w:t>
      </w:r>
    </w:p>
    <w:p w:rsidR="007A5D72" w:rsidRPr="004B4555" w:rsidRDefault="007A5D72" w:rsidP="007A5D72">
      <w:pPr>
        <w:pStyle w:val="H23G"/>
        <w:rPr>
          <w:lang w:val="fr-FR"/>
        </w:rPr>
      </w:pPr>
      <w:r>
        <w:rPr>
          <w:lang w:val="fr-FR"/>
        </w:rPr>
        <w:lastRenderedPageBreak/>
        <w:tab/>
        <w:t>3.</w:t>
      </w:r>
      <w:r>
        <w:rPr>
          <w:lang w:val="fr-FR"/>
        </w:rPr>
        <w:tab/>
      </w:r>
      <w:r w:rsidRPr="00583ABC">
        <w:rPr>
          <w:rFonts w:ascii="Times New Roman Gras" w:hAnsi="Times New Roman Gras"/>
          <w:spacing w:val="-3"/>
          <w:lang w:val="fr-FR"/>
        </w:rPr>
        <w:t>Transport sous régulation de température dans des conteneurs</w:t>
      </w:r>
      <w:r>
        <w:rPr>
          <w:lang w:val="fr-FR"/>
        </w:rPr>
        <w:t xml:space="preserve"> </w:t>
      </w:r>
      <w:r w:rsidRPr="00583ABC">
        <w:t>frigorifiques</w:t>
      </w:r>
      <w:r>
        <w:rPr>
          <w:lang w:val="fr-FR"/>
        </w:rPr>
        <w:t xml:space="preserve"> − Surveillance de la température depuis la cabine du conducteur − 9.6.1 c) de l’ADR</w:t>
      </w:r>
    </w:p>
    <w:p w:rsidR="007A5D72" w:rsidRDefault="007A5D72" w:rsidP="007A5D72">
      <w:pPr>
        <w:pStyle w:val="SingleTxtG"/>
        <w:tabs>
          <w:tab w:val="left" w:pos="3400"/>
        </w:tabs>
        <w:ind w:left="2268" w:hanging="1134"/>
        <w:jc w:val="left"/>
        <w:rPr>
          <w:lang w:val="fr-FR"/>
        </w:rPr>
      </w:pPr>
      <w:r w:rsidRPr="0067498A">
        <w:rPr>
          <w:i/>
          <w:lang w:val="fr-FR"/>
        </w:rPr>
        <w:t>Document</w:t>
      </w:r>
      <w:r>
        <w:rPr>
          <w:i/>
          <w:lang w:val="fr-FR"/>
        </w:rPr>
        <w:t> </w:t>
      </w:r>
      <w:r w:rsidRPr="0067498A">
        <w:rPr>
          <w:i/>
          <w:lang w:val="fr-FR"/>
        </w:rPr>
        <w:t>:</w:t>
      </w:r>
      <w:r w:rsidRPr="0067498A">
        <w:rPr>
          <w:lang w:val="fr-FR"/>
        </w:rPr>
        <w:tab/>
      </w:r>
      <w:r>
        <w:rPr>
          <w:lang w:val="fr-FR"/>
        </w:rPr>
        <w:t>ECE/TRANS/WP.15/2019/1 (CEFIC)</w:t>
      </w:r>
    </w:p>
    <w:p w:rsidR="007A5D72" w:rsidRDefault="004C5540" w:rsidP="007A5D72">
      <w:pPr>
        <w:pStyle w:val="SingleTxtG"/>
      </w:pPr>
      <w:r>
        <w:rPr>
          <w:lang w:val="fr-FR"/>
        </w:rPr>
        <w:t>21</w:t>
      </w:r>
      <w:r w:rsidR="007A5D72">
        <w:rPr>
          <w:lang w:val="fr-FR"/>
        </w:rPr>
        <w:t>.</w:t>
      </w:r>
      <w:r w:rsidR="007A5D72">
        <w:rPr>
          <w:lang w:val="fr-FR"/>
        </w:rPr>
        <w:tab/>
        <w:t xml:space="preserve">La discussion sur le document présenté par le CEFIC a soulevé la question du champ d’application du chapitre 9.6. Ce chapitre, tel que rédigé, ne s’applique qu’aux véhicules complets ou complétés </w:t>
      </w:r>
      <w:r w:rsidR="007A5D72" w:rsidRPr="007638FF">
        <w:t>isothermes, réfrigérants ou frigorifiques</w:t>
      </w:r>
      <w:r w:rsidR="007A5D72">
        <w:t xml:space="preserve">. Or le 7.1.7.4.7 semble indiquer que les dispositions du chapitre 9.6 s’appliquent également aux conteneurs frigorifiques. </w:t>
      </w:r>
    </w:p>
    <w:p w:rsidR="007A5D72" w:rsidRPr="00005182" w:rsidRDefault="004C5540" w:rsidP="007A5D72">
      <w:pPr>
        <w:pStyle w:val="SingleTxtG"/>
      </w:pPr>
      <w:r>
        <w:rPr>
          <w:lang w:val="fr-FR"/>
        </w:rPr>
        <w:t>22</w:t>
      </w:r>
      <w:r w:rsidR="007A5D72">
        <w:rPr>
          <w:lang w:val="fr-FR"/>
        </w:rPr>
        <w:t>.</w:t>
      </w:r>
      <w:r w:rsidR="007A5D72">
        <w:rPr>
          <w:lang w:val="fr-FR"/>
        </w:rPr>
        <w:tab/>
        <w:t>Notant que le 7.1.7 devra également être modifié pour tenir compte de l’interprétation du Groupe de travail sur la question du document informel INF.3 (voir paragraphe</w:t>
      </w:r>
      <w:r w:rsidR="00232CE6">
        <w:rPr>
          <w:lang w:val="fr-FR"/>
        </w:rPr>
        <w:t xml:space="preserve"> 49</w:t>
      </w:r>
      <w:r w:rsidR="007A5D72">
        <w:rPr>
          <w:lang w:val="fr-FR"/>
        </w:rPr>
        <w:t xml:space="preserve">), le représentant du CEFIC et le représentant des Pays-Bas présenteront, à une prochaine session, une proposition révisée visant à clarifier le 7.1.7. Cette proposition pourra s’appuyer sur les </w:t>
      </w:r>
      <w:r w:rsidR="007A5D72" w:rsidRPr="00005182">
        <w:t>travaux en cours au sein d’autres groupes de travail concernés comme le Comité de sécurité de l’ADN</w:t>
      </w:r>
      <w:r w:rsidR="007A5D72">
        <w:t>.</w:t>
      </w:r>
    </w:p>
    <w:p w:rsidR="0011139A" w:rsidRPr="009D22FF" w:rsidRDefault="0011139A" w:rsidP="0011139A">
      <w:pPr>
        <w:pStyle w:val="H1G"/>
        <w:rPr>
          <w:lang w:val="fr-FR"/>
        </w:rPr>
      </w:pPr>
      <w:r>
        <w:rPr>
          <w:lang w:val="fr-FR"/>
        </w:rPr>
        <w:tab/>
        <w:t>B.</w:t>
      </w:r>
      <w:r>
        <w:rPr>
          <w:lang w:val="fr-FR"/>
        </w:rPr>
        <w:tab/>
      </w:r>
      <w:r w:rsidRPr="009D22FF">
        <w:rPr>
          <w:lang w:val="fr-FR"/>
        </w:rPr>
        <w:t>Propositions diverses</w:t>
      </w:r>
    </w:p>
    <w:p w:rsidR="0011139A" w:rsidRPr="009D22FF" w:rsidRDefault="0011139A" w:rsidP="0011139A">
      <w:pPr>
        <w:pStyle w:val="H23G"/>
        <w:rPr>
          <w:lang w:val="fr-FR"/>
        </w:rPr>
      </w:pPr>
      <w:r>
        <w:rPr>
          <w:lang w:val="fr-FR"/>
        </w:rPr>
        <w:tab/>
      </w:r>
      <w:r w:rsidRPr="009D22FF">
        <w:rPr>
          <w:lang w:val="fr-FR"/>
        </w:rPr>
        <w:t>1.</w:t>
      </w:r>
      <w:r w:rsidRPr="009D22FF">
        <w:rPr>
          <w:lang w:val="fr-FR"/>
        </w:rPr>
        <w:tab/>
      </w:r>
      <w:r>
        <w:rPr>
          <w:lang w:val="fr-FR"/>
        </w:rPr>
        <w:t>Proposition de modification du 5.4.1.1.1 k)</w:t>
      </w:r>
    </w:p>
    <w:p w:rsidR="0011139A" w:rsidRDefault="0011139A" w:rsidP="0011139A">
      <w:pPr>
        <w:pStyle w:val="SingleTxtG"/>
        <w:ind w:left="3119" w:hanging="1985"/>
        <w:rPr>
          <w:lang w:val="fr-FR"/>
        </w:rPr>
      </w:pPr>
      <w:r w:rsidRPr="005929BA">
        <w:rPr>
          <w:i/>
          <w:lang w:val="fr-FR"/>
        </w:rPr>
        <w:t>Document</w:t>
      </w:r>
      <w:r>
        <w:rPr>
          <w:i/>
          <w:lang w:val="fr-FR"/>
        </w:rPr>
        <w:t> </w:t>
      </w:r>
      <w:r>
        <w:rPr>
          <w:lang w:val="fr-FR"/>
        </w:rPr>
        <w:t>:</w:t>
      </w:r>
      <w:r>
        <w:rPr>
          <w:lang w:val="fr-FR"/>
        </w:rPr>
        <w:tab/>
      </w:r>
      <w:r w:rsidRPr="00047D1A">
        <w:rPr>
          <w:lang w:val="fr-FR"/>
        </w:rPr>
        <w:t>ECE/TRANS/WP.15/</w:t>
      </w:r>
      <w:r>
        <w:rPr>
          <w:lang w:val="fr-FR"/>
        </w:rPr>
        <w:t>2019/4</w:t>
      </w:r>
      <w:r w:rsidRPr="009D22FF">
        <w:rPr>
          <w:lang w:val="fr-FR"/>
        </w:rPr>
        <w:t xml:space="preserve"> (Suisse)</w:t>
      </w:r>
    </w:p>
    <w:p w:rsidR="0011139A" w:rsidRDefault="004C5540" w:rsidP="0011139A">
      <w:pPr>
        <w:pStyle w:val="SingleTxtG"/>
      </w:pPr>
      <w:r>
        <w:t>23</w:t>
      </w:r>
      <w:r w:rsidR="0011139A">
        <w:t>.</w:t>
      </w:r>
      <w:r w:rsidR="0011139A">
        <w:tab/>
      </w:r>
      <w:r w:rsidR="0011139A" w:rsidRPr="00940AB7">
        <w:t xml:space="preserve">Les délégations qui se sont prononcées étaient d’avis que la proposition de la Suisse apportait une clarification au texte de l’ADR. </w:t>
      </w:r>
      <w:r w:rsidR="0011139A">
        <w:t xml:space="preserve">Le texte modifié permettra de faciliter le </w:t>
      </w:r>
      <w:r w:rsidR="0011139A" w:rsidRPr="00781F9F">
        <w:t xml:space="preserve">passage des marchandises dangereuses pour lesquelles </w:t>
      </w:r>
      <w:proofErr w:type="gramStart"/>
      <w:r w:rsidRPr="00487995">
        <w:t>“(</w:t>
      </w:r>
      <w:proofErr w:type="gramEnd"/>
      <w:r w:rsidRPr="00487995">
        <w:t>-)”</w:t>
      </w:r>
      <w:r w:rsidR="0011139A" w:rsidRPr="00781F9F">
        <w:t>  apparait en colonne (15) du</w:t>
      </w:r>
      <w:r w:rsidR="0011139A">
        <w:t xml:space="preserve"> tableau</w:t>
      </w:r>
      <w:r w:rsidR="0011139A" w:rsidRPr="00D34BAE">
        <w:t xml:space="preserve"> </w:t>
      </w:r>
      <w:r w:rsidR="0011139A">
        <w:t>A du chapitre 3.2 dans des tunnels soumis à des restrictions de circulation.. La proposition de la Suisse a été adoptée (voir annexe). Il conviendra de prêter attention aux éventuelles conséquences sur les applications informatiques permettant de générer les documents de transport.</w:t>
      </w:r>
    </w:p>
    <w:p w:rsidR="0011139A" w:rsidRPr="009D22FF" w:rsidRDefault="0011139A" w:rsidP="0011139A">
      <w:pPr>
        <w:pStyle w:val="H23G"/>
        <w:rPr>
          <w:lang w:val="fr-FR"/>
        </w:rPr>
      </w:pPr>
      <w:r>
        <w:rPr>
          <w:lang w:val="fr-FR"/>
        </w:rPr>
        <w:tab/>
        <w:t>2</w:t>
      </w:r>
      <w:r w:rsidRPr="009D22FF">
        <w:rPr>
          <w:lang w:val="fr-FR"/>
        </w:rPr>
        <w:t>.</w:t>
      </w:r>
      <w:r w:rsidRPr="009D22FF">
        <w:rPr>
          <w:lang w:val="fr-FR"/>
        </w:rPr>
        <w:tab/>
      </w:r>
      <w:r>
        <w:rPr>
          <w:lang w:val="fr-FR"/>
        </w:rPr>
        <w:t>T</w:t>
      </w:r>
      <w:r w:rsidRPr="00911FB3">
        <w:rPr>
          <w:lang w:val="fr-FR"/>
        </w:rPr>
        <w:t>ransport par la poste de colis exceptés de la classe 7 ayant un niveau d’activité limité</w:t>
      </w:r>
    </w:p>
    <w:p w:rsidR="0011139A" w:rsidRDefault="0011139A" w:rsidP="0011139A">
      <w:pPr>
        <w:pStyle w:val="SingleTxtG"/>
        <w:ind w:left="3119" w:hanging="1985"/>
        <w:rPr>
          <w:lang w:val="fr-FR"/>
        </w:rPr>
      </w:pPr>
      <w:r w:rsidRPr="005929BA">
        <w:rPr>
          <w:i/>
          <w:lang w:val="fr-FR"/>
        </w:rPr>
        <w:t>Document</w:t>
      </w:r>
      <w:r>
        <w:rPr>
          <w:i/>
          <w:lang w:val="fr-FR"/>
        </w:rPr>
        <w:t> </w:t>
      </w:r>
      <w:r>
        <w:rPr>
          <w:lang w:val="fr-FR"/>
        </w:rPr>
        <w:t>:</w:t>
      </w:r>
      <w:r>
        <w:rPr>
          <w:lang w:val="fr-FR"/>
        </w:rPr>
        <w:tab/>
      </w:r>
      <w:r w:rsidRPr="00047D1A">
        <w:rPr>
          <w:lang w:val="fr-FR"/>
        </w:rPr>
        <w:t>ECE/TRANS/WP.15/</w:t>
      </w:r>
      <w:r>
        <w:rPr>
          <w:lang w:val="fr-FR"/>
        </w:rPr>
        <w:t xml:space="preserve">2019/2 </w:t>
      </w:r>
      <w:r w:rsidRPr="009D22FF">
        <w:rPr>
          <w:lang w:val="fr-FR"/>
        </w:rPr>
        <w:t>(Suisse)</w:t>
      </w:r>
    </w:p>
    <w:p w:rsidR="0011139A" w:rsidRDefault="004C5540" w:rsidP="0011139A">
      <w:pPr>
        <w:pStyle w:val="SingleTxtG"/>
        <w:rPr>
          <w:lang w:val="fr-FR"/>
        </w:rPr>
      </w:pPr>
      <w:r>
        <w:t>24</w:t>
      </w:r>
      <w:r w:rsidR="0011139A">
        <w:t>.</w:t>
      </w:r>
      <w:r w:rsidR="0011139A">
        <w:tab/>
      </w:r>
      <w:r w:rsidR="0011139A">
        <w:rPr>
          <w:lang w:val="fr-FR"/>
        </w:rPr>
        <w:t xml:space="preserve">La plupart des délégations qui se sont prononcées n’étaient pas en faveur de la proposition de la Suisse à ce stade et ont réitéré les réserves formulées à la précédente session (voir ECE/TRANS/WP.15/244, paragraphes 44-46). Le Groupe de travail a cependant noté que la Suisse avait présenté au </w:t>
      </w:r>
      <w:r w:rsidR="0011139A" w:rsidRPr="009356F2">
        <w:rPr>
          <w:lang w:val="fr-FR"/>
        </w:rPr>
        <w:t xml:space="preserve">Sous-Comité d’experts du transport des marchandises dangereuses </w:t>
      </w:r>
      <w:r w:rsidR="0011139A">
        <w:rPr>
          <w:lang w:val="fr-FR"/>
        </w:rPr>
        <w:t xml:space="preserve">une proposition visant à introduire des dispositions spécifiques pour le transport par la poste des colis exceptés de la classe 7 dans le Règlement type (document </w:t>
      </w:r>
      <w:r w:rsidR="0011139A">
        <w:t>ST/SG/AC.10/C.3/2019/10</w:t>
      </w:r>
      <w:r w:rsidR="0011139A">
        <w:rPr>
          <w:lang w:val="fr-FR"/>
        </w:rPr>
        <w:t xml:space="preserve">). Le Groupe de travail a préféré attendre les résultats des travaux du Sous-Comité à sa cinquante-cinquième session avant de se prononcer sur ce sujet. Le Groupe de travail a invité le représentant de la Suisse à présenter une nouvelle proposition à la lumière de la décision du Sous-Comité.  </w:t>
      </w:r>
    </w:p>
    <w:p w:rsidR="0011139A" w:rsidRPr="009D22FF" w:rsidRDefault="0011139A" w:rsidP="0011139A">
      <w:pPr>
        <w:pStyle w:val="H23G"/>
        <w:rPr>
          <w:lang w:val="fr-FR"/>
        </w:rPr>
      </w:pPr>
      <w:r>
        <w:rPr>
          <w:lang w:val="fr-FR"/>
        </w:rPr>
        <w:tab/>
        <w:t>3</w:t>
      </w:r>
      <w:r w:rsidRPr="009D22FF">
        <w:rPr>
          <w:lang w:val="fr-FR"/>
        </w:rPr>
        <w:t>.</w:t>
      </w:r>
      <w:r w:rsidRPr="009D22FF">
        <w:rPr>
          <w:lang w:val="fr-FR"/>
        </w:rPr>
        <w:tab/>
      </w:r>
      <w:r w:rsidRPr="00786751">
        <w:t>Formation de recyclage en ligne pour les conducteurs transportant des marchandises dangereuses</w:t>
      </w:r>
    </w:p>
    <w:p w:rsidR="0011139A" w:rsidRDefault="0011139A" w:rsidP="0011139A">
      <w:pPr>
        <w:pStyle w:val="SingleTxtG"/>
        <w:ind w:left="3119" w:hanging="1985"/>
        <w:rPr>
          <w:lang w:val="fr-FR"/>
        </w:rPr>
      </w:pPr>
      <w:r w:rsidRPr="005929BA">
        <w:rPr>
          <w:i/>
          <w:lang w:val="fr-FR"/>
        </w:rPr>
        <w:t>Document</w:t>
      </w:r>
      <w:r>
        <w:rPr>
          <w:i/>
          <w:lang w:val="fr-FR"/>
        </w:rPr>
        <w:t> </w:t>
      </w:r>
      <w:r>
        <w:rPr>
          <w:lang w:val="fr-FR"/>
        </w:rPr>
        <w:t>:</w:t>
      </w:r>
      <w:r>
        <w:rPr>
          <w:lang w:val="fr-FR"/>
        </w:rPr>
        <w:tab/>
      </w:r>
      <w:r w:rsidRPr="00047D1A">
        <w:rPr>
          <w:lang w:val="fr-FR"/>
        </w:rPr>
        <w:t>ECE/TRANS/WP.15/</w:t>
      </w:r>
      <w:r>
        <w:rPr>
          <w:lang w:val="fr-FR"/>
        </w:rPr>
        <w:t xml:space="preserve">2019/5 </w:t>
      </w:r>
      <w:r w:rsidRPr="009D22FF">
        <w:rPr>
          <w:lang w:val="fr-FR"/>
        </w:rPr>
        <w:t>(</w:t>
      </w:r>
      <w:r>
        <w:rPr>
          <w:lang w:val="fr-FR"/>
        </w:rPr>
        <w:t>IRU</w:t>
      </w:r>
      <w:r w:rsidRPr="009D22FF">
        <w:rPr>
          <w:lang w:val="fr-FR"/>
        </w:rPr>
        <w:t>)</w:t>
      </w:r>
    </w:p>
    <w:p w:rsidR="0011139A" w:rsidRDefault="004C5540" w:rsidP="0011139A">
      <w:pPr>
        <w:pStyle w:val="SingleTxtG"/>
        <w:rPr>
          <w:lang w:val="fr-FR"/>
        </w:rPr>
      </w:pPr>
      <w:r>
        <w:t>25</w:t>
      </w:r>
      <w:r w:rsidR="0011139A">
        <w:t>.</w:t>
      </w:r>
      <w:r w:rsidR="0011139A">
        <w:tab/>
      </w:r>
      <w:r w:rsidR="0011139A">
        <w:rPr>
          <w:lang w:val="fr-FR"/>
        </w:rPr>
        <w:t xml:space="preserve">Le représentant de l’IRU a indiqué qu’une proposition similaire avait été présentée à la Réunion commune RID/ADR/ADN à sa session de mars 2019 et que la Réunion commune avait </w:t>
      </w:r>
      <w:r w:rsidR="0011139A" w:rsidRPr="003441F1">
        <w:t>estimé que la proposition de l’IRU était trop vague et qu’il fallait l’élaborer davantage ava</w:t>
      </w:r>
      <w:r w:rsidR="0011139A">
        <w:t>nt que son adoption puisse être</w:t>
      </w:r>
      <w:r w:rsidR="0011139A" w:rsidRPr="003441F1">
        <w:t xml:space="preserve"> envisagée.</w:t>
      </w:r>
      <w:r w:rsidR="0011139A">
        <w:t xml:space="preserve"> Le représentant de l’IRU a retiré le document</w:t>
      </w:r>
      <w:r w:rsidR="0011139A">
        <w:rPr>
          <w:lang w:val="fr-FR"/>
        </w:rPr>
        <w:t xml:space="preserve"> </w:t>
      </w:r>
      <w:r w:rsidR="0011139A" w:rsidRPr="00E944D9">
        <w:rPr>
          <w:lang w:val="fr-FR"/>
        </w:rPr>
        <w:t>ECE/TRANS/WP.15/2019/5</w:t>
      </w:r>
      <w:r w:rsidR="0011139A">
        <w:rPr>
          <w:lang w:val="fr-FR"/>
        </w:rPr>
        <w:t xml:space="preserve"> et présentera une proposition révisée à la Réunion commune.</w:t>
      </w:r>
    </w:p>
    <w:p w:rsidR="0011139A" w:rsidRPr="009D22FF" w:rsidRDefault="0011139A" w:rsidP="0011139A">
      <w:pPr>
        <w:pStyle w:val="H23G"/>
        <w:rPr>
          <w:lang w:val="fr-FR"/>
        </w:rPr>
      </w:pPr>
      <w:r>
        <w:rPr>
          <w:lang w:val="fr-FR"/>
        </w:rPr>
        <w:tab/>
        <w:t>4</w:t>
      </w:r>
      <w:r w:rsidRPr="009D22FF">
        <w:rPr>
          <w:lang w:val="fr-FR"/>
        </w:rPr>
        <w:t>.</w:t>
      </w:r>
      <w:r w:rsidRPr="009D22FF">
        <w:rPr>
          <w:lang w:val="fr-FR"/>
        </w:rPr>
        <w:tab/>
      </w:r>
      <w:r>
        <w:t xml:space="preserve">Proposition de modification de la disposition spéciale 363 </w:t>
      </w:r>
      <w:r w:rsidRPr="006B2609">
        <w:rPr>
          <w:i/>
          <w:iCs/>
        </w:rPr>
        <w:t>l</w:t>
      </w:r>
      <w:r>
        <w:t>)</w:t>
      </w:r>
    </w:p>
    <w:p w:rsidR="0011139A" w:rsidRDefault="0011139A" w:rsidP="0011139A">
      <w:pPr>
        <w:pStyle w:val="SingleTxtG"/>
        <w:ind w:left="3119" w:hanging="1985"/>
        <w:rPr>
          <w:lang w:val="fr-FR"/>
        </w:rPr>
      </w:pPr>
      <w:r w:rsidRPr="005929BA">
        <w:rPr>
          <w:i/>
          <w:lang w:val="fr-FR"/>
        </w:rPr>
        <w:t>Document</w:t>
      </w:r>
      <w:r>
        <w:rPr>
          <w:i/>
          <w:lang w:val="fr-FR"/>
        </w:rPr>
        <w:t> </w:t>
      </w:r>
      <w:r>
        <w:rPr>
          <w:lang w:val="fr-FR"/>
        </w:rPr>
        <w:t>:</w:t>
      </w:r>
      <w:r>
        <w:rPr>
          <w:lang w:val="fr-FR"/>
        </w:rPr>
        <w:tab/>
      </w:r>
      <w:r w:rsidRPr="00047D1A">
        <w:rPr>
          <w:lang w:val="fr-FR"/>
        </w:rPr>
        <w:t>ECE/TRANS/WP.15/</w:t>
      </w:r>
      <w:r>
        <w:rPr>
          <w:lang w:val="fr-FR"/>
        </w:rPr>
        <w:t xml:space="preserve">2019/6 </w:t>
      </w:r>
      <w:r w:rsidRPr="009D22FF">
        <w:rPr>
          <w:lang w:val="fr-FR"/>
        </w:rPr>
        <w:t>(</w:t>
      </w:r>
      <w:r>
        <w:rPr>
          <w:lang w:val="fr-FR"/>
        </w:rPr>
        <w:t>Suisse</w:t>
      </w:r>
      <w:r w:rsidRPr="009D22FF">
        <w:rPr>
          <w:lang w:val="fr-FR"/>
        </w:rPr>
        <w:t>)</w:t>
      </w:r>
    </w:p>
    <w:p w:rsidR="0011139A" w:rsidRDefault="004C5540" w:rsidP="0011139A">
      <w:pPr>
        <w:pStyle w:val="SingleTxtG"/>
        <w:rPr>
          <w:lang w:val="fr-FR"/>
        </w:rPr>
      </w:pPr>
      <w:r>
        <w:t>26</w:t>
      </w:r>
      <w:r w:rsidR="0011139A">
        <w:t>.</w:t>
      </w:r>
      <w:r w:rsidR="0011139A">
        <w:tab/>
      </w:r>
      <w:r w:rsidR="0011139A">
        <w:rPr>
          <w:lang w:val="fr-FR"/>
        </w:rPr>
        <w:t>Les délégations qui se sont prononcées considéraient que la proposition de la Suisse clarifiait le texte de l’ADR. La proposition a été adoptée (voir annexe).</w:t>
      </w:r>
    </w:p>
    <w:p w:rsidR="0011139A" w:rsidRPr="009D22FF" w:rsidRDefault="0011139A" w:rsidP="0011139A">
      <w:pPr>
        <w:pStyle w:val="H23G"/>
        <w:rPr>
          <w:lang w:val="fr-FR"/>
        </w:rPr>
      </w:pPr>
      <w:r>
        <w:rPr>
          <w:lang w:val="fr-FR"/>
        </w:rPr>
        <w:lastRenderedPageBreak/>
        <w:tab/>
        <w:t>5</w:t>
      </w:r>
      <w:r w:rsidRPr="009D22FF">
        <w:rPr>
          <w:lang w:val="fr-FR"/>
        </w:rPr>
        <w:t>.</w:t>
      </w:r>
      <w:r w:rsidRPr="009D22FF">
        <w:rPr>
          <w:lang w:val="fr-FR"/>
        </w:rPr>
        <w:tab/>
      </w:r>
      <w:r w:rsidRPr="00A778FE">
        <w:rPr>
          <w:lang w:val="fr-FR"/>
        </w:rPr>
        <w:t>Marquage des unités de transport et des conteneurs chargés avec des quantités limitées</w:t>
      </w:r>
    </w:p>
    <w:p w:rsidR="0011139A" w:rsidRDefault="0011139A" w:rsidP="0011139A">
      <w:pPr>
        <w:pStyle w:val="SingleTxtG"/>
        <w:ind w:left="3119" w:hanging="1985"/>
        <w:rPr>
          <w:lang w:val="fr-FR"/>
        </w:rPr>
      </w:pPr>
      <w:r w:rsidRPr="005929BA">
        <w:rPr>
          <w:i/>
          <w:lang w:val="fr-FR"/>
        </w:rPr>
        <w:t>Document</w:t>
      </w:r>
      <w:r>
        <w:rPr>
          <w:i/>
          <w:lang w:val="fr-FR"/>
        </w:rPr>
        <w:t> </w:t>
      </w:r>
      <w:r>
        <w:rPr>
          <w:lang w:val="fr-FR"/>
        </w:rPr>
        <w:t>:</w:t>
      </w:r>
      <w:r>
        <w:rPr>
          <w:lang w:val="fr-FR"/>
        </w:rPr>
        <w:tab/>
      </w:r>
      <w:r w:rsidRPr="00047D1A">
        <w:rPr>
          <w:lang w:val="fr-FR"/>
        </w:rPr>
        <w:t>ECE/TRANS/WP.15/</w:t>
      </w:r>
      <w:r>
        <w:rPr>
          <w:lang w:val="fr-FR"/>
        </w:rPr>
        <w:t xml:space="preserve">2019/7 </w:t>
      </w:r>
      <w:r w:rsidRPr="009D22FF">
        <w:rPr>
          <w:lang w:val="fr-FR"/>
        </w:rPr>
        <w:t>(</w:t>
      </w:r>
      <w:r>
        <w:rPr>
          <w:lang w:val="fr-FR"/>
        </w:rPr>
        <w:t>Suisse</w:t>
      </w:r>
      <w:r w:rsidRPr="009D22FF">
        <w:rPr>
          <w:lang w:val="fr-FR"/>
        </w:rPr>
        <w:t>)</w:t>
      </w:r>
    </w:p>
    <w:p w:rsidR="0011139A" w:rsidRDefault="0011139A" w:rsidP="0011139A">
      <w:pPr>
        <w:pStyle w:val="SingleTxtG"/>
        <w:ind w:left="3119" w:hanging="1985"/>
        <w:rPr>
          <w:lang w:val="fr-FR"/>
        </w:rPr>
      </w:pPr>
      <w:r w:rsidRPr="005929BA">
        <w:rPr>
          <w:i/>
          <w:lang w:val="fr-FR"/>
        </w:rPr>
        <w:t>Document</w:t>
      </w:r>
      <w:r>
        <w:rPr>
          <w:i/>
          <w:lang w:val="fr-FR"/>
        </w:rPr>
        <w:t xml:space="preserve"> informel </w:t>
      </w:r>
      <w:r>
        <w:rPr>
          <w:lang w:val="fr-FR"/>
        </w:rPr>
        <w:t>:</w:t>
      </w:r>
      <w:r>
        <w:rPr>
          <w:lang w:val="fr-FR"/>
        </w:rPr>
        <w:tab/>
        <w:t xml:space="preserve">INF.7 </w:t>
      </w:r>
      <w:r w:rsidRPr="009D22FF">
        <w:rPr>
          <w:lang w:val="fr-FR"/>
        </w:rPr>
        <w:t>(</w:t>
      </w:r>
      <w:r>
        <w:rPr>
          <w:lang w:val="fr-FR"/>
        </w:rPr>
        <w:t>Suède</w:t>
      </w:r>
      <w:r w:rsidRPr="009D22FF">
        <w:rPr>
          <w:lang w:val="fr-FR"/>
        </w:rPr>
        <w:t>)</w:t>
      </w:r>
    </w:p>
    <w:p w:rsidR="0011139A" w:rsidRDefault="004C5540" w:rsidP="0011139A">
      <w:pPr>
        <w:pStyle w:val="SingleTxtG"/>
      </w:pPr>
      <w:r>
        <w:rPr>
          <w:lang w:val="fr-FR"/>
        </w:rPr>
        <w:t>27</w:t>
      </w:r>
      <w:r w:rsidR="0011139A">
        <w:rPr>
          <w:lang w:val="fr-FR"/>
        </w:rPr>
        <w:t>.</w:t>
      </w:r>
      <w:r w:rsidR="0011139A">
        <w:rPr>
          <w:lang w:val="fr-FR"/>
        </w:rPr>
        <w:tab/>
        <w:t xml:space="preserve">Après discussion, le Groupe de travail est convenu que la proposition de requérir systématiquement </w:t>
      </w:r>
      <w:r w:rsidR="0011139A">
        <w:t>la marque « quantités limitées » en plus de l’apposition des plaques-étiquettes pour les conteneurs chargés à la fois de marchandises dangereuses pleinement règlementées et de marchandises dangereuses emballées en quantités limitées pouvait avoir des implications pour le RID et l’ADN. Des délégations ont ajouté qu’une telle décision pourrait également avoir des implications dans le cas d’un transport maritime suivant un transport routier puisque le code IMDG prévoyait uniquement l’identification sur le conteneur des marchandises qui ne sont pas emballées en quantités limitées. Le Groupe de travail a invité le représentant de la Suisse et la représentante de la Suède à présenter un document à la Réunion commune sur la base de la proposition figurant dans le document informel INF.7.</w:t>
      </w:r>
    </w:p>
    <w:p w:rsidR="0011139A" w:rsidRPr="009D22FF" w:rsidRDefault="0011139A" w:rsidP="0011139A">
      <w:pPr>
        <w:pStyle w:val="H23G"/>
        <w:rPr>
          <w:lang w:val="fr-FR"/>
        </w:rPr>
      </w:pPr>
      <w:r>
        <w:rPr>
          <w:lang w:val="fr-FR"/>
        </w:rPr>
        <w:tab/>
        <w:t>6</w:t>
      </w:r>
      <w:r w:rsidRPr="009D22FF">
        <w:rPr>
          <w:lang w:val="fr-FR"/>
        </w:rPr>
        <w:t>.</w:t>
      </w:r>
      <w:r w:rsidRPr="009D22FF">
        <w:rPr>
          <w:lang w:val="fr-FR"/>
        </w:rPr>
        <w:tab/>
      </w:r>
      <w:r w:rsidRPr="004818BD">
        <w:rPr>
          <w:lang w:val="fr-FR"/>
        </w:rPr>
        <w:t>Information requise dans le document de transport permettant le passage dans les tunnels soumis à restriction</w:t>
      </w:r>
    </w:p>
    <w:p w:rsidR="0011139A" w:rsidRDefault="0011139A" w:rsidP="0011139A">
      <w:pPr>
        <w:pStyle w:val="SingleTxtG"/>
        <w:ind w:left="3119" w:hanging="1985"/>
        <w:rPr>
          <w:lang w:val="fr-FR"/>
        </w:rPr>
      </w:pPr>
      <w:r w:rsidRPr="005929BA">
        <w:rPr>
          <w:i/>
          <w:lang w:val="fr-FR"/>
        </w:rPr>
        <w:t>Document</w:t>
      </w:r>
      <w:r>
        <w:rPr>
          <w:i/>
          <w:lang w:val="fr-FR"/>
        </w:rPr>
        <w:t> </w:t>
      </w:r>
      <w:r>
        <w:rPr>
          <w:lang w:val="fr-FR"/>
        </w:rPr>
        <w:t>:</w:t>
      </w:r>
      <w:r>
        <w:rPr>
          <w:lang w:val="fr-FR"/>
        </w:rPr>
        <w:tab/>
      </w:r>
      <w:r w:rsidRPr="00047D1A">
        <w:rPr>
          <w:lang w:val="fr-FR"/>
        </w:rPr>
        <w:t>ECE/TRANS/WP.15/</w:t>
      </w:r>
      <w:r>
        <w:rPr>
          <w:lang w:val="fr-FR"/>
        </w:rPr>
        <w:t xml:space="preserve">2019/8 </w:t>
      </w:r>
      <w:r w:rsidRPr="009D22FF">
        <w:rPr>
          <w:lang w:val="fr-FR"/>
        </w:rPr>
        <w:t>(</w:t>
      </w:r>
      <w:r>
        <w:rPr>
          <w:lang w:val="fr-FR"/>
        </w:rPr>
        <w:t>Suisse</w:t>
      </w:r>
      <w:r w:rsidRPr="009D22FF">
        <w:rPr>
          <w:lang w:val="fr-FR"/>
        </w:rPr>
        <w:t>)</w:t>
      </w:r>
    </w:p>
    <w:p w:rsidR="0011139A" w:rsidRDefault="004C5540" w:rsidP="0011139A">
      <w:pPr>
        <w:pStyle w:val="SingleTxtG"/>
        <w:rPr>
          <w:lang w:val="fr-FR"/>
        </w:rPr>
      </w:pPr>
      <w:r>
        <w:rPr>
          <w:lang w:val="fr-FR"/>
        </w:rPr>
        <w:t>28</w:t>
      </w:r>
      <w:r w:rsidR="0011139A">
        <w:rPr>
          <w:lang w:val="fr-FR"/>
        </w:rPr>
        <w:t>.</w:t>
      </w:r>
      <w:r w:rsidR="0011139A">
        <w:rPr>
          <w:lang w:val="fr-FR"/>
        </w:rPr>
        <w:tab/>
        <w:t xml:space="preserve">La proposition de la Suisse visait à clarifier </w:t>
      </w:r>
      <w:r w:rsidR="0011139A">
        <w:t xml:space="preserve">si, dans le cas du </w:t>
      </w:r>
      <w:r w:rsidR="0011139A" w:rsidRPr="008C1422">
        <w:t xml:space="preserve">chargement d'une unité de transport </w:t>
      </w:r>
      <w:r w:rsidR="0011139A">
        <w:rPr>
          <w:lang w:val="fr-FR"/>
        </w:rPr>
        <w:t xml:space="preserve">contenant à la fois des marchandises pour lesquelles un code tunnel était attribué dans le tableau A et des marchandises pour lesquelles </w:t>
      </w:r>
      <w:proofErr w:type="gramStart"/>
      <w:r w:rsidRPr="00487995">
        <w:t>“(</w:t>
      </w:r>
      <w:proofErr w:type="gramEnd"/>
      <w:r w:rsidRPr="00487995">
        <w:t>-)”</w:t>
      </w:r>
      <w:r w:rsidR="0011139A" w:rsidRPr="002C5BCC">
        <w:rPr>
          <w:lang w:val="fr-FR"/>
        </w:rPr>
        <w:t xml:space="preserve"> </w:t>
      </w:r>
      <w:r w:rsidR="0011139A">
        <w:rPr>
          <w:lang w:val="fr-FR"/>
        </w:rPr>
        <w:t xml:space="preserve">était </w:t>
      </w:r>
      <w:r w:rsidR="0011139A" w:rsidRPr="002C5BCC">
        <w:rPr>
          <w:lang w:val="fr-FR"/>
        </w:rPr>
        <w:t xml:space="preserve">indiqué au lieu </w:t>
      </w:r>
      <w:r w:rsidR="0011139A">
        <w:rPr>
          <w:lang w:val="fr-FR"/>
        </w:rPr>
        <w:t>d’un code</w:t>
      </w:r>
      <w:r w:rsidR="0011139A" w:rsidRPr="002C5BCC">
        <w:rPr>
          <w:lang w:val="fr-FR"/>
        </w:rPr>
        <w:t xml:space="preserve"> de restriction en tunnels</w:t>
      </w:r>
      <w:r w:rsidR="0011139A">
        <w:rPr>
          <w:lang w:val="fr-FR"/>
        </w:rPr>
        <w:t xml:space="preserve">, seules les marchandises ayant un code tunnel devaient être prises en compte pour l’interdiction de passage. Plusieurs délégations considéraient que le texte proposé pouvait être </w:t>
      </w:r>
      <w:bookmarkStart w:id="6" w:name="_Hlk9949279"/>
      <w:r w:rsidR="005B4626">
        <w:rPr>
          <w:lang w:val="fr-FR"/>
        </w:rPr>
        <w:t>amélioré</w:t>
      </w:r>
      <w:r w:rsidR="0011139A">
        <w:rPr>
          <w:lang w:val="fr-FR"/>
        </w:rPr>
        <w:t xml:space="preserve"> </w:t>
      </w:r>
      <w:bookmarkEnd w:id="6"/>
      <w:r w:rsidR="0011139A">
        <w:rPr>
          <w:lang w:val="fr-FR"/>
        </w:rPr>
        <w:t xml:space="preserve">et qu’il serait plus approprié au chapitre 8.6 </w:t>
      </w:r>
      <w:r w:rsidR="005B4626">
        <w:rPr>
          <w:lang w:val="fr-FR"/>
        </w:rPr>
        <w:t>sur</w:t>
      </w:r>
      <w:r w:rsidR="0011139A">
        <w:rPr>
          <w:lang w:val="fr-FR"/>
        </w:rPr>
        <w:t xml:space="preserve"> l’application des restrictions de circulation en tunnel. En l’absence de soutien à la proposition telle que présentée, le Groupe de travail a invité le représentant de la Suisse à poursuivre les consultations avec les délégations qui avaient formulé des commentaires afin éventuellement de préparer une proposition révisée à une prochaine session.</w:t>
      </w:r>
    </w:p>
    <w:p w:rsidR="0011139A" w:rsidRPr="009D22FF" w:rsidRDefault="0011139A" w:rsidP="0011139A">
      <w:pPr>
        <w:pStyle w:val="H23G"/>
        <w:rPr>
          <w:lang w:val="fr-FR"/>
        </w:rPr>
      </w:pPr>
      <w:r>
        <w:rPr>
          <w:lang w:val="fr-FR"/>
        </w:rPr>
        <w:tab/>
        <w:t>7</w:t>
      </w:r>
      <w:r w:rsidRPr="009D22FF">
        <w:rPr>
          <w:lang w:val="fr-FR"/>
        </w:rPr>
        <w:t>.</w:t>
      </w:r>
      <w:r w:rsidRPr="009D22FF">
        <w:rPr>
          <w:lang w:val="fr-FR"/>
        </w:rPr>
        <w:tab/>
      </w:r>
      <w:r>
        <w:rPr>
          <w:lang w:val="fr-FR"/>
        </w:rPr>
        <w:t>Plus d’une remorque (ou semi-remorque) dans une unité de transport (8.1.1)</w:t>
      </w:r>
    </w:p>
    <w:p w:rsidR="0011139A" w:rsidRDefault="0011139A" w:rsidP="0011139A">
      <w:pPr>
        <w:pStyle w:val="SingleTxtG"/>
        <w:ind w:left="3119" w:hanging="1985"/>
        <w:rPr>
          <w:lang w:val="fr-FR"/>
        </w:rPr>
      </w:pPr>
      <w:r w:rsidRPr="005929BA">
        <w:rPr>
          <w:i/>
          <w:lang w:val="fr-FR"/>
        </w:rPr>
        <w:t>Document</w:t>
      </w:r>
      <w:r>
        <w:rPr>
          <w:i/>
          <w:lang w:val="fr-FR"/>
        </w:rPr>
        <w:t> </w:t>
      </w:r>
      <w:r>
        <w:rPr>
          <w:lang w:val="fr-FR"/>
        </w:rPr>
        <w:t>:</w:t>
      </w:r>
      <w:r>
        <w:rPr>
          <w:lang w:val="fr-FR"/>
        </w:rPr>
        <w:tab/>
      </w:r>
      <w:r w:rsidRPr="00047D1A">
        <w:rPr>
          <w:lang w:val="fr-FR"/>
        </w:rPr>
        <w:t>ECE/TRANS/WP.15/</w:t>
      </w:r>
      <w:r>
        <w:rPr>
          <w:lang w:val="fr-FR"/>
        </w:rPr>
        <w:t xml:space="preserve">2019/10 </w:t>
      </w:r>
      <w:r w:rsidRPr="009D22FF">
        <w:rPr>
          <w:lang w:val="fr-FR"/>
        </w:rPr>
        <w:t>(</w:t>
      </w:r>
      <w:r>
        <w:rPr>
          <w:lang w:val="fr-FR"/>
        </w:rPr>
        <w:t>Finlande et Suède</w:t>
      </w:r>
      <w:r w:rsidRPr="009D22FF">
        <w:rPr>
          <w:lang w:val="fr-FR"/>
        </w:rPr>
        <w:t>)</w:t>
      </w:r>
    </w:p>
    <w:p w:rsidR="0011139A" w:rsidRDefault="004C5540" w:rsidP="0011139A">
      <w:pPr>
        <w:pStyle w:val="SingleTxtG"/>
      </w:pPr>
      <w:r>
        <w:t>29</w:t>
      </w:r>
      <w:r w:rsidR="0011139A">
        <w:t>.</w:t>
      </w:r>
      <w:r w:rsidR="0011139A">
        <w:tab/>
        <w:t>Quelques délégations ont soutenu la proposition de la Finlande et de la Suède visant à permettre p</w:t>
      </w:r>
      <w:r w:rsidR="0011139A" w:rsidRPr="00406799">
        <w:t>lus d’une remorque (ou semi-remorque) dans une unité de transport</w:t>
      </w:r>
      <w:r w:rsidR="0011139A">
        <w:t xml:space="preserve">. Cependant, plusieurs délégations ont indiqué que cette configuration n’était pas compatible avec certaines dispositions relatives aux véhicules dans les directives européennes et notamment avec la directive </w:t>
      </w:r>
      <w:r w:rsidR="0011139A" w:rsidRPr="00406799">
        <w:t>96/53/CE du Conseil fixant, pour certains véhicules routiers circulant dans la Communauté, les dimensions maximales autorisées en trafic national et international et les poids maximaux autorisés en trafic international</w:t>
      </w:r>
      <w:r w:rsidR="0011139A">
        <w:t>. Des délégations ont par ailleurs indiqué qu’une telle modification pourrait entraîner des conséquences imprévues sur certaines dispositions de l’ADR puisque le champ d’application de nombreuses dispositions est fondé sur la définition d’unité de transport selon le 1.2.1. Les représentantes de la Finlande et de la Suède ont indiqué qu’elles prendraient en considération les commentaires reçus et pourraient présenter une nouvelle proposition ultérieurement.</w:t>
      </w:r>
    </w:p>
    <w:p w:rsidR="0011139A" w:rsidRPr="009D22FF" w:rsidRDefault="0011139A" w:rsidP="0011139A">
      <w:pPr>
        <w:pStyle w:val="H23G"/>
        <w:rPr>
          <w:lang w:val="fr-FR"/>
        </w:rPr>
      </w:pPr>
      <w:r>
        <w:rPr>
          <w:lang w:val="fr-FR"/>
        </w:rPr>
        <w:tab/>
        <w:t>8</w:t>
      </w:r>
      <w:r w:rsidRPr="009D22FF">
        <w:rPr>
          <w:lang w:val="fr-FR"/>
        </w:rPr>
        <w:t>.</w:t>
      </w:r>
      <w:r w:rsidRPr="009D22FF">
        <w:rPr>
          <w:lang w:val="fr-FR"/>
        </w:rPr>
        <w:tab/>
      </w:r>
      <w:r>
        <w:rPr>
          <w:lang w:val="fr-FR"/>
        </w:rPr>
        <w:t xml:space="preserve">Formes </w:t>
      </w:r>
      <w:r w:rsidRPr="000468E2">
        <w:t>des</w:t>
      </w:r>
      <w:r>
        <w:rPr>
          <w:lang w:val="fr-FR"/>
        </w:rPr>
        <w:t xml:space="preserve"> coupes transversales des réservoirs conformément au 6.8.2.1.18</w:t>
      </w:r>
    </w:p>
    <w:p w:rsidR="0011139A" w:rsidRDefault="0011139A" w:rsidP="0011139A">
      <w:pPr>
        <w:pStyle w:val="SingleTxtG"/>
        <w:ind w:left="3119" w:hanging="1985"/>
        <w:rPr>
          <w:lang w:val="fr-FR"/>
        </w:rPr>
      </w:pPr>
      <w:r w:rsidRPr="005929BA">
        <w:rPr>
          <w:i/>
          <w:lang w:val="fr-FR"/>
        </w:rPr>
        <w:t>Document</w:t>
      </w:r>
      <w:r>
        <w:rPr>
          <w:i/>
          <w:lang w:val="fr-FR"/>
        </w:rPr>
        <w:t> </w:t>
      </w:r>
      <w:r>
        <w:rPr>
          <w:lang w:val="fr-FR"/>
        </w:rPr>
        <w:t>:</w:t>
      </w:r>
      <w:r>
        <w:rPr>
          <w:lang w:val="fr-FR"/>
        </w:rPr>
        <w:tab/>
      </w:r>
      <w:r w:rsidRPr="00047D1A">
        <w:rPr>
          <w:lang w:val="fr-FR"/>
        </w:rPr>
        <w:t>ECE/TRANS/WP.15/</w:t>
      </w:r>
      <w:r>
        <w:rPr>
          <w:lang w:val="fr-FR"/>
        </w:rPr>
        <w:t xml:space="preserve">2019/11 </w:t>
      </w:r>
      <w:r w:rsidRPr="009D22FF">
        <w:rPr>
          <w:lang w:val="fr-FR"/>
        </w:rPr>
        <w:t>(</w:t>
      </w:r>
      <w:r>
        <w:rPr>
          <w:lang w:val="fr-FR"/>
        </w:rPr>
        <w:t>Allemagne</w:t>
      </w:r>
      <w:r w:rsidRPr="009D22FF">
        <w:rPr>
          <w:lang w:val="fr-FR"/>
        </w:rPr>
        <w:t>)</w:t>
      </w:r>
    </w:p>
    <w:p w:rsidR="0011139A" w:rsidRDefault="0011139A" w:rsidP="0011139A">
      <w:pPr>
        <w:pStyle w:val="SingleTxtG"/>
        <w:ind w:left="3119" w:hanging="1985"/>
        <w:rPr>
          <w:lang w:val="fr-FR"/>
        </w:rPr>
      </w:pPr>
      <w:r w:rsidRPr="005929BA">
        <w:rPr>
          <w:i/>
          <w:lang w:val="fr-FR"/>
        </w:rPr>
        <w:t>Document</w:t>
      </w:r>
      <w:r>
        <w:rPr>
          <w:i/>
          <w:lang w:val="fr-FR"/>
        </w:rPr>
        <w:t xml:space="preserve"> informel </w:t>
      </w:r>
      <w:r>
        <w:rPr>
          <w:lang w:val="fr-FR"/>
        </w:rPr>
        <w:t>:</w:t>
      </w:r>
      <w:r>
        <w:rPr>
          <w:lang w:val="fr-FR"/>
        </w:rPr>
        <w:tab/>
        <w:t xml:space="preserve">INF.12 </w:t>
      </w:r>
      <w:r w:rsidRPr="009D22FF">
        <w:rPr>
          <w:lang w:val="fr-FR"/>
        </w:rPr>
        <w:t>(</w:t>
      </w:r>
      <w:r>
        <w:rPr>
          <w:lang w:val="fr-FR"/>
        </w:rPr>
        <w:t>France</w:t>
      </w:r>
      <w:r w:rsidRPr="009D22FF">
        <w:rPr>
          <w:lang w:val="fr-FR"/>
        </w:rPr>
        <w:t>)</w:t>
      </w:r>
      <w:r>
        <w:rPr>
          <w:lang w:val="fr-FR"/>
        </w:rPr>
        <w:t>, INF.21 (Royaume-Uni)</w:t>
      </w:r>
    </w:p>
    <w:p w:rsidR="0011139A" w:rsidRDefault="004C5540" w:rsidP="0011139A">
      <w:pPr>
        <w:pStyle w:val="SingleTxtG"/>
        <w:rPr>
          <w:lang w:val="fr-FR"/>
        </w:rPr>
      </w:pPr>
      <w:r>
        <w:t>30</w:t>
      </w:r>
      <w:r w:rsidR="0011139A" w:rsidRPr="00A36792">
        <w:t>.</w:t>
      </w:r>
      <w:r w:rsidR="0011139A" w:rsidRPr="00A36792">
        <w:tab/>
        <w:t xml:space="preserve">Il a été confirmé que l’amendement à la note de bas de page </w:t>
      </w:r>
      <w:r w:rsidR="00FD7A2A">
        <w:t xml:space="preserve">du </w:t>
      </w:r>
      <w:r w:rsidR="0011139A" w:rsidRPr="00A36792">
        <w:rPr>
          <w:lang w:val="fr-FR"/>
        </w:rPr>
        <w:t xml:space="preserve">6.8.2.1.18 avait été adopté par le Groupe de travail à sa 104e session pour </w:t>
      </w:r>
      <w:proofErr w:type="spellStart"/>
      <w:r w:rsidR="0011139A" w:rsidRPr="00A36792">
        <w:rPr>
          <w:lang w:val="fr-FR"/>
        </w:rPr>
        <w:t>entrée</w:t>
      </w:r>
      <w:proofErr w:type="spellEnd"/>
      <w:r w:rsidR="0011139A" w:rsidRPr="00A36792">
        <w:rPr>
          <w:lang w:val="fr-FR"/>
        </w:rPr>
        <w:t xml:space="preserve"> en vigueur le 1er janvier 2021. Suivant la décision de la Réunion commune, l’amendement avait été placé entre crochet à la 105e session pour attirer l’attention sur la nécessité de disposer de prescriptions détaillées sur la</w:t>
      </w:r>
      <w:r w:rsidR="0011139A">
        <w:rPr>
          <w:lang w:val="fr-FR"/>
        </w:rPr>
        <w:t xml:space="preserve"> façon d’appréhender ces déviations localisées </w:t>
      </w:r>
      <w:r w:rsidR="0011139A" w:rsidRPr="00F5459B">
        <w:t xml:space="preserve">afin de garantir la </w:t>
      </w:r>
      <w:r w:rsidR="0011139A">
        <w:t>sécurité</w:t>
      </w:r>
      <w:r w:rsidR="0011139A" w:rsidRPr="00F5459B">
        <w:t xml:space="preserve"> de la construction</w:t>
      </w:r>
      <w:r w:rsidR="0011139A">
        <w:rPr>
          <w:lang w:val="fr-FR"/>
        </w:rPr>
        <w:t xml:space="preserve">. </w:t>
      </w:r>
    </w:p>
    <w:p w:rsidR="0011139A" w:rsidRDefault="004C5540" w:rsidP="0011139A">
      <w:pPr>
        <w:pStyle w:val="SingleTxtG"/>
        <w:rPr>
          <w:lang w:val="fr-FR"/>
        </w:rPr>
      </w:pPr>
      <w:r>
        <w:rPr>
          <w:lang w:val="fr-FR"/>
        </w:rPr>
        <w:lastRenderedPageBreak/>
        <w:t>31</w:t>
      </w:r>
      <w:r w:rsidR="0011139A">
        <w:rPr>
          <w:lang w:val="fr-FR"/>
        </w:rPr>
        <w:t>.</w:t>
      </w:r>
      <w:r w:rsidR="0011139A">
        <w:rPr>
          <w:lang w:val="fr-FR"/>
        </w:rPr>
        <w:tab/>
        <w:t xml:space="preserve">Le représentant du Royaume Uni a confirmé que des travaux étaient en cours au sein du comité technique </w:t>
      </w:r>
      <w:r w:rsidR="0011139A" w:rsidRPr="002B1198">
        <w:rPr>
          <w:lang w:val="fr-FR"/>
        </w:rPr>
        <w:t>CEN/TC 296</w:t>
      </w:r>
      <w:r w:rsidR="0011139A">
        <w:rPr>
          <w:lang w:val="fr-FR"/>
        </w:rPr>
        <w:t xml:space="preserve"> afin de modifier la norme EN 13094 en ce sens. Le projet d’amendements devrait être discuté au sein du groupe sur les normes de la Réunion commune à sa session d’automne 2019. Il a par ailleurs proposé que, si la norme n’était pas disponible à temps pour être citée en référence au 6.8.2.6 de l’ADR 2021, des lignes directrices reprenant les prescriptions pertinentes du projet de norme pourraient être publiées sur le </w:t>
      </w:r>
      <w:r w:rsidR="0011139A" w:rsidRPr="00AB7C66">
        <w:rPr>
          <w:lang w:val="fr-FR"/>
        </w:rPr>
        <w:t>site</w:t>
      </w:r>
      <w:r w:rsidR="0011139A">
        <w:rPr>
          <w:lang w:val="fr-FR"/>
        </w:rPr>
        <w:t xml:space="preserve"> </w:t>
      </w:r>
      <w:r w:rsidR="0011139A" w:rsidRPr="00AB7C66">
        <w:rPr>
          <w:lang w:val="fr-FR"/>
        </w:rPr>
        <w:t>internet de la</w:t>
      </w:r>
      <w:r w:rsidR="0011139A">
        <w:rPr>
          <w:lang w:val="fr-FR"/>
        </w:rPr>
        <w:t xml:space="preserve"> </w:t>
      </w:r>
      <w:r w:rsidR="0011139A" w:rsidRPr="00AB7C66">
        <w:rPr>
          <w:lang w:val="fr-FR"/>
        </w:rPr>
        <w:t>Commission économique des Nations</w:t>
      </w:r>
      <w:r w:rsidR="0011139A">
        <w:rPr>
          <w:lang w:val="fr-FR"/>
        </w:rPr>
        <w:t xml:space="preserve"> </w:t>
      </w:r>
      <w:r w:rsidR="0011139A" w:rsidRPr="00AB7C66">
        <w:rPr>
          <w:lang w:val="fr-FR"/>
        </w:rPr>
        <w:t xml:space="preserve">Unies pour l'Europe </w:t>
      </w:r>
      <w:r w:rsidR="0011139A">
        <w:rPr>
          <w:lang w:val="fr-FR"/>
        </w:rPr>
        <w:t>pour permettre leur application anticipée (voir document informel INF.21).</w:t>
      </w:r>
    </w:p>
    <w:p w:rsidR="0011139A" w:rsidRDefault="004C5540" w:rsidP="0011139A">
      <w:pPr>
        <w:pStyle w:val="SingleTxtG"/>
        <w:rPr>
          <w:lang w:val="fr-FR"/>
        </w:rPr>
      </w:pPr>
      <w:r>
        <w:rPr>
          <w:lang w:val="fr-FR"/>
        </w:rPr>
        <w:t>32</w:t>
      </w:r>
      <w:r w:rsidR="0011139A">
        <w:rPr>
          <w:lang w:val="fr-FR"/>
        </w:rPr>
        <w:t>.</w:t>
      </w:r>
      <w:r w:rsidR="0011139A">
        <w:rPr>
          <w:lang w:val="fr-FR"/>
        </w:rPr>
        <w:tab/>
        <w:t xml:space="preserve">Le Groupe de travail a confirmé que le texte était adopté pour </w:t>
      </w:r>
      <w:proofErr w:type="spellStart"/>
      <w:r w:rsidR="0011139A">
        <w:rPr>
          <w:lang w:val="fr-FR"/>
        </w:rPr>
        <w:t>entrée</w:t>
      </w:r>
      <w:proofErr w:type="spellEnd"/>
      <w:r w:rsidR="0011139A">
        <w:rPr>
          <w:lang w:val="fr-FR"/>
        </w:rPr>
        <w:t xml:space="preserve"> en vigueur au 1er janvier 2021 et maintenu entre crochet jusqu’à la prochaine session du Groupe de travail dans l’attente de prescriptions détaillées dans la révision de norme EN 13094 ou dans de telles lignes directrices. Celles-ci seront discutées par la Réunion commune à sa prochaine session. </w:t>
      </w:r>
    </w:p>
    <w:p w:rsidR="0011139A" w:rsidRDefault="004C5540" w:rsidP="0011139A">
      <w:pPr>
        <w:pStyle w:val="SingleTxtG"/>
        <w:rPr>
          <w:lang w:val="fr-FR"/>
        </w:rPr>
      </w:pPr>
      <w:r>
        <w:rPr>
          <w:lang w:val="fr-FR"/>
        </w:rPr>
        <w:t>33</w:t>
      </w:r>
      <w:r w:rsidR="0011139A">
        <w:rPr>
          <w:lang w:val="fr-FR"/>
        </w:rPr>
        <w:t>.</w:t>
      </w:r>
      <w:r w:rsidR="0011139A">
        <w:rPr>
          <w:lang w:val="fr-FR"/>
        </w:rPr>
        <w:tab/>
        <w:t xml:space="preserve">Un membre du secrétariat a rappelé que seules les normes qui seront publiées au plus tard le 1er juin 2020 pourront être prises en compte dans la liste des amendements </w:t>
      </w:r>
      <w:r w:rsidR="0011139A" w:rsidRPr="00A31408">
        <w:rPr>
          <w:lang w:val="fr-FR"/>
        </w:rPr>
        <w:t xml:space="preserve">qui sera notifiée pour </w:t>
      </w:r>
      <w:proofErr w:type="spellStart"/>
      <w:r w:rsidR="0011139A" w:rsidRPr="00A31408">
        <w:rPr>
          <w:lang w:val="fr-FR"/>
        </w:rPr>
        <w:t>entrée</w:t>
      </w:r>
      <w:proofErr w:type="spellEnd"/>
      <w:r w:rsidR="0011139A" w:rsidRPr="00A31408">
        <w:rPr>
          <w:lang w:val="fr-FR"/>
        </w:rPr>
        <w:t xml:space="preserve"> en vigueur le 1</w:t>
      </w:r>
      <w:r w:rsidR="0011139A">
        <w:rPr>
          <w:lang w:val="fr-FR"/>
        </w:rPr>
        <w:t>er</w:t>
      </w:r>
      <w:r w:rsidR="0011139A" w:rsidRPr="00A31408">
        <w:rPr>
          <w:lang w:val="fr-FR"/>
        </w:rPr>
        <w:t xml:space="preserve"> janvier 20</w:t>
      </w:r>
      <w:r w:rsidR="0011139A">
        <w:rPr>
          <w:lang w:val="fr-FR"/>
        </w:rPr>
        <w:t>21</w:t>
      </w:r>
      <w:r w:rsidR="0011139A" w:rsidRPr="00A31408">
        <w:rPr>
          <w:lang w:val="fr-FR"/>
        </w:rPr>
        <w:t>.</w:t>
      </w:r>
    </w:p>
    <w:p w:rsidR="007A5D72" w:rsidRPr="009D22FF" w:rsidRDefault="007A5D72" w:rsidP="007A5D72">
      <w:pPr>
        <w:pStyle w:val="H23G"/>
        <w:rPr>
          <w:lang w:val="fr-FR"/>
        </w:rPr>
      </w:pPr>
      <w:r>
        <w:rPr>
          <w:lang w:val="fr-FR"/>
        </w:rPr>
        <w:tab/>
        <w:t>9</w:t>
      </w:r>
      <w:r w:rsidRPr="009D22FF">
        <w:rPr>
          <w:lang w:val="fr-FR"/>
        </w:rPr>
        <w:t>.</w:t>
      </w:r>
      <w:r w:rsidRPr="009D22FF">
        <w:rPr>
          <w:lang w:val="fr-FR"/>
        </w:rPr>
        <w:tab/>
      </w:r>
      <w:r>
        <w:rPr>
          <w:lang w:val="fr-FR"/>
        </w:rPr>
        <w:t>Définition de normo mètre cube</w:t>
      </w:r>
    </w:p>
    <w:p w:rsidR="007A5D72" w:rsidRDefault="007A5D72" w:rsidP="007A5D72">
      <w:pPr>
        <w:pStyle w:val="SingleTxtG"/>
        <w:ind w:left="3119" w:hanging="1985"/>
        <w:rPr>
          <w:lang w:val="fr-FR"/>
        </w:rPr>
      </w:pPr>
      <w:r w:rsidRPr="005929BA">
        <w:rPr>
          <w:i/>
          <w:lang w:val="fr-FR"/>
        </w:rPr>
        <w:t>Document</w:t>
      </w:r>
      <w:r>
        <w:rPr>
          <w:i/>
          <w:lang w:val="fr-FR"/>
        </w:rPr>
        <w:t> </w:t>
      </w:r>
      <w:r>
        <w:rPr>
          <w:lang w:val="fr-FR"/>
        </w:rPr>
        <w:t>:</w:t>
      </w:r>
      <w:r>
        <w:rPr>
          <w:lang w:val="fr-FR"/>
        </w:rPr>
        <w:tab/>
      </w:r>
      <w:r w:rsidRPr="00047D1A">
        <w:rPr>
          <w:lang w:val="fr-FR"/>
        </w:rPr>
        <w:t>ECE/TRANS/WP.15/</w:t>
      </w:r>
      <w:r>
        <w:rPr>
          <w:lang w:val="fr-FR"/>
        </w:rPr>
        <w:t xml:space="preserve">2019/14 </w:t>
      </w:r>
      <w:r w:rsidRPr="009D22FF">
        <w:rPr>
          <w:lang w:val="fr-FR"/>
        </w:rPr>
        <w:t>(</w:t>
      </w:r>
      <w:r>
        <w:rPr>
          <w:lang w:val="fr-FR"/>
        </w:rPr>
        <w:t>Royaume-Uni</w:t>
      </w:r>
      <w:r w:rsidRPr="009D22FF">
        <w:rPr>
          <w:lang w:val="fr-FR"/>
        </w:rPr>
        <w:t>)</w:t>
      </w:r>
    </w:p>
    <w:p w:rsidR="007A5D72" w:rsidRDefault="004C5540" w:rsidP="007A5D72">
      <w:pPr>
        <w:pStyle w:val="SingleTxtG"/>
        <w:rPr>
          <w:lang w:val="fr-FR"/>
        </w:rPr>
      </w:pPr>
      <w:r>
        <w:rPr>
          <w:lang w:val="fr-FR"/>
        </w:rPr>
        <w:t>34</w:t>
      </w:r>
      <w:r w:rsidR="007A5D72">
        <w:rPr>
          <w:lang w:val="fr-FR"/>
        </w:rPr>
        <w:t>.</w:t>
      </w:r>
      <w:r w:rsidR="007A5D72">
        <w:rPr>
          <w:lang w:val="fr-FR"/>
        </w:rPr>
        <w:tab/>
        <w:t>Plusieurs délégations ont soutenu la proposition du Royaume-Uni d’ajouter une définition de normo mètre cube (Nm</w:t>
      </w:r>
      <w:r w:rsidR="007A5D72" w:rsidRPr="00F05B45">
        <w:rPr>
          <w:vertAlign w:val="superscript"/>
          <w:lang w:val="fr-FR"/>
        </w:rPr>
        <w:t>3</w:t>
      </w:r>
      <w:r w:rsidR="007A5D72">
        <w:rPr>
          <w:lang w:val="fr-FR"/>
        </w:rPr>
        <w:t xml:space="preserve">) dans l’ADR. Les avis étaient partagés sur l’emplacement approprié pour cette définition. Plusieurs délégations pensaient qu’il était préférable de mettre une note sous le tableau du 1.1.3.2, seul emplacement où cette unité est actuellement utilisée (proposition 1). D’autres préféraient grouper cette définition avec les autres unités décrites à la section 1.2.2 (proposition 2). </w:t>
      </w:r>
    </w:p>
    <w:p w:rsidR="007A5D72" w:rsidRDefault="007A5D72" w:rsidP="007A5D72">
      <w:pPr>
        <w:pStyle w:val="SingleTxtG"/>
        <w:rPr>
          <w:lang w:val="fr-FR"/>
        </w:rPr>
      </w:pPr>
      <w:r>
        <w:t>3</w:t>
      </w:r>
      <w:r w:rsidR="004C5540">
        <w:t>5</w:t>
      </w:r>
      <w:r>
        <w:t>.</w:t>
      </w:r>
      <w:r>
        <w:tab/>
        <w:t xml:space="preserve">La proposition 1 du document </w:t>
      </w:r>
      <w:r w:rsidRPr="00047D1A">
        <w:rPr>
          <w:lang w:val="fr-FR"/>
        </w:rPr>
        <w:t>ECE/TRANS/WP.15/</w:t>
      </w:r>
      <w:r>
        <w:rPr>
          <w:lang w:val="fr-FR"/>
        </w:rPr>
        <w:t>2019/14 a été adoptée, par vote, avec quelques modifications (voir annexe).</w:t>
      </w:r>
    </w:p>
    <w:p w:rsidR="007A5D72" w:rsidRDefault="007A5D72" w:rsidP="007A5D72">
      <w:pPr>
        <w:pStyle w:val="H23G"/>
        <w:keepNext w:val="0"/>
        <w:keepLines w:val="0"/>
        <w:rPr>
          <w:i/>
          <w:iCs/>
        </w:rPr>
      </w:pPr>
      <w:r>
        <w:rPr>
          <w:lang w:val="fr-FR"/>
        </w:rPr>
        <w:tab/>
        <w:t>10</w:t>
      </w:r>
      <w:r w:rsidRPr="009D22FF">
        <w:rPr>
          <w:lang w:val="fr-FR"/>
        </w:rPr>
        <w:t>.</w:t>
      </w:r>
      <w:r w:rsidRPr="009D22FF">
        <w:rPr>
          <w:lang w:val="fr-FR"/>
        </w:rPr>
        <w:tab/>
      </w:r>
      <w:r>
        <w:t>Changement des produits chargés dans les véhicules-citernes</w:t>
      </w:r>
    </w:p>
    <w:p w:rsidR="007A5D72" w:rsidRDefault="007A5D72" w:rsidP="007A5D72">
      <w:pPr>
        <w:pStyle w:val="SingleTxtG"/>
        <w:ind w:left="3119" w:hanging="1985"/>
        <w:rPr>
          <w:lang w:val="fr-FR"/>
        </w:rPr>
      </w:pPr>
      <w:r w:rsidRPr="005929BA">
        <w:rPr>
          <w:i/>
          <w:lang w:val="fr-FR"/>
        </w:rPr>
        <w:t>Document</w:t>
      </w:r>
      <w:r>
        <w:rPr>
          <w:i/>
          <w:lang w:val="fr-FR"/>
        </w:rPr>
        <w:t> </w:t>
      </w:r>
      <w:r>
        <w:rPr>
          <w:lang w:val="fr-FR"/>
        </w:rPr>
        <w:t>:</w:t>
      </w:r>
      <w:r>
        <w:rPr>
          <w:lang w:val="fr-FR"/>
        </w:rPr>
        <w:tab/>
      </w:r>
      <w:r w:rsidRPr="00047D1A">
        <w:rPr>
          <w:lang w:val="fr-FR"/>
        </w:rPr>
        <w:t>ECE/TRANS/WP.15/</w:t>
      </w:r>
      <w:r>
        <w:rPr>
          <w:lang w:val="fr-FR"/>
        </w:rPr>
        <w:t xml:space="preserve">2019/9 </w:t>
      </w:r>
      <w:r w:rsidRPr="009D22FF">
        <w:rPr>
          <w:lang w:val="fr-FR"/>
        </w:rPr>
        <w:t>(</w:t>
      </w:r>
      <w:r>
        <w:rPr>
          <w:lang w:val="fr-FR"/>
        </w:rPr>
        <w:t>Suisse</w:t>
      </w:r>
      <w:r w:rsidRPr="009D22FF">
        <w:rPr>
          <w:lang w:val="fr-FR"/>
        </w:rPr>
        <w:t>)</w:t>
      </w:r>
    </w:p>
    <w:p w:rsidR="007A5D72" w:rsidRDefault="007A5D72" w:rsidP="00FD7A2A">
      <w:pPr>
        <w:pStyle w:val="SingleTxtG"/>
        <w:ind w:left="3119" w:hanging="1985"/>
        <w:rPr>
          <w:lang w:val="fr-FR"/>
        </w:rPr>
      </w:pPr>
      <w:r w:rsidRPr="005929BA">
        <w:rPr>
          <w:i/>
          <w:lang w:val="fr-FR"/>
        </w:rPr>
        <w:t>Document</w:t>
      </w:r>
      <w:r>
        <w:rPr>
          <w:i/>
          <w:lang w:val="fr-FR"/>
        </w:rPr>
        <w:t xml:space="preserve"> informel </w:t>
      </w:r>
      <w:r>
        <w:rPr>
          <w:lang w:val="fr-FR"/>
        </w:rPr>
        <w:t>:</w:t>
      </w:r>
      <w:r>
        <w:rPr>
          <w:lang w:val="fr-FR"/>
        </w:rPr>
        <w:tab/>
        <w:t>INF.18 (Royaume-Uni)</w:t>
      </w:r>
    </w:p>
    <w:p w:rsidR="007A5D72" w:rsidRDefault="004C5540" w:rsidP="007A5D72">
      <w:pPr>
        <w:pStyle w:val="SingleTxtG"/>
      </w:pPr>
      <w:r>
        <w:t>36</w:t>
      </w:r>
      <w:r w:rsidR="007A5D72">
        <w:t>.</w:t>
      </w:r>
      <w:r w:rsidR="007A5D72">
        <w:tab/>
        <w:t xml:space="preserve">Après discussion, le Groupe de travail a décidé de transmettre ces documents au </w:t>
      </w:r>
      <w:r w:rsidR="007A5D72" w:rsidRPr="00F12E1F">
        <w:t>Groupe de travail des citernes</w:t>
      </w:r>
      <w:r w:rsidR="007A5D72">
        <w:t xml:space="preserve"> de la Réunion commune pour examen. Le secrétariat informera le Groupe de travail des conclusions du </w:t>
      </w:r>
      <w:r w:rsidR="007A5D72" w:rsidRPr="00F12E1F">
        <w:t>Groupe de travail des citernes</w:t>
      </w:r>
      <w:r w:rsidR="007A5D72">
        <w:t xml:space="preserve"> à la prochaine session. Le Groupe de travail a invité les délégations à consulter les </w:t>
      </w:r>
      <w:r w:rsidR="00077DA3">
        <w:t xml:space="preserve">organisations </w:t>
      </w:r>
      <w:r w:rsidR="007A5D72">
        <w:t>profession</w:t>
      </w:r>
      <w:r w:rsidR="00077DA3">
        <w:t>nelle</w:t>
      </w:r>
      <w:r w:rsidR="007A5D72">
        <w:t>s concernées sur le</w:t>
      </w:r>
      <w:r w:rsidR="00077DA3">
        <w:t>ur</w:t>
      </w:r>
      <w:r w:rsidR="007A5D72">
        <w:t xml:space="preserve">s pratiques. </w:t>
      </w:r>
    </w:p>
    <w:p w:rsidR="007A5D72" w:rsidRDefault="007A5D72" w:rsidP="007A5D72">
      <w:pPr>
        <w:pStyle w:val="SingleTxtG"/>
      </w:pPr>
      <w:r>
        <w:t>3</w:t>
      </w:r>
      <w:r w:rsidR="004C5540">
        <w:t>7</w:t>
      </w:r>
      <w:r>
        <w:t>.</w:t>
      </w:r>
      <w:r>
        <w:tab/>
        <w:t>La faute d’orthographe au 5.3.2.1.8 identifiée dans le document informel INF.18 fera l’objet d’un rectificatif à la version anglaise de l’ADR.</w:t>
      </w:r>
    </w:p>
    <w:p w:rsidR="007A5D72" w:rsidRDefault="007A5D72" w:rsidP="007A5D72">
      <w:pPr>
        <w:pStyle w:val="H23G"/>
        <w:spacing w:before="120"/>
        <w:rPr>
          <w:i/>
          <w:iCs/>
        </w:rPr>
      </w:pPr>
      <w:r>
        <w:rPr>
          <w:lang w:val="fr-FR"/>
        </w:rPr>
        <w:tab/>
        <w:t>11</w:t>
      </w:r>
      <w:r w:rsidRPr="009D22FF">
        <w:rPr>
          <w:lang w:val="fr-FR"/>
        </w:rPr>
        <w:t>.</w:t>
      </w:r>
      <w:r w:rsidRPr="009D22FF">
        <w:rPr>
          <w:lang w:val="fr-FR"/>
        </w:rPr>
        <w:tab/>
      </w:r>
      <w:r>
        <w:t>Chapitre 8.5 – Prescriptions supplémentaires S1 (6), S16 et S21</w:t>
      </w:r>
    </w:p>
    <w:p w:rsidR="007A5D72" w:rsidRDefault="007A5D72" w:rsidP="007A5D72">
      <w:pPr>
        <w:pStyle w:val="SingleTxtG"/>
        <w:ind w:left="3119" w:hanging="1985"/>
        <w:rPr>
          <w:lang w:val="fr-FR"/>
        </w:rPr>
      </w:pPr>
      <w:r w:rsidRPr="005929BA">
        <w:rPr>
          <w:i/>
          <w:lang w:val="fr-FR"/>
        </w:rPr>
        <w:t>Document</w:t>
      </w:r>
      <w:r>
        <w:rPr>
          <w:i/>
          <w:lang w:val="fr-FR"/>
        </w:rPr>
        <w:t> </w:t>
      </w:r>
      <w:r>
        <w:rPr>
          <w:lang w:val="fr-FR"/>
        </w:rPr>
        <w:t>:</w:t>
      </w:r>
      <w:r>
        <w:rPr>
          <w:lang w:val="fr-FR"/>
        </w:rPr>
        <w:tab/>
      </w:r>
      <w:r w:rsidRPr="00047D1A">
        <w:rPr>
          <w:lang w:val="fr-FR"/>
        </w:rPr>
        <w:t>ECE/TRANS/WP.15/</w:t>
      </w:r>
      <w:r>
        <w:rPr>
          <w:lang w:val="fr-FR"/>
        </w:rPr>
        <w:t xml:space="preserve">2019/12 </w:t>
      </w:r>
      <w:r w:rsidRPr="009D22FF">
        <w:rPr>
          <w:lang w:val="fr-FR"/>
        </w:rPr>
        <w:t>(</w:t>
      </w:r>
      <w:r>
        <w:rPr>
          <w:lang w:val="fr-FR"/>
        </w:rPr>
        <w:t>Suède</w:t>
      </w:r>
      <w:r w:rsidRPr="009D22FF">
        <w:rPr>
          <w:lang w:val="fr-FR"/>
        </w:rPr>
        <w:t>)</w:t>
      </w:r>
    </w:p>
    <w:p w:rsidR="007A5D72" w:rsidRDefault="007A5D72" w:rsidP="007A5D72">
      <w:pPr>
        <w:pStyle w:val="SingleTxtG"/>
        <w:ind w:left="3119" w:hanging="1985"/>
        <w:rPr>
          <w:lang w:val="fr-FR"/>
        </w:rPr>
      </w:pPr>
      <w:r w:rsidRPr="005929BA">
        <w:rPr>
          <w:i/>
          <w:lang w:val="fr-FR"/>
        </w:rPr>
        <w:t>Document</w:t>
      </w:r>
      <w:r>
        <w:rPr>
          <w:i/>
          <w:lang w:val="fr-FR"/>
        </w:rPr>
        <w:t xml:space="preserve"> informel </w:t>
      </w:r>
      <w:r>
        <w:rPr>
          <w:lang w:val="fr-FR"/>
        </w:rPr>
        <w:t>:</w:t>
      </w:r>
      <w:r>
        <w:rPr>
          <w:lang w:val="fr-FR"/>
        </w:rPr>
        <w:tab/>
        <w:t>INF.19 (Suisse)</w:t>
      </w:r>
    </w:p>
    <w:p w:rsidR="007A5D72" w:rsidRDefault="007A5D72" w:rsidP="007A5D72">
      <w:pPr>
        <w:pStyle w:val="SingleTxtG"/>
        <w:spacing w:after="60"/>
      </w:pPr>
      <w:r>
        <w:t>3</w:t>
      </w:r>
      <w:r w:rsidR="004C5540">
        <w:t>8</w:t>
      </w:r>
      <w:r>
        <w:t>.</w:t>
      </w:r>
      <w:r>
        <w:tab/>
        <w:t xml:space="preserve">Plusieurs délégations qui se sont prononcées considéraient qu’il était pertinent de faire référence au chapitre 1.10 dans les dispositions relatives à la surveillance dans les prescriptions supplémentaires S1 (6), S16 et S21. Cependant, compte tenu des différences de champs d’application entre les prescriptions S1 (6), S16 et S21 et le 1.10.3, le Groupe de travail a considéré qu’il était souhaitable de reporter la discussion sur ce point à une session ultérieure. Cela permettra notamment de prendre en compte les travaux en cours sur la liste des marchandises dangereuses à haut risque au sein du Sous-Comité </w:t>
      </w:r>
      <w:r w:rsidRPr="00055206">
        <w:t>d’experts du transport des marchandises dangereuses</w:t>
      </w:r>
      <w:r>
        <w:t xml:space="preserve">. </w:t>
      </w:r>
    </w:p>
    <w:p w:rsidR="007A5D72" w:rsidRDefault="007A5D72" w:rsidP="00367F0D">
      <w:pPr>
        <w:pStyle w:val="H23G"/>
        <w:rPr>
          <w:i/>
          <w:iCs/>
        </w:rPr>
      </w:pPr>
      <w:r>
        <w:rPr>
          <w:lang w:val="fr-FR"/>
        </w:rPr>
        <w:lastRenderedPageBreak/>
        <w:tab/>
        <w:t>12</w:t>
      </w:r>
      <w:r w:rsidRPr="009D22FF">
        <w:rPr>
          <w:lang w:val="fr-FR"/>
        </w:rPr>
        <w:t>.</w:t>
      </w:r>
      <w:r w:rsidRPr="009D22FF">
        <w:rPr>
          <w:lang w:val="fr-FR"/>
        </w:rPr>
        <w:tab/>
      </w:r>
      <w:r w:rsidRPr="004D1999">
        <w:rPr>
          <w:lang w:val="fr-FR"/>
        </w:rPr>
        <w:t>Certificat</w:t>
      </w:r>
      <w:r>
        <w:rPr>
          <w:lang w:val="fr-FR"/>
        </w:rPr>
        <w:t>s</w:t>
      </w:r>
      <w:r w:rsidRPr="004D1999">
        <w:rPr>
          <w:lang w:val="fr-FR"/>
        </w:rPr>
        <w:t xml:space="preserve"> de formation du conducteur</w:t>
      </w:r>
      <w:r>
        <w:rPr>
          <w:lang w:val="fr-FR"/>
        </w:rPr>
        <w:t xml:space="preserve"> – 8.2.2.8</w:t>
      </w:r>
    </w:p>
    <w:p w:rsidR="007A5D72" w:rsidRDefault="007A5D72" w:rsidP="00367F0D">
      <w:pPr>
        <w:pStyle w:val="SingleTxtG"/>
        <w:keepNext/>
        <w:keepLines/>
        <w:ind w:left="3119" w:hanging="1985"/>
        <w:rPr>
          <w:lang w:val="fr-FR"/>
        </w:rPr>
      </w:pPr>
      <w:r w:rsidRPr="005929BA">
        <w:rPr>
          <w:i/>
          <w:lang w:val="fr-FR"/>
        </w:rPr>
        <w:t>Document</w:t>
      </w:r>
      <w:r>
        <w:rPr>
          <w:i/>
          <w:lang w:val="fr-FR"/>
        </w:rPr>
        <w:t xml:space="preserve"> informel </w:t>
      </w:r>
      <w:r>
        <w:rPr>
          <w:lang w:val="fr-FR"/>
        </w:rPr>
        <w:t>:</w:t>
      </w:r>
      <w:r>
        <w:rPr>
          <w:lang w:val="fr-FR"/>
        </w:rPr>
        <w:tab/>
        <w:t>INF.4 (CEFIC)</w:t>
      </w:r>
    </w:p>
    <w:p w:rsidR="007A5D72" w:rsidRDefault="007A5D72" w:rsidP="007A5D72">
      <w:pPr>
        <w:pStyle w:val="SingleTxtG"/>
        <w:spacing w:after="60"/>
      </w:pPr>
      <w:r>
        <w:t>3</w:t>
      </w:r>
      <w:r w:rsidR="004C5540">
        <w:t>9</w:t>
      </w:r>
      <w:r>
        <w:t>.</w:t>
      </w:r>
      <w:r>
        <w:tab/>
        <w:t xml:space="preserve">La proposition du CEFIC de demander aux autorités compétentes de transmettre au </w:t>
      </w:r>
      <w:r w:rsidRPr="0045606A">
        <w:t>secrétariat de la CEE-ONU</w:t>
      </w:r>
      <w:r>
        <w:t xml:space="preserve"> des informations sur les </w:t>
      </w:r>
      <w:r w:rsidRPr="0045606A">
        <w:t>élément</w:t>
      </w:r>
      <w:r>
        <w:t>s</w:t>
      </w:r>
      <w:r w:rsidRPr="0045606A">
        <w:t xml:space="preserve"> de sûreté</w:t>
      </w:r>
      <w:r>
        <w:t xml:space="preserve"> des </w:t>
      </w:r>
      <w:r w:rsidRPr="0045606A">
        <w:t>certificat</w:t>
      </w:r>
      <w:r>
        <w:t>s</w:t>
      </w:r>
      <w:r w:rsidRPr="0045606A">
        <w:t xml:space="preserve"> qu’elles </w:t>
      </w:r>
      <w:r>
        <w:t>délivrent, pour</w:t>
      </w:r>
      <w:r w:rsidRPr="0045606A">
        <w:t xml:space="preserve"> information </w:t>
      </w:r>
      <w:r>
        <w:t>des</w:t>
      </w:r>
      <w:r w:rsidRPr="0045606A">
        <w:t xml:space="preserve"> Parties contractantes</w:t>
      </w:r>
      <w:r>
        <w:t>, a suscité de l’intérêt. Le Groupe de travail a invité le représentant du CEFIC à développer cette proposition dans un document officiel pour une prochaine session et a demandé au secrétariat d’étudier les possibilités techniques au niveau du site internet de la CEE-ONU.</w:t>
      </w:r>
    </w:p>
    <w:p w:rsidR="007A5D72" w:rsidRDefault="004C5540" w:rsidP="007A5D72">
      <w:pPr>
        <w:pStyle w:val="SingleTxtG"/>
      </w:pPr>
      <w:r>
        <w:t>40</w:t>
      </w:r>
      <w:r w:rsidR="007A5D72">
        <w:t>.</w:t>
      </w:r>
      <w:r w:rsidR="007A5D72">
        <w:tab/>
        <w:t>Une approche similaire à celle de l’Union européenne pour l’information sur les permis de conduire pourrait être utilisée</w:t>
      </w:r>
      <w:r w:rsidR="007A5D72">
        <w:rPr>
          <w:rStyle w:val="FootnoteReference"/>
        </w:rPr>
        <w:footnoteReference w:id="2"/>
      </w:r>
      <w:r w:rsidR="007A5D72">
        <w:t>.</w:t>
      </w:r>
    </w:p>
    <w:p w:rsidR="007A5D72" w:rsidRDefault="004C5540" w:rsidP="007A5D72">
      <w:pPr>
        <w:pStyle w:val="SingleTxtG"/>
        <w:spacing w:after="60"/>
      </w:pPr>
      <w:r>
        <w:t>41</w:t>
      </w:r>
      <w:r w:rsidR="007A5D72">
        <w:t>.</w:t>
      </w:r>
      <w:r w:rsidR="007A5D72">
        <w:tab/>
        <w:t xml:space="preserve">Il a été rappelé que les </w:t>
      </w:r>
      <w:r w:rsidR="007A5D72" w:rsidRPr="0045606A">
        <w:t>Parties contractantes doivent fournir au secrétariat de la CEE-ONU un exemple type de chaque certificat qu’elles entendent délivrer au niveau national</w:t>
      </w:r>
      <w:r w:rsidR="007A5D72">
        <w:t xml:space="preserve">. Le Groupe de travail a demandé au secrétariat de demander aux pays qui n’ont pas encore transmis de modèle de certificats s’ils en délivrent et de mettre le site internet à jour en conséquence. </w:t>
      </w:r>
    </w:p>
    <w:p w:rsidR="007A5D72" w:rsidRDefault="007A5D72" w:rsidP="007A5D72">
      <w:pPr>
        <w:pStyle w:val="SingleTxtG"/>
        <w:spacing w:after="60"/>
      </w:pPr>
      <w:r>
        <w:t>4</w:t>
      </w:r>
      <w:r w:rsidR="004C5540">
        <w:t>2</w:t>
      </w:r>
      <w:r>
        <w:t>.</w:t>
      </w:r>
      <w:r>
        <w:tab/>
        <w:t>Plusieurs délégations ont également rappelé l’importance d’avoir des informations de contact à jour pour les autorités compétentes afin de garantir les échanges d’information et la coopération entre les Parties contractantes. Le Groupe de travail a invité les autorités compétentes à vérifier et compléter régulièrement les informations publiées sur le site de la CEE-ONU</w:t>
      </w:r>
      <w:r>
        <w:rPr>
          <w:rStyle w:val="FootnoteReference"/>
        </w:rPr>
        <w:footnoteReference w:id="3"/>
      </w:r>
      <w:r>
        <w:t>.</w:t>
      </w:r>
    </w:p>
    <w:p w:rsidR="007A5D72" w:rsidRDefault="007A5D72" w:rsidP="007A5D72">
      <w:pPr>
        <w:pStyle w:val="SingleTxtG"/>
        <w:spacing w:after="60"/>
      </w:pPr>
      <w:r>
        <w:t>4</w:t>
      </w:r>
      <w:r w:rsidR="004C5540">
        <w:t>3</w:t>
      </w:r>
      <w:r>
        <w:t>.</w:t>
      </w:r>
      <w:r>
        <w:tab/>
        <w:t xml:space="preserve">Le Groupe de travail a noté que les dispositions générales du chapitre 1.10 prévoient que les </w:t>
      </w:r>
      <w:r w:rsidRPr="004323A7">
        <w:rPr>
          <w:lang w:val="fr-FR"/>
        </w:rPr>
        <w:t>autorité</w:t>
      </w:r>
      <w:r>
        <w:rPr>
          <w:lang w:val="fr-FR"/>
        </w:rPr>
        <w:t>s</w:t>
      </w:r>
      <w:r w:rsidRPr="004323A7">
        <w:rPr>
          <w:lang w:val="fr-FR"/>
        </w:rPr>
        <w:t xml:space="preserve"> compétente</w:t>
      </w:r>
      <w:r>
        <w:rPr>
          <w:lang w:val="fr-FR"/>
        </w:rPr>
        <w:t>s</w:t>
      </w:r>
      <w:r w:rsidRPr="004323A7">
        <w:rPr>
          <w:lang w:val="fr-FR"/>
        </w:rPr>
        <w:t xml:space="preserve"> doi</w:t>
      </w:r>
      <w:r>
        <w:rPr>
          <w:lang w:val="fr-FR"/>
        </w:rPr>
        <w:t>ven</w:t>
      </w:r>
      <w:r w:rsidRPr="004323A7">
        <w:rPr>
          <w:lang w:val="fr-FR"/>
        </w:rPr>
        <w:t>t maintenir des registres à jour de tous les certificats de formation des conducteurs prévus au 8.2.1, en cours de validité, délivrés par elle ou par un organisme reconnu.</w:t>
      </w:r>
      <w:r>
        <w:t xml:space="preserve"> Le Groupe de travail est convenu qu’il serait intéressant de disposer d’un système d’échange de ces données entre les autorités compétentes et les autorités de contrôle. Le développement d’une telle solution pourrait être discuté dans le cadre des travaux du groupe télématique de la Réunion commune.</w:t>
      </w:r>
    </w:p>
    <w:p w:rsidR="007A5D72" w:rsidRPr="004B4555" w:rsidRDefault="007A5D72" w:rsidP="007A5D72">
      <w:pPr>
        <w:pStyle w:val="H23G"/>
        <w:rPr>
          <w:lang w:val="fr-FR"/>
        </w:rPr>
      </w:pPr>
      <w:r>
        <w:rPr>
          <w:lang w:val="fr-FR"/>
        </w:rPr>
        <w:tab/>
        <w:t>13</w:t>
      </w:r>
      <w:r w:rsidRPr="009D22FF">
        <w:rPr>
          <w:lang w:val="fr-FR"/>
        </w:rPr>
        <w:t>.</w:t>
      </w:r>
      <w:r w:rsidRPr="009D22FF">
        <w:rPr>
          <w:lang w:val="fr-FR"/>
        </w:rPr>
        <w:tab/>
      </w:r>
      <w:r w:rsidRPr="00FE5D52">
        <w:rPr>
          <w:lang w:val="fr-FR"/>
        </w:rPr>
        <w:t>Proposition d'ajustement du volume des réservoirs de carburant installés sur l'unité de transport</w:t>
      </w:r>
    </w:p>
    <w:p w:rsidR="007A5D72" w:rsidRDefault="007A5D72" w:rsidP="007A5D72">
      <w:pPr>
        <w:pStyle w:val="SingleTxtG"/>
        <w:tabs>
          <w:tab w:val="left" w:pos="3400"/>
        </w:tabs>
        <w:ind w:left="2268" w:hanging="1134"/>
        <w:jc w:val="left"/>
        <w:rPr>
          <w:lang w:val="fr-FR"/>
        </w:rPr>
      </w:pPr>
      <w:r w:rsidRPr="0067498A">
        <w:rPr>
          <w:i/>
          <w:lang w:val="fr-FR"/>
        </w:rPr>
        <w:t>Document</w:t>
      </w:r>
      <w:r>
        <w:rPr>
          <w:i/>
          <w:lang w:val="fr-FR"/>
        </w:rPr>
        <w:t xml:space="preserve"> informel </w:t>
      </w:r>
      <w:r w:rsidRPr="0067498A">
        <w:rPr>
          <w:i/>
          <w:lang w:val="fr-FR"/>
        </w:rPr>
        <w:t>:</w:t>
      </w:r>
      <w:r w:rsidRPr="0067498A">
        <w:rPr>
          <w:lang w:val="fr-FR"/>
        </w:rPr>
        <w:tab/>
      </w:r>
      <w:r>
        <w:rPr>
          <w:lang w:val="fr-FR"/>
        </w:rPr>
        <w:t>INF.5 (Bélarus)</w:t>
      </w:r>
    </w:p>
    <w:p w:rsidR="007A5D72" w:rsidRDefault="007A5D72" w:rsidP="007A5D72">
      <w:pPr>
        <w:pStyle w:val="SingleTxtG"/>
        <w:rPr>
          <w:lang w:val="fr-FR"/>
        </w:rPr>
      </w:pPr>
      <w:r>
        <w:rPr>
          <w:lang w:val="fr-FR"/>
        </w:rPr>
        <w:t>44.</w:t>
      </w:r>
      <w:r>
        <w:rPr>
          <w:lang w:val="fr-FR"/>
        </w:rPr>
        <w:tab/>
        <w:t xml:space="preserve">Il a été rappelé qu’une proposition similaire avait déjà été discutée lors de la </w:t>
      </w:r>
      <w:r w:rsidRPr="00471463">
        <w:rPr>
          <w:lang w:val="fr-FR"/>
        </w:rPr>
        <w:t>quatre-vingt-</w:t>
      </w:r>
      <w:r w:rsidRPr="004E1E4E">
        <w:rPr>
          <w:lang w:val="fr-FR"/>
        </w:rPr>
        <w:t xml:space="preserve">douzième </w:t>
      </w:r>
      <w:r w:rsidRPr="00471463">
        <w:rPr>
          <w:lang w:val="fr-FR"/>
        </w:rPr>
        <w:t>session</w:t>
      </w:r>
      <w:r>
        <w:rPr>
          <w:lang w:val="fr-FR"/>
        </w:rPr>
        <w:t xml:space="preserve"> du Groupe de travail (</w:t>
      </w:r>
      <w:r w:rsidRPr="00471463">
        <w:rPr>
          <w:lang w:val="fr-FR"/>
        </w:rPr>
        <w:t>8 au 10 mai 2012</w:t>
      </w:r>
      <w:r>
        <w:rPr>
          <w:lang w:val="fr-FR"/>
        </w:rPr>
        <w:t xml:space="preserve">). Les délégations qui s’étaient prononcées à cette session n'étaient pas favorables à la proposition de l'Espagne d'augmenter la capacité totale maximale des réservoirs permettant l'application des exemptions prévues au 1.1.3.3 a), et ce même en limitant cet amendement aux </w:t>
      </w:r>
      <w:r w:rsidRPr="00317257">
        <w:rPr>
          <w:lang w:val="fr-FR"/>
        </w:rPr>
        <w:t>remorque</w:t>
      </w:r>
      <w:r>
        <w:rPr>
          <w:lang w:val="fr-FR"/>
        </w:rPr>
        <w:t>s</w:t>
      </w:r>
      <w:r w:rsidRPr="00317257">
        <w:rPr>
          <w:lang w:val="fr-FR"/>
        </w:rPr>
        <w:t xml:space="preserve"> ou semi-remorque</w:t>
      </w:r>
      <w:r>
        <w:rPr>
          <w:lang w:val="fr-FR"/>
        </w:rPr>
        <w:t>s</w:t>
      </w:r>
      <w:r w:rsidRPr="00317257">
        <w:rPr>
          <w:lang w:val="fr-FR"/>
        </w:rPr>
        <w:t xml:space="preserve"> frigorifique</w:t>
      </w:r>
      <w:r>
        <w:rPr>
          <w:lang w:val="fr-FR"/>
        </w:rPr>
        <w:t xml:space="preserve">s (voir aussi </w:t>
      </w:r>
      <w:r>
        <w:t>ECE/TRANS/WP.15/215, paragraphes 41 à 43</w:t>
      </w:r>
      <w:r>
        <w:rPr>
          <w:lang w:val="fr-FR"/>
        </w:rPr>
        <w:t>).</w:t>
      </w:r>
    </w:p>
    <w:p w:rsidR="007A5D72" w:rsidRDefault="007A5D72" w:rsidP="007A5D72">
      <w:pPr>
        <w:pStyle w:val="SingleTxtG"/>
        <w:rPr>
          <w:lang w:val="fr-FR"/>
        </w:rPr>
      </w:pPr>
      <w:r>
        <w:rPr>
          <w:lang w:val="fr-FR"/>
        </w:rPr>
        <w:t>45.</w:t>
      </w:r>
      <w:r>
        <w:rPr>
          <w:lang w:val="fr-FR"/>
        </w:rPr>
        <w:tab/>
        <w:t xml:space="preserve">Les délégations qui se sont prononcées sur la proposition du Bélarus, considéraient qu’il n’y avait pas de nouveaux arguments, du point de vue de la sécurité, en faveur d’une augmentation de cette limite. Plusieurs délégations ont relevé que les arguments devraient tenir compte des exemptions plus récentes de l’ADR, comme le 1.1.3.2 a) pour les gaz et la disposition spéciale 363 pour les moteurs et machines basées sur des limites équivalentes ou inférieures à celle du 1.1.3.3 a). </w:t>
      </w:r>
    </w:p>
    <w:p w:rsidR="007A5D72" w:rsidRDefault="007A5D72" w:rsidP="007A5D72">
      <w:pPr>
        <w:pStyle w:val="SingleTxtG"/>
        <w:rPr>
          <w:lang w:val="fr-FR"/>
        </w:rPr>
      </w:pPr>
      <w:r>
        <w:rPr>
          <w:lang w:val="fr-FR"/>
        </w:rPr>
        <w:t>46.</w:t>
      </w:r>
      <w:r>
        <w:rPr>
          <w:lang w:val="fr-FR"/>
        </w:rPr>
        <w:tab/>
        <w:t>Le représentant du Bélarus a pris note des réserves formulées et a indiqué qu’il présentera un document officiel sur ce sujet à une prochaine session.</w:t>
      </w:r>
    </w:p>
    <w:p w:rsidR="007A5D72" w:rsidRPr="004B4555" w:rsidRDefault="007A5D72" w:rsidP="00367F0D">
      <w:pPr>
        <w:pStyle w:val="H23G"/>
        <w:rPr>
          <w:lang w:val="fr-FR"/>
        </w:rPr>
      </w:pPr>
      <w:r>
        <w:rPr>
          <w:lang w:val="fr-FR"/>
        </w:rPr>
        <w:lastRenderedPageBreak/>
        <w:tab/>
        <w:t>14</w:t>
      </w:r>
      <w:r w:rsidRPr="009D22FF">
        <w:rPr>
          <w:lang w:val="fr-FR"/>
        </w:rPr>
        <w:t>.</w:t>
      </w:r>
      <w:r w:rsidRPr="009D22FF">
        <w:rPr>
          <w:lang w:val="fr-FR"/>
        </w:rPr>
        <w:tab/>
      </w:r>
      <w:r w:rsidRPr="00FE5D52">
        <w:rPr>
          <w:lang w:val="fr-FR"/>
        </w:rPr>
        <w:t>Proposition</w:t>
      </w:r>
      <w:r>
        <w:rPr>
          <w:lang w:val="fr-FR"/>
        </w:rPr>
        <w:t>s</w:t>
      </w:r>
      <w:r w:rsidRPr="00FE5D52">
        <w:rPr>
          <w:lang w:val="fr-FR"/>
        </w:rPr>
        <w:t xml:space="preserve"> </w:t>
      </w:r>
      <w:r>
        <w:rPr>
          <w:lang w:val="fr-FR"/>
        </w:rPr>
        <w:t>de modification du 1.1.3.1</w:t>
      </w:r>
    </w:p>
    <w:p w:rsidR="007A5D72" w:rsidRDefault="007A5D72" w:rsidP="00367F0D">
      <w:pPr>
        <w:pStyle w:val="SingleTxtG"/>
        <w:keepNext/>
        <w:keepLines/>
        <w:tabs>
          <w:tab w:val="left" w:pos="3400"/>
        </w:tabs>
        <w:ind w:left="2268" w:hanging="1134"/>
        <w:jc w:val="left"/>
        <w:rPr>
          <w:lang w:val="fr-FR"/>
        </w:rPr>
      </w:pPr>
      <w:r w:rsidRPr="0067498A">
        <w:rPr>
          <w:i/>
          <w:lang w:val="fr-FR"/>
        </w:rPr>
        <w:t>Document</w:t>
      </w:r>
      <w:r>
        <w:rPr>
          <w:i/>
          <w:lang w:val="fr-FR"/>
        </w:rPr>
        <w:t>s informels </w:t>
      </w:r>
      <w:r w:rsidRPr="0067498A">
        <w:rPr>
          <w:i/>
          <w:lang w:val="fr-FR"/>
        </w:rPr>
        <w:t>:</w:t>
      </w:r>
      <w:r w:rsidRPr="0067498A">
        <w:rPr>
          <w:lang w:val="fr-FR"/>
        </w:rPr>
        <w:tab/>
      </w:r>
      <w:r>
        <w:rPr>
          <w:lang w:val="fr-FR"/>
        </w:rPr>
        <w:t>INF.9 (Luxembourg), INF.10 (Luxembourg)</w:t>
      </w:r>
    </w:p>
    <w:p w:rsidR="007A5D72" w:rsidRDefault="007A5D72" w:rsidP="007A5D72">
      <w:pPr>
        <w:pStyle w:val="SingleTxtG"/>
        <w:rPr>
          <w:lang w:val="fr-FR"/>
        </w:rPr>
      </w:pPr>
      <w:r>
        <w:rPr>
          <w:lang w:val="fr-FR"/>
        </w:rPr>
        <w:t>47.</w:t>
      </w:r>
      <w:r>
        <w:rPr>
          <w:lang w:val="fr-FR"/>
        </w:rPr>
        <w:tab/>
        <w:t xml:space="preserve">Les délégations qui se sont prononcées considéraient que le texte du 1.1.3.1 méritait d’être clarifié dans son ensemble et qu’il faudrait que ce point soit discuté au sein de la Réunion commune RID/ADR/ADN. </w:t>
      </w:r>
    </w:p>
    <w:p w:rsidR="007A5D72" w:rsidRDefault="007A5D72" w:rsidP="007A5D72">
      <w:pPr>
        <w:pStyle w:val="SingleTxtG"/>
        <w:rPr>
          <w:lang w:val="fr-FR"/>
        </w:rPr>
      </w:pPr>
      <w:r>
        <w:rPr>
          <w:lang w:val="fr-FR"/>
        </w:rPr>
        <w:t>48.</w:t>
      </w:r>
      <w:r>
        <w:rPr>
          <w:lang w:val="fr-FR"/>
        </w:rPr>
        <w:tab/>
        <w:t xml:space="preserve">Le représentant du Luxembourg a pris note des commentaires formulés lors de la discussion au sein du Groupe de travail et les prendra en considération dans l’élaboration d’un document pour la Réunion commune. </w:t>
      </w:r>
    </w:p>
    <w:p w:rsidR="007A5D72" w:rsidRDefault="007A5D72" w:rsidP="007A5D72">
      <w:pPr>
        <w:pStyle w:val="HChG"/>
        <w:spacing w:before="320" w:after="200"/>
        <w:rPr>
          <w:i/>
          <w:iCs/>
          <w:lang w:val="fr-FR"/>
        </w:rPr>
      </w:pPr>
      <w:r>
        <w:rPr>
          <w:lang w:val="fr-FR"/>
        </w:rPr>
        <w:tab/>
        <w:t>VIII.</w:t>
      </w:r>
      <w:r>
        <w:rPr>
          <w:lang w:val="fr-FR"/>
        </w:rPr>
        <w:tab/>
        <w:t>Interprétation</w:t>
      </w:r>
      <w:r w:rsidRPr="009D22FF">
        <w:rPr>
          <w:lang w:val="fr-FR"/>
        </w:rPr>
        <w:t xml:space="preserve"> de l’ADR (point </w:t>
      </w:r>
      <w:r>
        <w:rPr>
          <w:lang w:val="fr-FR"/>
        </w:rPr>
        <w:t>7</w:t>
      </w:r>
      <w:r w:rsidRPr="009D22FF">
        <w:rPr>
          <w:lang w:val="fr-FR"/>
        </w:rPr>
        <w:t xml:space="preserve"> de l’ordre du jour)</w:t>
      </w:r>
      <w:r>
        <w:rPr>
          <w:lang w:val="fr-FR"/>
        </w:rPr>
        <w:t xml:space="preserve"> </w:t>
      </w:r>
    </w:p>
    <w:p w:rsidR="007A5D72" w:rsidRPr="00005182" w:rsidRDefault="007A5D72" w:rsidP="007A5D72">
      <w:pPr>
        <w:pStyle w:val="H23G"/>
        <w:rPr>
          <w:lang w:val="fr-FR"/>
        </w:rPr>
      </w:pPr>
      <w:r>
        <w:rPr>
          <w:lang w:val="fr-FR"/>
        </w:rPr>
        <w:tab/>
        <w:t>1.</w:t>
      </w:r>
      <w:r>
        <w:rPr>
          <w:lang w:val="fr-FR"/>
        </w:rPr>
        <w:tab/>
      </w:r>
      <w:r w:rsidRPr="00005182">
        <w:rPr>
          <w:lang w:val="fr-FR"/>
        </w:rPr>
        <w:t>Interprétation des exigences relatives à l'isolation thermique du 7.1.7.4.5</w:t>
      </w:r>
    </w:p>
    <w:p w:rsidR="007A5D72" w:rsidRDefault="007A5D72" w:rsidP="007A5D72">
      <w:pPr>
        <w:pStyle w:val="SingleTxtG"/>
        <w:tabs>
          <w:tab w:val="left" w:pos="3400"/>
        </w:tabs>
        <w:ind w:left="2268" w:hanging="1134"/>
        <w:jc w:val="left"/>
        <w:rPr>
          <w:lang w:val="fr-FR"/>
        </w:rPr>
      </w:pPr>
      <w:r w:rsidRPr="0067498A">
        <w:rPr>
          <w:i/>
          <w:lang w:val="fr-FR"/>
        </w:rPr>
        <w:t>Document</w:t>
      </w:r>
      <w:r>
        <w:rPr>
          <w:i/>
          <w:lang w:val="fr-FR"/>
        </w:rPr>
        <w:t xml:space="preserve"> informel </w:t>
      </w:r>
      <w:r w:rsidRPr="0067498A">
        <w:rPr>
          <w:i/>
          <w:lang w:val="fr-FR"/>
        </w:rPr>
        <w:t>:</w:t>
      </w:r>
      <w:r w:rsidRPr="0067498A">
        <w:rPr>
          <w:lang w:val="fr-FR"/>
        </w:rPr>
        <w:tab/>
      </w:r>
      <w:r>
        <w:rPr>
          <w:lang w:val="fr-FR"/>
        </w:rPr>
        <w:t>INF.3 (Pays-Bas)</w:t>
      </w:r>
    </w:p>
    <w:p w:rsidR="007A5D72" w:rsidRDefault="007A5D72" w:rsidP="007A5D72">
      <w:pPr>
        <w:pStyle w:val="SingleTxtG"/>
      </w:pPr>
      <w:r>
        <w:t>49</w:t>
      </w:r>
      <w:r w:rsidRPr="00005182">
        <w:t>.</w:t>
      </w:r>
      <w:r w:rsidRPr="00005182">
        <w:tab/>
      </w:r>
      <w:r>
        <w:t xml:space="preserve">Le Groupe de travail a confirmé que les méthodes visant à empêcher un dépassement de la température de régulation listées aux alinéas c), d) et e) du 7.1.7.4.5 concernaient bien l’isolation thermique des véhicules et conteneurs et non pas l’isolation thermique des colis. </w:t>
      </w:r>
    </w:p>
    <w:p w:rsidR="007A5D72" w:rsidRPr="00005182" w:rsidRDefault="007A5D72" w:rsidP="007A5D72">
      <w:pPr>
        <w:pStyle w:val="H23G"/>
        <w:rPr>
          <w:lang w:val="fr-FR"/>
        </w:rPr>
      </w:pPr>
      <w:r>
        <w:rPr>
          <w:lang w:val="fr-FR"/>
        </w:rPr>
        <w:tab/>
        <w:t>2.</w:t>
      </w:r>
      <w:r>
        <w:rPr>
          <w:lang w:val="fr-FR"/>
        </w:rPr>
        <w:tab/>
      </w:r>
      <w:r w:rsidRPr="001E6DD8">
        <w:rPr>
          <w:rFonts w:ascii="Times New Roman Gras" w:hAnsi="Times New Roman Gras"/>
          <w:spacing w:val="-3"/>
          <w:lang w:val="fr-FR"/>
        </w:rPr>
        <w:t xml:space="preserve">Utilisation d'une unité de transport comprenant un </w:t>
      </w:r>
      <w:r>
        <w:rPr>
          <w:rFonts w:ascii="Times New Roman Gras" w:hAnsi="Times New Roman Gras"/>
          <w:spacing w:val="-3"/>
          <w:lang w:val="fr-FR"/>
        </w:rPr>
        <w:t>avant-train (</w:t>
      </w:r>
      <w:proofErr w:type="spellStart"/>
      <w:r>
        <w:rPr>
          <w:rFonts w:ascii="Times New Roman Gras" w:hAnsi="Times New Roman Gras"/>
          <w:spacing w:val="-3"/>
          <w:lang w:val="fr-FR"/>
        </w:rPr>
        <w:t>dolly</w:t>
      </w:r>
      <w:proofErr w:type="spellEnd"/>
      <w:r>
        <w:rPr>
          <w:rFonts w:ascii="Times New Roman Gras" w:hAnsi="Times New Roman Gras"/>
          <w:spacing w:val="-3"/>
          <w:lang w:val="fr-FR"/>
        </w:rPr>
        <w:t xml:space="preserve">) pour un transport suivant le </w:t>
      </w:r>
      <w:r w:rsidRPr="001E6DD8">
        <w:rPr>
          <w:rFonts w:ascii="Times New Roman Gras" w:hAnsi="Times New Roman Gras"/>
          <w:spacing w:val="-3"/>
          <w:lang w:val="fr-FR"/>
        </w:rPr>
        <w:t>1.1.3.6</w:t>
      </w:r>
    </w:p>
    <w:p w:rsidR="007A5D72" w:rsidRDefault="007A5D72" w:rsidP="007A5D72">
      <w:pPr>
        <w:pStyle w:val="SingleTxtG"/>
        <w:tabs>
          <w:tab w:val="left" w:pos="3400"/>
        </w:tabs>
        <w:ind w:left="2268" w:hanging="1134"/>
        <w:jc w:val="left"/>
        <w:rPr>
          <w:lang w:val="fr-FR"/>
        </w:rPr>
      </w:pPr>
      <w:r w:rsidRPr="0067498A">
        <w:rPr>
          <w:i/>
          <w:lang w:val="fr-FR"/>
        </w:rPr>
        <w:t>Document</w:t>
      </w:r>
      <w:r>
        <w:rPr>
          <w:i/>
          <w:lang w:val="fr-FR"/>
        </w:rPr>
        <w:t xml:space="preserve"> informel </w:t>
      </w:r>
      <w:r w:rsidRPr="0067498A">
        <w:rPr>
          <w:i/>
          <w:lang w:val="fr-FR"/>
        </w:rPr>
        <w:t>:</w:t>
      </w:r>
      <w:r w:rsidRPr="0067498A">
        <w:rPr>
          <w:lang w:val="fr-FR"/>
        </w:rPr>
        <w:tab/>
      </w:r>
      <w:r>
        <w:rPr>
          <w:lang w:val="fr-FR"/>
        </w:rPr>
        <w:t>INF.8 (France)</w:t>
      </w:r>
    </w:p>
    <w:p w:rsidR="007A5D72" w:rsidRDefault="007A5D72" w:rsidP="007A5D72">
      <w:pPr>
        <w:pStyle w:val="SingleTxtG"/>
      </w:pPr>
      <w:r>
        <w:t>50</w:t>
      </w:r>
      <w:r w:rsidRPr="00005182">
        <w:t>.</w:t>
      </w:r>
      <w:r w:rsidRPr="00005182">
        <w:tab/>
      </w:r>
      <w:r>
        <w:t xml:space="preserve">Les délégations qui se sont prononcées ont confirmé que les ensembles constitués de véhicules auxquels étaient attelé </w:t>
      </w:r>
      <w:proofErr w:type="gramStart"/>
      <w:r>
        <w:t xml:space="preserve">un </w:t>
      </w:r>
      <w:r w:rsidR="00FD7A2A">
        <w:t>Dolly</w:t>
      </w:r>
      <w:proofErr w:type="gramEnd"/>
      <w:r>
        <w:t xml:space="preserve"> avec semi-remorque ne correspondaient pas à la définition d’unité de transport de l’ADR. En conséquence, elles estimaient que l’ADR ne permettait pas l’utilisation de </w:t>
      </w:r>
      <w:r w:rsidR="00FD7A2A">
        <w:t>Dolly</w:t>
      </w:r>
      <w:r>
        <w:t>, même dans le cadre des transports sous 1.1.3.6.</w:t>
      </w:r>
    </w:p>
    <w:p w:rsidR="007A5D72" w:rsidRDefault="007A5D72" w:rsidP="007A5D72">
      <w:pPr>
        <w:pStyle w:val="SingleTxtG"/>
      </w:pPr>
      <w:r>
        <w:t>51.</w:t>
      </w:r>
      <w:r>
        <w:tab/>
        <w:t xml:space="preserve">Le Groupe de travail a noté que la directive européenne </w:t>
      </w:r>
      <w:r w:rsidRPr="004B7FEB">
        <w:t>2007/46/CE</w:t>
      </w:r>
      <w:r>
        <w:t xml:space="preserve"> telle que modifiée contenait maintenant la définition de </w:t>
      </w:r>
      <w:r w:rsidR="00FD7A2A">
        <w:t>Dolly</w:t>
      </w:r>
      <w:r>
        <w:t xml:space="preserve"> (« </w:t>
      </w:r>
      <w:r w:rsidRPr="004B7FEB">
        <w:t>on appelle Dolly un véhicule de la catégorie O équipé d'une sellette d'attelage pour supporter une semi-remorque en vue de convertir cette dernière en une remorque</w:t>
      </w:r>
      <w:r>
        <w:t xml:space="preserve"> ») et que la </w:t>
      </w:r>
      <w:r w:rsidRPr="001B3FC0">
        <w:t>Résolution d'ensemble sur la Construction des véhicules (R.E.3)</w:t>
      </w:r>
      <w:r>
        <w:t xml:space="preserve"> ne prend pas ces combinaisons de véhicules en considération. </w:t>
      </w:r>
    </w:p>
    <w:p w:rsidR="007A5D72" w:rsidRPr="00005182" w:rsidRDefault="007A5D72" w:rsidP="007A5D72">
      <w:pPr>
        <w:pStyle w:val="H23G"/>
        <w:rPr>
          <w:lang w:val="fr-FR"/>
        </w:rPr>
      </w:pPr>
      <w:r>
        <w:rPr>
          <w:lang w:val="fr-FR"/>
        </w:rPr>
        <w:tab/>
        <w:t>3.</w:t>
      </w:r>
      <w:r>
        <w:rPr>
          <w:lang w:val="fr-FR"/>
        </w:rPr>
        <w:tab/>
      </w:r>
      <w:r w:rsidRPr="00E851AE">
        <w:rPr>
          <w:rFonts w:ascii="Times New Roman Gras" w:hAnsi="Times New Roman Gras"/>
          <w:spacing w:val="-3"/>
          <w:lang w:val="fr-FR"/>
        </w:rPr>
        <w:t>Certificat d’agrément des véhicules</w:t>
      </w:r>
    </w:p>
    <w:p w:rsidR="007A5D72" w:rsidRDefault="007A5D72" w:rsidP="007A5D72">
      <w:pPr>
        <w:pStyle w:val="SingleTxtG"/>
        <w:tabs>
          <w:tab w:val="left" w:pos="3400"/>
        </w:tabs>
        <w:ind w:left="2268" w:hanging="1134"/>
        <w:jc w:val="left"/>
        <w:rPr>
          <w:lang w:val="fr-FR"/>
        </w:rPr>
      </w:pPr>
      <w:r w:rsidRPr="0067498A">
        <w:rPr>
          <w:i/>
          <w:lang w:val="fr-FR"/>
        </w:rPr>
        <w:t>Document</w:t>
      </w:r>
      <w:r>
        <w:rPr>
          <w:i/>
          <w:lang w:val="fr-FR"/>
        </w:rPr>
        <w:t xml:space="preserve"> informel </w:t>
      </w:r>
      <w:r w:rsidRPr="0067498A">
        <w:rPr>
          <w:i/>
          <w:lang w:val="fr-FR"/>
        </w:rPr>
        <w:t>:</w:t>
      </w:r>
      <w:r w:rsidRPr="0067498A">
        <w:rPr>
          <w:lang w:val="fr-FR"/>
        </w:rPr>
        <w:tab/>
      </w:r>
      <w:r>
        <w:rPr>
          <w:lang w:val="fr-FR"/>
        </w:rPr>
        <w:t>INF.11 (</w:t>
      </w:r>
      <w:r w:rsidRPr="00DF55AB">
        <w:rPr>
          <w:lang w:val="fr-FR"/>
        </w:rPr>
        <w:t>Lettonie</w:t>
      </w:r>
      <w:r>
        <w:rPr>
          <w:lang w:val="fr-FR"/>
        </w:rPr>
        <w:t>)</w:t>
      </w:r>
    </w:p>
    <w:p w:rsidR="007A5D72" w:rsidRDefault="007A5D72" w:rsidP="007A5D72">
      <w:pPr>
        <w:pStyle w:val="SingleTxtG"/>
      </w:pPr>
      <w:r w:rsidRPr="00E851AE">
        <w:t>52.</w:t>
      </w:r>
      <w:r w:rsidRPr="00E851AE">
        <w:tab/>
      </w:r>
      <w:r>
        <w:t xml:space="preserve">Le Groupe de travail a confirmé que les certificats devaient reprendre tous les points prévus suivant le modèle du 9.1.3.5 y compris les points qui n’étaient pas applicables. </w:t>
      </w:r>
    </w:p>
    <w:p w:rsidR="007A5D72" w:rsidRDefault="007A5D72" w:rsidP="007A5D72">
      <w:pPr>
        <w:pStyle w:val="SingleTxtG"/>
      </w:pPr>
      <w:r>
        <w:t>53.</w:t>
      </w:r>
      <w:r>
        <w:tab/>
        <w:t>Le Groupe de travail a noté que le No 13 ne figurait pas sur les certificats émis en Lettonie. Le Groupe de travail a invité la Lettonie à intégrer ce point dès que possible dans les nouveaux certificats. En attendant, les certificats émis sans le No 13 pourraient encore être utilisés.</w:t>
      </w:r>
    </w:p>
    <w:p w:rsidR="007A5D72" w:rsidRDefault="007A5D72" w:rsidP="007A5D72">
      <w:pPr>
        <w:pStyle w:val="SingleTxtG"/>
      </w:pPr>
      <w:r>
        <w:t>54.</w:t>
      </w:r>
      <w:r>
        <w:tab/>
        <w:t xml:space="preserve">La discussion a été l’occasion de souligner que le modèle de certificat du 9.1.3.5 pourrait être simplifié et mieux protégé contre la falsification. Il a été noté que la diagonale rose avait été prescrite comme mesure contre la copie mais que cette mesure n’était plus suffisante avec les moyens d’impression modernes. </w:t>
      </w:r>
    </w:p>
    <w:p w:rsidR="007A5D72" w:rsidRPr="00005182" w:rsidRDefault="007A5D72" w:rsidP="007A5D72">
      <w:pPr>
        <w:pStyle w:val="H23G"/>
        <w:rPr>
          <w:lang w:val="fr-FR"/>
        </w:rPr>
      </w:pPr>
      <w:r>
        <w:rPr>
          <w:lang w:val="fr-FR"/>
        </w:rPr>
        <w:tab/>
        <w:t>4.</w:t>
      </w:r>
      <w:r>
        <w:rPr>
          <w:lang w:val="fr-FR"/>
        </w:rPr>
        <w:tab/>
      </w:r>
      <w:r w:rsidRPr="00CC1860">
        <w:rPr>
          <w:rFonts w:ascii="Times New Roman Gras" w:hAnsi="Times New Roman Gras"/>
          <w:spacing w:val="-3"/>
          <w:lang w:val="fr-FR"/>
        </w:rPr>
        <w:t>Restrictions de circulation en tunnels</w:t>
      </w:r>
    </w:p>
    <w:p w:rsidR="007A5D72" w:rsidRDefault="007A5D72" w:rsidP="007A5D72">
      <w:pPr>
        <w:pStyle w:val="SingleTxtG"/>
        <w:tabs>
          <w:tab w:val="left" w:pos="3400"/>
        </w:tabs>
        <w:ind w:left="2268" w:hanging="1134"/>
        <w:jc w:val="left"/>
        <w:rPr>
          <w:lang w:val="fr-FR"/>
        </w:rPr>
      </w:pPr>
      <w:r w:rsidRPr="0067498A">
        <w:rPr>
          <w:i/>
          <w:lang w:val="fr-FR"/>
        </w:rPr>
        <w:t>Document</w:t>
      </w:r>
      <w:r>
        <w:rPr>
          <w:i/>
          <w:lang w:val="fr-FR"/>
        </w:rPr>
        <w:t xml:space="preserve"> informel </w:t>
      </w:r>
      <w:r w:rsidRPr="0067498A">
        <w:rPr>
          <w:i/>
          <w:lang w:val="fr-FR"/>
        </w:rPr>
        <w:t>:</w:t>
      </w:r>
      <w:r w:rsidRPr="0067498A">
        <w:rPr>
          <w:lang w:val="fr-FR"/>
        </w:rPr>
        <w:tab/>
      </w:r>
      <w:r>
        <w:rPr>
          <w:lang w:val="fr-FR"/>
        </w:rPr>
        <w:t>INF.13 (France)</w:t>
      </w:r>
    </w:p>
    <w:p w:rsidR="007A5D72" w:rsidRDefault="007A5D72" w:rsidP="007A5D72">
      <w:pPr>
        <w:pStyle w:val="SingleTxtG"/>
      </w:pPr>
      <w:r>
        <w:t>55.</w:t>
      </w:r>
      <w:r>
        <w:tab/>
        <w:t xml:space="preserve">Le Groupe de travail a confirmé que le passage en tunnel des véhicules contenant des marchandises dangereuses, autres que les Nos ONU 2919 et 3331, pour lesquelles </w:t>
      </w:r>
      <w:proofErr w:type="gramStart"/>
      <w:r w:rsidR="004C5540" w:rsidRPr="00487995">
        <w:t>“(</w:t>
      </w:r>
      <w:proofErr w:type="gramEnd"/>
      <w:r w:rsidR="004C5540" w:rsidRPr="00487995">
        <w:t>-)”</w:t>
      </w:r>
      <w:r>
        <w:t xml:space="preserve"> est indiqué au lieu d'un code de restriction en tunnels en colonne (15) du tableau A du chapitre 3.2 ne pouvait faire l’objet de restrictions pour des raisons de sécurité. </w:t>
      </w:r>
    </w:p>
    <w:p w:rsidR="007A5D72" w:rsidRPr="00005182" w:rsidRDefault="007A5D72" w:rsidP="007A5D72">
      <w:pPr>
        <w:pStyle w:val="H23G"/>
        <w:rPr>
          <w:lang w:val="fr-FR"/>
        </w:rPr>
      </w:pPr>
      <w:r>
        <w:rPr>
          <w:lang w:val="fr-FR"/>
        </w:rPr>
        <w:lastRenderedPageBreak/>
        <w:tab/>
        <w:t>5.</w:t>
      </w:r>
      <w:r>
        <w:rPr>
          <w:lang w:val="fr-FR"/>
        </w:rPr>
        <w:tab/>
      </w:r>
      <w:r>
        <w:rPr>
          <w:rFonts w:ascii="Times New Roman Gras" w:hAnsi="Times New Roman Gras"/>
          <w:spacing w:val="-3"/>
          <w:lang w:val="fr-FR"/>
        </w:rPr>
        <w:t>Codification des citernes</w:t>
      </w:r>
    </w:p>
    <w:p w:rsidR="007A5D72" w:rsidRDefault="007A5D72" w:rsidP="007A5D72">
      <w:pPr>
        <w:pStyle w:val="SingleTxtG"/>
        <w:tabs>
          <w:tab w:val="left" w:pos="3400"/>
        </w:tabs>
        <w:ind w:left="2268" w:hanging="1134"/>
        <w:jc w:val="left"/>
        <w:rPr>
          <w:lang w:val="fr-FR"/>
        </w:rPr>
      </w:pPr>
      <w:r w:rsidRPr="0067498A">
        <w:rPr>
          <w:i/>
          <w:lang w:val="fr-FR"/>
        </w:rPr>
        <w:t>Document</w:t>
      </w:r>
      <w:r>
        <w:rPr>
          <w:i/>
          <w:lang w:val="fr-FR"/>
        </w:rPr>
        <w:t xml:space="preserve"> informel </w:t>
      </w:r>
      <w:r w:rsidRPr="0067498A">
        <w:rPr>
          <w:i/>
          <w:lang w:val="fr-FR"/>
        </w:rPr>
        <w:t>:</w:t>
      </w:r>
      <w:r w:rsidRPr="0067498A">
        <w:rPr>
          <w:lang w:val="fr-FR"/>
        </w:rPr>
        <w:tab/>
      </w:r>
      <w:r>
        <w:rPr>
          <w:lang w:val="fr-FR"/>
        </w:rPr>
        <w:t>INF.16 (Pologne)</w:t>
      </w:r>
    </w:p>
    <w:p w:rsidR="007A5D72" w:rsidRPr="00CC1860" w:rsidRDefault="007A5D72" w:rsidP="007A5D72">
      <w:pPr>
        <w:pStyle w:val="SingleTxtG"/>
      </w:pPr>
      <w:r>
        <w:t>56.</w:t>
      </w:r>
      <w:r>
        <w:tab/>
      </w:r>
      <w:r>
        <w:rPr>
          <w:lang w:val="fr-FR"/>
        </w:rPr>
        <w:t xml:space="preserve">Le représentant de la Pologne a pris note des commentaires formulés lors de la discussion. Il </w:t>
      </w:r>
      <w:r w:rsidR="0094202E" w:rsidRPr="0094202E">
        <w:rPr>
          <w:lang w:val="fr-FR"/>
        </w:rPr>
        <w:t xml:space="preserve">s'est proposé de soumettre </w:t>
      </w:r>
      <w:r>
        <w:rPr>
          <w:lang w:val="fr-FR"/>
        </w:rPr>
        <w:t>son document à la Réunion commune pour examen par le Groupe de travail des citernes.</w:t>
      </w:r>
      <w:r>
        <w:t xml:space="preserve">  </w:t>
      </w:r>
    </w:p>
    <w:p w:rsidR="007A5D72" w:rsidRPr="00F078D1" w:rsidRDefault="007A5D72" w:rsidP="007A5D72">
      <w:pPr>
        <w:pStyle w:val="HChG"/>
        <w:rPr>
          <w:lang w:val="fr-FR"/>
        </w:rPr>
      </w:pPr>
      <w:r w:rsidRPr="00F078D1">
        <w:rPr>
          <w:lang w:val="fr-FR"/>
        </w:rPr>
        <w:tab/>
      </w:r>
      <w:r>
        <w:rPr>
          <w:lang w:val="fr-FR"/>
        </w:rPr>
        <w:t>IX</w:t>
      </w:r>
      <w:r w:rsidRPr="00F078D1">
        <w:rPr>
          <w:lang w:val="fr-FR"/>
        </w:rPr>
        <w:t>.</w:t>
      </w:r>
      <w:r w:rsidRPr="00F078D1">
        <w:rPr>
          <w:lang w:val="fr-FR"/>
        </w:rPr>
        <w:tab/>
        <w:t xml:space="preserve">Programme de travail (point </w:t>
      </w:r>
      <w:r>
        <w:rPr>
          <w:lang w:val="fr-FR"/>
        </w:rPr>
        <w:t>8</w:t>
      </w:r>
      <w:r w:rsidRPr="00F078D1">
        <w:rPr>
          <w:lang w:val="fr-FR"/>
        </w:rPr>
        <w:t xml:space="preserve"> de l’ordre du jour)</w:t>
      </w:r>
    </w:p>
    <w:p w:rsidR="007A5D72" w:rsidRPr="00F078D1" w:rsidRDefault="007A5D72" w:rsidP="007A5D72">
      <w:pPr>
        <w:pStyle w:val="SingleTxtG"/>
        <w:rPr>
          <w:lang w:val="fr-FR"/>
        </w:rPr>
      </w:pPr>
      <w:r>
        <w:rPr>
          <w:lang w:val="fr-FR"/>
        </w:rPr>
        <w:t>57</w:t>
      </w:r>
      <w:r w:rsidRPr="00F078D1">
        <w:rPr>
          <w:lang w:val="fr-FR"/>
        </w:rPr>
        <w:t>.</w:t>
      </w:r>
      <w:r w:rsidRPr="00F078D1">
        <w:rPr>
          <w:lang w:val="fr-FR"/>
        </w:rPr>
        <w:tab/>
      </w:r>
      <w:r>
        <w:rPr>
          <w:lang w:val="fr-FR"/>
        </w:rPr>
        <w:t xml:space="preserve">La 107e session se tiendra du 11 au 15 novembre 2019 et la date limite pour l’envoi des documents officiels au secrétariat est le 16 août 2019. </w:t>
      </w:r>
      <w:r w:rsidRPr="00F078D1">
        <w:rPr>
          <w:lang w:val="fr-FR"/>
        </w:rPr>
        <w:t>Les points à l'ordre du jour</w:t>
      </w:r>
      <w:r>
        <w:rPr>
          <w:lang w:val="fr-FR"/>
        </w:rPr>
        <w:t xml:space="preserve"> de cette prochaine session seront les mêmes que pour la 106e session avec l’ajout d’un point pour l’é</w:t>
      </w:r>
      <w:r w:rsidRPr="00F078D1">
        <w:rPr>
          <w:lang w:val="fr-FR"/>
        </w:rPr>
        <w:t>lection du bureau pour 20</w:t>
      </w:r>
      <w:r>
        <w:rPr>
          <w:lang w:val="fr-FR"/>
        </w:rPr>
        <w:t>20.</w:t>
      </w:r>
    </w:p>
    <w:p w:rsidR="007A5D72" w:rsidRDefault="007A5D72" w:rsidP="007A5D72">
      <w:pPr>
        <w:pStyle w:val="SingleTxtG"/>
        <w:rPr>
          <w:lang w:val="fr-FR"/>
        </w:rPr>
      </w:pPr>
      <w:r>
        <w:rPr>
          <w:lang w:val="fr-FR"/>
        </w:rPr>
        <w:t>58</w:t>
      </w:r>
      <w:r w:rsidRPr="00F078D1">
        <w:rPr>
          <w:lang w:val="fr-FR"/>
        </w:rPr>
        <w:t>.</w:t>
      </w:r>
      <w:r w:rsidRPr="00F078D1">
        <w:rPr>
          <w:lang w:val="fr-FR"/>
        </w:rPr>
        <w:tab/>
      </w:r>
      <w:r>
        <w:rPr>
          <w:lang w:val="fr-FR"/>
        </w:rPr>
        <w:t xml:space="preserve">Il a été rappelé que le document informel INF.27 de la 105e session devrait être soumis en tant que document officiel. </w:t>
      </w:r>
    </w:p>
    <w:p w:rsidR="007A5D72" w:rsidRDefault="007A5D72" w:rsidP="007A5D72">
      <w:pPr>
        <w:pStyle w:val="SingleTxtG"/>
        <w:rPr>
          <w:lang w:val="fr-FR"/>
        </w:rPr>
      </w:pPr>
      <w:r>
        <w:rPr>
          <w:lang w:val="fr-FR"/>
        </w:rPr>
        <w:t>59.</w:t>
      </w:r>
      <w:r>
        <w:rPr>
          <w:lang w:val="fr-FR"/>
        </w:rPr>
        <w:tab/>
        <w:t xml:space="preserve">Il a également été rappelé que le groupe de travail informel pour la clarification du 9.3.4.2 (construction des caisses des véhicules EX/III) s’était réuni à Bonn les </w:t>
      </w:r>
      <w:r w:rsidRPr="00047D1A">
        <w:rPr>
          <w:lang w:val="fr-FR"/>
        </w:rPr>
        <w:t>1</w:t>
      </w:r>
      <w:r>
        <w:rPr>
          <w:lang w:val="fr-FR"/>
        </w:rPr>
        <w:t xml:space="preserve"> </w:t>
      </w:r>
      <w:r w:rsidRPr="00047D1A">
        <w:rPr>
          <w:lang w:val="fr-FR"/>
        </w:rPr>
        <w:t>et 2 octobre 2018</w:t>
      </w:r>
      <w:r>
        <w:rPr>
          <w:lang w:val="fr-FR"/>
        </w:rPr>
        <w:t xml:space="preserve"> sous la présidence de l’Allemagne. Le Groupe de travail a invité l’Allemagne à présenter l’avancée des travaux de ce groupe à la prochaine session. </w:t>
      </w:r>
    </w:p>
    <w:p w:rsidR="007A5D72" w:rsidRDefault="007A5D72" w:rsidP="007A5D72">
      <w:pPr>
        <w:pStyle w:val="SingleTxtG"/>
        <w:rPr>
          <w:lang w:val="fr-FR"/>
        </w:rPr>
      </w:pPr>
      <w:r>
        <w:rPr>
          <w:lang w:val="fr-FR"/>
        </w:rPr>
        <w:t>60.</w:t>
      </w:r>
      <w:r>
        <w:rPr>
          <w:lang w:val="fr-FR"/>
        </w:rPr>
        <w:tab/>
        <w:t>Le représentant des Pays-Bas a informé le Groupe de travail qu’il présenterait l’avancée des travaux en cours concernant l’u</w:t>
      </w:r>
      <w:r w:rsidRPr="00102755">
        <w:rPr>
          <w:lang w:val="fr-FR"/>
        </w:rPr>
        <w:t>tilisation de véhicules électriques et de véhicules hybrides électriques pour le transport de marchandises dangereuses</w:t>
      </w:r>
      <w:r>
        <w:rPr>
          <w:lang w:val="fr-FR"/>
        </w:rPr>
        <w:t xml:space="preserve"> à la prochaine session.</w:t>
      </w:r>
    </w:p>
    <w:p w:rsidR="000731FB" w:rsidRDefault="007A5D72" w:rsidP="000731FB">
      <w:pPr>
        <w:pStyle w:val="SingleTxtG"/>
        <w:rPr>
          <w:lang w:val="fr-FR"/>
        </w:rPr>
      </w:pPr>
      <w:r>
        <w:rPr>
          <w:lang w:val="fr-FR"/>
        </w:rPr>
        <w:t>61.</w:t>
      </w:r>
      <w:r>
        <w:rPr>
          <w:lang w:val="fr-FR"/>
        </w:rPr>
        <w:tab/>
        <w:t xml:space="preserve">La publication des questions d’interprétation de l’ADR et la possibilité d’organiser des discussions sur </w:t>
      </w:r>
      <w:r w:rsidRPr="002345A6">
        <w:rPr>
          <w:lang w:val="fr-FR"/>
        </w:rPr>
        <w:t>la mise en œuvre effective des prescriptions de l’ADR</w:t>
      </w:r>
      <w:r>
        <w:rPr>
          <w:lang w:val="fr-FR"/>
        </w:rPr>
        <w:t xml:space="preserve"> pourront également être abordées à la prochaine session.</w:t>
      </w:r>
    </w:p>
    <w:p w:rsidR="007A5D72" w:rsidRPr="00F078D1" w:rsidRDefault="007A5D72" w:rsidP="007A5D72">
      <w:pPr>
        <w:pStyle w:val="HChG"/>
        <w:rPr>
          <w:lang w:val="fr-FR"/>
        </w:rPr>
      </w:pPr>
      <w:r w:rsidRPr="00F078D1">
        <w:rPr>
          <w:lang w:val="fr-FR"/>
        </w:rPr>
        <w:tab/>
        <w:t>X.</w:t>
      </w:r>
      <w:r w:rsidRPr="00F078D1">
        <w:rPr>
          <w:lang w:val="fr-FR"/>
        </w:rPr>
        <w:tab/>
      </w:r>
      <w:r>
        <w:rPr>
          <w:lang w:val="fr-FR"/>
        </w:rPr>
        <w:t>Questions diverses</w:t>
      </w:r>
      <w:r w:rsidRPr="00F078D1">
        <w:rPr>
          <w:lang w:val="fr-FR"/>
        </w:rPr>
        <w:t xml:space="preserve"> (point 9 de l’ordre du jour)</w:t>
      </w:r>
    </w:p>
    <w:p w:rsidR="007A5D72" w:rsidRDefault="007A5D72" w:rsidP="007A5D72">
      <w:pPr>
        <w:pStyle w:val="SingleTxtG"/>
        <w:rPr>
          <w:shd w:val="clear" w:color="auto" w:fill="FFFFFF"/>
        </w:rPr>
      </w:pPr>
      <w:r>
        <w:rPr>
          <w:shd w:val="clear" w:color="auto" w:fill="FFFFFF"/>
        </w:rPr>
        <w:t>62.</w:t>
      </w:r>
      <w:r>
        <w:rPr>
          <w:shd w:val="clear" w:color="auto" w:fill="FFFFFF"/>
        </w:rPr>
        <w:tab/>
        <w:t>Aucun document n'ayant été soumis au titre de ce point de l'ordre du jour, aucune discussion n'a eu lieu sur ce sujet.</w:t>
      </w:r>
    </w:p>
    <w:p w:rsidR="007A5D72" w:rsidRPr="00F078D1" w:rsidRDefault="007A5D72" w:rsidP="007A5D72">
      <w:pPr>
        <w:pStyle w:val="HChG"/>
        <w:rPr>
          <w:lang w:val="fr-FR"/>
        </w:rPr>
      </w:pPr>
      <w:r w:rsidRPr="00F078D1">
        <w:rPr>
          <w:lang w:val="fr-FR"/>
        </w:rPr>
        <w:tab/>
        <w:t>X</w:t>
      </w:r>
      <w:r>
        <w:rPr>
          <w:lang w:val="fr-FR"/>
        </w:rPr>
        <w:t>I</w:t>
      </w:r>
      <w:r w:rsidRPr="00F078D1">
        <w:rPr>
          <w:lang w:val="fr-FR"/>
        </w:rPr>
        <w:t>.</w:t>
      </w:r>
      <w:r w:rsidRPr="00F078D1">
        <w:rPr>
          <w:lang w:val="fr-FR"/>
        </w:rPr>
        <w:tab/>
        <w:t xml:space="preserve">Adoption du rapport (point </w:t>
      </w:r>
      <w:r>
        <w:rPr>
          <w:lang w:val="fr-FR"/>
        </w:rPr>
        <w:t>10</w:t>
      </w:r>
      <w:r w:rsidRPr="00F078D1">
        <w:rPr>
          <w:lang w:val="fr-FR"/>
        </w:rPr>
        <w:t xml:space="preserve"> de l’ordre du jour)</w:t>
      </w:r>
    </w:p>
    <w:p w:rsidR="007A5D72" w:rsidRDefault="007A5D72" w:rsidP="007A5D72">
      <w:pPr>
        <w:pStyle w:val="SingleTxtG"/>
        <w:rPr>
          <w:lang w:val="fr-FR"/>
        </w:rPr>
      </w:pPr>
      <w:r>
        <w:rPr>
          <w:lang w:val="fr-FR"/>
        </w:rPr>
        <w:t>63</w:t>
      </w:r>
      <w:r w:rsidRPr="00F078D1">
        <w:rPr>
          <w:lang w:val="fr-FR"/>
        </w:rPr>
        <w:t>.</w:t>
      </w:r>
      <w:r w:rsidRPr="00F078D1">
        <w:rPr>
          <w:lang w:val="fr-FR"/>
        </w:rPr>
        <w:tab/>
        <w:t>Le Groupe de travail a adopté le rapport sur sa 10</w:t>
      </w:r>
      <w:r>
        <w:rPr>
          <w:lang w:val="fr-FR"/>
        </w:rPr>
        <w:t>6</w:t>
      </w:r>
      <w:r w:rsidRPr="00F078D1">
        <w:rPr>
          <w:vertAlign w:val="superscript"/>
          <w:lang w:val="fr-FR"/>
        </w:rPr>
        <w:t>e</w:t>
      </w:r>
      <w:r w:rsidRPr="00F078D1">
        <w:rPr>
          <w:lang w:val="fr-FR"/>
        </w:rPr>
        <w:t xml:space="preserve"> session et </w:t>
      </w:r>
      <w:r>
        <w:rPr>
          <w:lang w:val="fr-FR"/>
        </w:rPr>
        <w:t>son annexe</w:t>
      </w:r>
      <w:r w:rsidRPr="00F078D1">
        <w:rPr>
          <w:lang w:val="fr-FR"/>
        </w:rPr>
        <w:t xml:space="preserve"> sur la base d'un projet établi par le secrétariat.</w:t>
      </w:r>
    </w:p>
    <w:p w:rsidR="007A5D72" w:rsidRDefault="007A5D72">
      <w:pPr>
        <w:suppressAutoHyphens w:val="0"/>
        <w:kinsoku/>
        <w:overflowPunct/>
        <w:autoSpaceDE/>
        <w:autoSpaceDN/>
        <w:adjustRightInd/>
        <w:snapToGrid/>
        <w:spacing w:after="200" w:line="276" w:lineRule="auto"/>
        <w:rPr>
          <w:lang w:val="fr-FR"/>
        </w:rPr>
      </w:pPr>
      <w:r>
        <w:rPr>
          <w:lang w:val="fr-FR"/>
        </w:rPr>
        <w:br w:type="page"/>
      </w:r>
    </w:p>
    <w:p w:rsidR="007A5D72" w:rsidRDefault="007A5D72" w:rsidP="007A5D72">
      <w:pPr>
        <w:pStyle w:val="HChG"/>
      </w:pPr>
      <w:r>
        <w:lastRenderedPageBreak/>
        <w:t>Annexe</w:t>
      </w:r>
    </w:p>
    <w:p w:rsidR="007A5D72" w:rsidRDefault="007A5D72" w:rsidP="007A5D72">
      <w:pPr>
        <w:pStyle w:val="H1G"/>
      </w:pPr>
      <w:r>
        <w:tab/>
      </w:r>
      <w:r>
        <w:tab/>
        <w:t xml:space="preserve">Projet d’amendements aux annexes A et B de l’ADR adopté par le Groupe de travail pour </w:t>
      </w:r>
      <w:proofErr w:type="spellStart"/>
      <w:r>
        <w:t>entrée</w:t>
      </w:r>
      <w:proofErr w:type="spellEnd"/>
      <w:r>
        <w:t xml:space="preserve"> en vigueur le 1</w:t>
      </w:r>
      <w:r w:rsidRPr="00A613E4">
        <w:t>er</w:t>
      </w:r>
      <w:r>
        <w:t xml:space="preserve"> janvier 2021</w:t>
      </w:r>
    </w:p>
    <w:p w:rsidR="007A5D72" w:rsidRPr="00BB1B38" w:rsidRDefault="007A5D72" w:rsidP="007A5D72">
      <w:pPr>
        <w:pStyle w:val="H1G"/>
        <w:rPr>
          <w:lang w:val="fr-FR"/>
        </w:rPr>
      </w:pPr>
      <w:r w:rsidRPr="00BB1B38">
        <w:rPr>
          <w:lang w:val="fr-FR"/>
        </w:rPr>
        <w:tab/>
      </w:r>
      <w:r w:rsidRPr="00BB1B38">
        <w:rPr>
          <w:lang w:val="fr-FR"/>
        </w:rPr>
        <w:tab/>
        <w:t>Chapitre 1.1</w:t>
      </w:r>
    </w:p>
    <w:p w:rsidR="007A5D72" w:rsidRPr="00BB1B38" w:rsidRDefault="007A5D72" w:rsidP="007A5D72">
      <w:pPr>
        <w:pStyle w:val="SingleTxtG"/>
        <w:ind w:left="2268" w:hanging="1134"/>
        <w:rPr>
          <w:lang w:val="fr-FR"/>
        </w:rPr>
      </w:pPr>
      <w:r w:rsidRPr="00BB1B38">
        <w:rPr>
          <w:lang w:val="fr-FR"/>
        </w:rPr>
        <w:t>1.1.3.2</w:t>
      </w:r>
      <w:r w:rsidRPr="00BB1B38">
        <w:rPr>
          <w:lang w:val="fr-FR"/>
        </w:rPr>
        <w:tab/>
      </w:r>
      <w:r w:rsidRPr="00BB1B38">
        <w:rPr>
          <w:lang w:val="fr-FR"/>
        </w:rPr>
        <w:tab/>
      </w:r>
      <w:r w:rsidR="00435758">
        <w:rPr>
          <w:lang w:val="fr-FR"/>
        </w:rPr>
        <w:t>À l’alinéa a), dans le</w:t>
      </w:r>
      <w:r w:rsidRPr="00BB1B38">
        <w:rPr>
          <w:lang w:val="fr-FR"/>
        </w:rPr>
        <w:t xml:space="preserve"> tableau du </w:t>
      </w:r>
      <w:r w:rsidR="00435758">
        <w:rPr>
          <w:lang w:val="fr-FR"/>
        </w:rPr>
        <w:t>N</w:t>
      </w:r>
      <w:r w:rsidRPr="00BB1B38">
        <w:rPr>
          <w:lang w:val="fr-FR"/>
        </w:rPr>
        <w:t>ota 1, ajouter un appel à la note de bas de tableau « </w:t>
      </w:r>
      <w:r w:rsidRPr="00BB1B38">
        <w:rPr>
          <w:vertAlign w:val="superscript"/>
          <w:lang w:val="fr-FR"/>
        </w:rPr>
        <w:t>a</w:t>
      </w:r>
      <w:r w:rsidRPr="00BB1B38">
        <w:rPr>
          <w:lang w:val="fr-FR"/>
        </w:rPr>
        <w:t> » après « Nm</w:t>
      </w:r>
      <w:r w:rsidRPr="00BB1B38">
        <w:rPr>
          <w:vertAlign w:val="superscript"/>
          <w:lang w:val="fr-FR"/>
        </w:rPr>
        <w:t>3</w:t>
      </w:r>
      <w:r w:rsidRPr="00BB1B38">
        <w:rPr>
          <w:lang w:val="fr-FR"/>
        </w:rPr>
        <w:t xml:space="preserve"> » (deux fois). Ajouter la note de bas de </w:t>
      </w:r>
      <w:proofErr w:type="gramStart"/>
      <w:r w:rsidRPr="00BB1B38">
        <w:rPr>
          <w:lang w:val="fr-FR"/>
        </w:rPr>
        <w:t>tableau suivante</w:t>
      </w:r>
      <w:proofErr w:type="gramEnd"/>
      <w:r w:rsidRPr="00BB1B38">
        <w:rPr>
          <w:lang w:val="fr-FR"/>
        </w:rPr>
        <w:t> :</w:t>
      </w:r>
    </w:p>
    <w:p w:rsidR="007A5D72" w:rsidRPr="00BB1B38" w:rsidRDefault="007A5D72" w:rsidP="007A5D72">
      <w:pPr>
        <w:pStyle w:val="SingleTxtG"/>
        <w:rPr>
          <w:lang w:val="fr-FR"/>
        </w:rPr>
      </w:pPr>
      <w:r w:rsidRPr="00BB1B38">
        <w:rPr>
          <w:lang w:val="fr-FR"/>
        </w:rPr>
        <w:t>« </w:t>
      </w:r>
      <w:proofErr w:type="gramStart"/>
      <w:r w:rsidRPr="00BB1B38">
        <w:rPr>
          <w:vertAlign w:val="superscript"/>
          <w:lang w:val="fr-FR"/>
        </w:rPr>
        <w:t>a</w:t>
      </w:r>
      <w:proofErr w:type="gramEnd"/>
      <w:r w:rsidRPr="00BB1B38">
        <w:rPr>
          <w:lang w:val="fr-FR"/>
        </w:rPr>
        <w:t xml:space="preserve"> 1 Nm</w:t>
      </w:r>
      <w:r w:rsidRPr="00BB1B38">
        <w:rPr>
          <w:vertAlign w:val="superscript"/>
          <w:lang w:val="fr-FR"/>
        </w:rPr>
        <w:t>3</w:t>
      </w:r>
      <w:r w:rsidRPr="00BB1B38">
        <w:rPr>
          <w:lang w:val="fr-FR"/>
        </w:rPr>
        <w:t xml:space="preserve"> désigne un </w:t>
      </w:r>
      <w:r w:rsidRPr="00BB1B38">
        <w:rPr>
          <w:i/>
          <w:iCs/>
          <w:lang w:val="fr-FR"/>
        </w:rPr>
        <w:t>normo mètre cube</w:t>
      </w:r>
      <w:r w:rsidRPr="00BB1B38">
        <w:rPr>
          <w:lang w:val="fr-FR"/>
        </w:rPr>
        <w:t>, soit la quantité de gaz occupant 1 m</w:t>
      </w:r>
      <w:r w:rsidRPr="00BB1B38">
        <w:rPr>
          <w:vertAlign w:val="superscript"/>
          <w:lang w:val="fr-FR"/>
        </w:rPr>
        <w:t>3</w:t>
      </w:r>
      <w:r w:rsidRPr="00BB1B38">
        <w:rPr>
          <w:lang w:val="fr-FR"/>
        </w:rPr>
        <w:t xml:space="preserve"> dans les conditions de température et de pression suivantes : 0 °C et 1,01325 bar (0,101325 MPa). »</w:t>
      </w:r>
    </w:p>
    <w:p w:rsidR="007A5D72" w:rsidRPr="00BB1B38" w:rsidRDefault="007A5D72" w:rsidP="007A5D72">
      <w:pPr>
        <w:pStyle w:val="SingleTxtG"/>
        <w:rPr>
          <w:i/>
          <w:iCs/>
          <w:lang w:val="fr-FR"/>
        </w:rPr>
      </w:pPr>
      <w:r w:rsidRPr="00BB1B38">
        <w:rPr>
          <w:i/>
          <w:iCs/>
          <w:lang w:val="fr-FR"/>
        </w:rPr>
        <w:t>(Document de référence : ECE/TRANS/WP.15/2019/14, proposition 1, tel que modifié)</w:t>
      </w:r>
    </w:p>
    <w:p w:rsidR="007A5D72" w:rsidRPr="00BB1B38" w:rsidRDefault="007A5D72" w:rsidP="007A5D72">
      <w:pPr>
        <w:pStyle w:val="H1G"/>
        <w:rPr>
          <w:lang w:val="fr-FR"/>
        </w:rPr>
      </w:pPr>
      <w:r w:rsidRPr="00BB1B38">
        <w:rPr>
          <w:lang w:val="fr-FR"/>
        </w:rPr>
        <w:tab/>
      </w:r>
      <w:r w:rsidRPr="00BB1B38">
        <w:rPr>
          <w:lang w:val="fr-FR"/>
        </w:rPr>
        <w:tab/>
        <w:t>Chapitre 1.8</w:t>
      </w:r>
    </w:p>
    <w:p w:rsidR="007A5D72" w:rsidRPr="00BB1B38" w:rsidRDefault="007A5D72" w:rsidP="007A5D72">
      <w:pPr>
        <w:pStyle w:val="SingleTxtG"/>
        <w:tabs>
          <w:tab w:val="left" w:pos="2268"/>
        </w:tabs>
        <w:ind w:left="2268" w:hanging="1134"/>
        <w:rPr>
          <w:lang w:val="fr-FR"/>
        </w:rPr>
      </w:pPr>
      <w:r w:rsidRPr="00BB1B38">
        <w:rPr>
          <w:lang w:val="fr-FR"/>
        </w:rPr>
        <w:t>1.8.7.8</w:t>
      </w:r>
      <w:r w:rsidRPr="00BB1B38">
        <w:rPr>
          <w:lang w:val="fr-FR"/>
        </w:rPr>
        <w:tab/>
        <w:t>Dans le tableau, dans la deuxième colonne (« Références »), remplacer « EN </w:t>
      </w:r>
      <w:proofErr w:type="gramStart"/>
      <w:r w:rsidRPr="00BB1B38">
        <w:rPr>
          <w:lang w:val="fr-FR"/>
        </w:rPr>
        <w:t>12972:</w:t>
      </w:r>
      <w:proofErr w:type="gramEnd"/>
      <w:r w:rsidRPr="00BB1B38">
        <w:rPr>
          <w:lang w:val="fr-FR"/>
        </w:rPr>
        <w:t>2007 » par : « EN 12972:2018 ».</w:t>
      </w:r>
    </w:p>
    <w:p w:rsidR="007A5D72" w:rsidRPr="00CE320A" w:rsidRDefault="007A5D72" w:rsidP="007A5D72">
      <w:pPr>
        <w:pStyle w:val="SingleTxtG"/>
        <w:rPr>
          <w:i/>
          <w:iCs/>
          <w:lang w:val="fr-FR"/>
        </w:rPr>
      </w:pPr>
      <w:r w:rsidRPr="00CE320A">
        <w:rPr>
          <w:i/>
          <w:iCs/>
          <w:lang w:val="fr-FR"/>
        </w:rPr>
        <w:t>(Document de référence : ECE/TRANS/WP.15/AC.1/154)</w:t>
      </w:r>
    </w:p>
    <w:p w:rsidR="007A5D72" w:rsidRPr="00BB1B38" w:rsidRDefault="007A5D72" w:rsidP="007A5D72">
      <w:pPr>
        <w:pStyle w:val="H1G"/>
        <w:rPr>
          <w:lang w:val="fr-FR"/>
        </w:rPr>
      </w:pPr>
      <w:r w:rsidRPr="00BB1B38">
        <w:rPr>
          <w:lang w:val="fr-FR"/>
        </w:rPr>
        <w:tab/>
      </w:r>
      <w:r w:rsidRPr="00BB1B38">
        <w:rPr>
          <w:lang w:val="fr-FR"/>
        </w:rPr>
        <w:tab/>
        <w:t>Chapitre 2.1</w:t>
      </w:r>
    </w:p>
    <w:p w:rsidR="007A5D72" w:rsidRPr="00BB1B38" w:rsidRDefault="007A5D72" w:rsidP="007A5D72">
      <w:pPr>
        <w:pStyle w:val="SingleTxtG"/>
        <w:spacing w:before="120" w:line="240" w:lineRule="auto"/>
        <w:ind w:left="2259" w:hanging="1125"/>
        <w:jc w:val="left"/>
        <w:rPr>
          <w:lang w:val="fr-FR"/>
        </w:rPr>
      </w:pPr>
      <w:r w:rsidRPr="00BB1B38">
        <w:rPr>
          <w:bCs/>
          <w:lang w:val="fr-FR"/>
        </w:rPr>
        <w:t>2.1.5</w:t>
      </w:r>
      <w:r w:rsidRPr="00BB1B38">
        <w:rPr>
          <w:bCs/>
          <w:lang w:val="fr-FR"/>
        </w:rPr>
        <w:tab/>
      </w:r>
      <w:r w:rsidRPr="00BB1B38">
        <w:rPr>
          <w:lang w:val="fr-FR"/>
        </w:rPr>
        <w:t>Modifier le Nota pour lire comme suit :</w:t>
      </w:r>
    </w:p>
    <w:p w:rsidR="007A5D72" w:rsidRPr="00BB1B38" w:rsidRDefault="007A5D72" w:rsidP="007A5D72">
      <w:pPr>
        <w:pStyle w:val="SingleTxtG"/>
        <w:rPr>
          <w:i/>
          <w:iCs/>
          <w:lang w:val="fr-FR"/>
        </w:rPr>
      </w:pPr>
      <w:r w:rsidRPr="00BB1B38">
        <w:rPr>
          <w:i/>
          <w:iCs/>
          <w:lang w:val="fr-FR"/>
        </w:rPr>
        <w:t>« </w:t>
      </w:r>
      <w:r w:rsidRPr="00BB1B38">
        <w:rPr>
          <w:b/>
          <w:bCs/>
          <w:i/>
          <w:iCs/>
          <w:lang w:val="fr-FR"/>
        </w:rPr>
        <w:t>NOTA :</w:t>
      </w:r>
      <w:r w:rsidRPr="00BB1B38">
        <w:rPr>
          <w:i/>
          <w:iCs/>
          <w:lang w:val="fr-FR"/>
        </w:rPr>
        <w:t xml:space="preserve"> Pour les objets qui n’ont pas de désignation officielle de transport et qui contiennent seulement des marchandises dangereuses en quantités ne dépassant pas celles fixées à la colonne (7a) du tableau A du chapitre 3.2, le No ONU 3363 et les dispositions spéciales 301 et 672 du chapitre 3.3 peuvent être appliqués. ».</w:t>
      </w:r>
    </w:p>
    <w:p w:rsidR="007A5D72" w:rsidRPr="00CE320A" w:rsidRDefault="007A5D72" w:rsidP="007A5D72">
      <w:pPr>
        <w:pStyle w:val="SingleTxtG"/>
        <w:rPr>
          <w:i/>
          <w:iCs/>
          <w:lang w:val="fr-FR"/>
        </w:rPr>
      </w:pPr>
      <w:r w:rsidRPr="00CE320A">
        <w:rPr>
          <w:i/>
          <w:iCs/>
          <w:lang w:val="fr-FR"/>
        </w:rPr>
        <w:t>(Document de référence : ECE/TRANS/WP.15/AC.1/154)</w:t>
      </w:r>
    </w:p>
    <w:p w:rsidR="007A5D72" w:rsidRPr="00BB1B38" w:rsidRDefault="007A5D72" w:rsidP="007A5D72">
      <w:pPr>
        <w:pStyle w:val="H1G"/>
        <w:rPr>
          <w:lang w:val="fr-FR"/>
        </w:rPr>
      </w:pPr>
      <w:r w:rsidRPr="00BB1B38">
        <w:rPr>
          <w:lang w:val="fr-FR"/>
        </w:rPr>
        <w:tab/>
      </w:r>
      <w:r w:rsidRPr="00BB1B38">
        <w:rPr>
          <w:lang w:val="fr-FR"/>
        </w:rPr>
        <w:tab/>
        <w:t>Chapitre 2.2</w:t>
      </w:r>
    </w:p>
    <w:p w:rsidR="007A5D72" w:rsidRPr="00BB1B38" w:rsidRDefault="007A5D72" w:rsidP="007A5D72">
      <w:pPr>
        <w:pStyle w:val="SingleTxtG"/>
        <w:spacing w:before="120" w:line="240" w:lineRule="auto"/>
        <w:ind w:left="2259" w:hanging="1125"/>
        <w:jc w:val="left"/>
        <w:rPr>
          <w:lang w:val="fr-FR"/>
        </w:rPr>
      </w:pPr>
      <w:r w:rsidRPr="00BB1B38">
        <w:rPr>
          <w:bCs/>
          <w:lang w:val="fr-FR"/>
        </w:rPr>
        <w:t>2.2.2.3</w:t>
      </w:r>
      <w:r w:rsidRPr="00BB1B38">
        <w:rPr>
          <w:b/>
          <w:lang w:val="fr-FR"/>
        </w:rPr>
        <w:tab/>
      </w:r>
      <w:r w:rsidRPr="00BB1B38">
        <w:rPr>
          <w:b/>
          <w:lang w:val="fr-FR"/>
        </w:rPr>
        <w:tab/>
      </w:r>
      <w:r w:rsidRPr="00BB1B38">
        <w:rPr>
          <w:lang w:val="fr-FR"/>
        </w:rPr>
        <w:t>Dans le tableau, pour « Gaz liquéfiés », pour le code de classification « 2 F », modifier le nom et la description du No ONU 1010 pour lire comme suit :</w:t>
      </w:r>
    </w:p>
    <w:p w:rsidR="007A5D72" w:rsidRPr="00BB1B38" w:rsidRDefault="007A5D72" w:rsidP="007A5D72">
      <w:pPr>
        <w:pStyle w:val="SingleTxtG"/>
        <w:rPr>
          <w:b/>
          <w:lang w:val="fr-FR"/>
        </w:rPr>
      </w:pPr>
      <w:r w:rsidRPr="00BB1B38">
        <w:rPr>
          <w:b/>
          <w:lang w:val="fr-FR"/>
        </w:rPr>
        <w:t>« </w:t>
      </w:r>
      <w:r w:rsidRPr="00BB1B38">
        <w:rPr>
          <w:lang w:val="fr-FR"/>
        </w:rPr>
        <w:t>BUTADIÈNES STABILISÉS ou BUTADIÈNES ET HYDROCARBURES EN MÉLANGE STABILISÉ, contenant plus de 40 % de butadiènes ».</w:t>
      </w:r>
    </w:p>
    <w:p w:rsidR="007A5D72" w:rsidRPr="00BB1B38" w:rsidRDefault="007A5D72" w:rsidP="007A5D72">
      <w:pPr>
        <w:pStyle w:val="SingleTxtG"/>
        <w:spacing w:before="120" w:line="240" w:lineRule="auto"/>
        <w:ind w:left="2268"/>
        <w:jc w:val="left"/>
        <w:rPr>
          <w:lang w:val="fr-FR"/>
        </w:rPr>
      </w:pPr>
      <w:r w:rsidRPr="00BB1B38">
        <w:rPr>
          <w:iCs/>
          <w:lang w:val="fr-FR"/>
        </w:rPr>
        <w:t>Le Nota reste inchangé.</w:t>
      </w:r>
    </w:p>
    <w:p w:rsidR="007A5D72" w:rsidRPr="00CE320A" w:rsidRDefault="007A5D72" w:rsidP="007A5D72">
      <w:pPr>
        <w:pStyle w:val="SingleTxtG"/>
        <w:rPr>
          <w:i/>
          <w:iCs/>
          <w:lang w:val="fr-FR"/>
        </w:rPr>
      </w:pPr>
      <w:r w:rsidRPr="00CE320A">
        <w:rPr>
          <w:i/>
          <w:iCs/>
          <w:lang w:val="fr-FR"/>
        </w:rPr>
        <w:t>(Document de référence : ECE/TRANS/WP.15/AC.1/154)</w:t>
      </w:r>
    </w:p>
    <w:p w:rsidR="007A5D72" w:rsidRPr="00BB1B38" w:rsidRDefault="007A5D72" w:rsidP="007A5D72">
      <w:pPr>
        <w:pStyle w:val="H1G"/>
        <w:rPr>
          <w:lang w:val="fr-FR"/>
        </w:rPr>
      </w:pPr>
      <w:r w:rsidRPr="00BB1B38">
        <w:rPr>
          <w:lang w:val="fr-FR"/>
        </w:rPr>
        <w:tab/>
      </w:r>
      <w:r w:rsidRPr="00BB1B38">
        <w:rPr>
          <w:lang w:val="fr-FR"/>
        </w:rPr>
        <w:tab/>
        <w:t>Chapitre 3.2</w:t>
      </w:r>
    </w:p>
    <w:p w:rsidR="007A5D72" w:rsidRPr="00BB1B38" w:rsidRDefault="007A5D72" w:rsidP="007A5D72">
      <w:pPr>
        <w:pStyle w:val="H23G"/>
        <w:rPr>
          <w:lang w:val="fr-FR"/>
        </w:rPr>
      </w:pPr>
      <w:r w:rsidRPr="00BB1B38">
        <w:rPr>
          <w:lang w:val="fr-FR"/>
        </w:rPr>
        <w:tab/>
      </w:r>
      <w:r w:rsidRPr="00BB1B38">
        <w:rPr>
          <w:lang w:val="fr-FR"/>
        </w:rPr>
        <w:tab/>
        <w:t>Tableau A</w:t>
      </w:r>
    </w:p>
    <w:p w:rsidR="007A5D72" w:rsidRPr="00BB1B38" w:rsidRDefault="007A5D72" w:rsidP="007A5D72">
      <w:pPr>
        <w:pStyle w:val="SingleTxtG"/>
        <w:rPr>
          <w:lang w:val="fr-FR"/>
        </w:rPr>
      </w:pPr>
      <w:r w:rsidRPr="00BB1B38">
        <w:rPr>
          <w:bCs/>
          <w:lang w:val="fr-FR"/>
        </w:rPr>
        <w:t>No. ONU 1010</w:t>
      </w:r>
      <w:r w:rsidRPr="00BB1B38">
        <w:rPr>
          <w:bCs/>
          <w:lang w:val="fr-FR"/>
        </w:rPr>
        <w:tab/>
      </w:r>
      <w:r w:rsidRPr="00BB1B38">
        <w:rPr>
          <w:lang w:val="fr-FR"/>
        </w:rPr>
        <w:t>Modifier le nom et la description en colonne (2) pour lire comme suit :</w:t>
      </w:r>
    </w:p>
    <w:p w:rsidR="007A5D72" w:rsidRPr="00BB1B38" w:rsidRDefault="007A5D72" w:rsidP="007A5D72">
      <w:pPr>
        <w:pStyle w:val="SingleTxtG"/>
        <w:rPr>
          <w:lang w:val="fr-FR"/>
        </w:rPr>
      </w:pPr>
      <w:r w:rsidRPr="00BB1B38">
        <w:rPr>
          <w:lang w:val="fr-FR"/>
        </w:rPr>
        <w:t>« BUTADIÈNES STABILISÉS ou BUTADIÈNES ET HYDROCARBURES EN MÉLANGE STABILISÉ, contenant plus de 40 % de butadiènes ».</w:t>
      </w:r>
    </w:p>
    <w:p w:rsidR="007A5D72" w:rsidRPr="00BB1B38" w:rsidRDefault="007A5D72" w:rsidP="007A5D72">
      <w:pPr>
        <w:pStyle w:val="SingleTxtG"/>
        <w:rPr>
          <w:lang w:val="fr-FR"/>
        </w:rPr>
      </w:pPr>
      <w:r w:rsidRPr="00BB1B38">
        <w:rPr>
          <w:lang w:val="fr-FR"/>
        </w:rPr>
        <w:t>Nos. ONU 3537 à 3548</w:t>
      </w:r>
      <w:r w:rsidRPr="00BB1B38">
        <w:rPr>
          <w:lang w:val="fr-FR"/>
        </w:rPr>
        <w:tab/>
        <w:t>Supprimer « 667 » en colonne (6).</w:t>
      </w:r>
    </w:p>
    <w:p w:rsidR="007A5D72" w:rsidRPr="00CE320A" w:rsidRDefault="007A5D72" w:rsidP="007A5D72">
      <w:pPr>
        <w:pStyle w:val="SingleTxtG"/>
        <w:rPr>
          <w:i/>
          <w:iCs/>
          <w:lang w:val="fr-FR"/>
        </w:rPr>
      </w:pPr>
      <w:r w:rsidRPr="00CE320A">
        <w:rPr>
          <w:i/>
          <w:iCs/>
          <w:lang w:val="fr-FR"/>
        </w:rPr>
        <w:t>(Document de référence : ECE/TRANS/WP.15/AC.1/154)</w:t>
      </w:r>
    </w:p>
    <w:p w:rsidR="007A5D72" w:rsidRPr="00BB1B38" w:rsidRDefault="007A5D72" w:rsidP="007A5D72">
      <w:pPr>
        <w:pStyle w:val="H23G"/>
        <w:rPr>
          <w:lang w:val="fr-FR"/>
        </w:rPr>
      </w:pPr>
      <w:r w:rsidRPr="00BB1B38">
        <w:rPr>
          <w:lang w:val="fr-FR"/>
        </w:rPr>
        <w:lastRenderedPageBreak/>
        <w:tab/>
      </w:r>
      <w:r w:rsidRPr="00BB1B38">
        <w:rPr>
          <w:lang w:val="fr-FR"/>
        </w:rPr>
        <w:tab/>
        <w:t>Tableau B</w:t>
      </w:r>
    </w:p>
    <w:p w:rsidR="007A5D72" w:rsidRPr="00BB1B38" w:rsidRDefault="007A5D72" w:rsidP="007A5D72">
      <w:pPr>
        <w:pStyle w:val="SingleTxtG"/>
        <w:rPr>
          <w:lang w:val="fr-FR"/>
        </w:rPr>
      </w:pPr>
      <w:r w:rsidRPr="00BB1B38">
        <w:rPr>
          <w:lang w:val="fr-FR"/>
        </w:rPr>
        <w:t xml:space="preserve">Modifier la rubrique « BUTADIÈNES ET HYDROCARBURES EN MÉLANGE STABILISÉ qui, à 70 °C, a une pression de vapeur ne dépassant pas 1,1 MPa (11 </w:t>
      </w:r>
      <w:proofErr w:type="gramStart"/>
      <w:r w:rsidRPr="00BB1B38">
        <w:rPr>
          <w:lang w:val="fr-FR"/>
        </w:rPr>
        <w:t>bar</w:t>
      </w:r>
      <w:proofErr w:type="gramEnd"/>
      <w:r w:rsidRPr="00BB1B38">
        <w:rPr>
          <w:lang w:val="fr-FR"/>
        </w:rPr>
        <w:t>) et dont la masse volumique à 50 °C n'est pas inférieure à 0,525 kg/l » pour lire comme suit :</w:t>
      </w:r>
    </w:p>
    <w:p w:rsidR="007A5D72" w:rsidRPr="00BB1B38" w:rsidRDefault="007A5D72" w:rsidP="007A5D72">
      <w:pPr>
        <w:pStyle w:val="SingleTxtG"/>
        <w:rPr>
          <w:lang w:val="fr-FR"/>
        </w:rPr>
      </w:pPr>
      <w:r w:rsidRPr="00BB1B38">
        <w:rPr>
          <w:lang w:val="fr-FR"/>
        </w:rPr>
        <w:t>« BUTADIÈNES STABILISÉS ou BUTADIÈNES ET HYDROCARBURES EN MÉLANGE STABILISÉ, contenant plus de 40 % de butadiènes ».</w:t>
      </w:r>
    </w:p>
    <w:p w:rsidR="007A5D72" w:rsidRPr="00CE320A" w:rsidRDefault="007A5D72" w:rsidP="007A5D72">
      <w:pPr>
        <w:pStyle w:val="SingleTxtG"/>
        <w:rPr>
          <w:i/>
          <w:iCs/>
          <w:lang w:val="fr-FR"/>
        </w:rPr>
      </w:pPr>
      <w:r w:rsidRPr="00CE320A">
        <w:rPr>
          <w:i/>
          <w:iCs/>
          <w:lang w:val="fr-FR"/>
        </w:rPr>
        <w:t>(Document de référence : ECE/TRANS/WP.15/AC.1/154)</w:t>
      </w:r>
    </w:p>
    <w:p w:rsidR="007A5D72" w:rsidRPr="00BB1B38" w:rsidRDefault="007A5D72" w:rsidP="007A5D72">
      <w:pPr>
        <w:pStyle w:val="H1G"/>
        <w:rPr>
          <w:lang w:val="fr-FR"/>
        </w:rPr>
      </w:pPr>
      <w:r w:rsidRPr="00BB1B38">
        <w:rPr>
          <w:lang w:val="fr-FR"/>
        </w:rPr>
        <w:tab/>
      </w:r>
      <w:r w:rsidRPr="00BB1B38">
        <w:rPr>
          <w:lang w:val="fr-FR"/>
        </w:rPr>
        <w:tab/>
        <w:t>Chapitre 3.3</w:t>
      </w:r>
    </w:p>
    <w:p w:rsidR="007A5D72" w:rsidRPr="00BB1B38" w:rsidRDefault="007A5D72" w:rsidP="007A5D72">
      <w:pPr>
        <w:pStyle w:val="SingleTxtG"/>
        <w:tabs>
          <w:tab w:val="left" w:pos="2268"/>
        </w:tabs>
        <w:ind w:left="2268" w:hanging="1134"/>
        <w:rPr>
          <w:lang w:val="fr-FR"/>
        </w:rPr>
      </w:pPr>
      <w:r w:rsidRPr="00BB1B38">
        <w:rPr>
          <w:lang w:val="fr-FR"/>
        </w:rPr>
        <w:t>DS 301</w:t>
      </w:r>
      <w:r w:rsidRPr="00BB1B38">
        <w:rPr>
          <w:lang w:val="fr-FR"/>
        </w:rPr>
        <w:tab/>
        <w:t>Supprimer le Nota.</w:t>
      </w:r>
    </w:p>
    <w:p w:rsidR="007A5D72" w:rsidRPr="00CE320A" w:rsidRDefault="007A5D72" w:rsidP="007A5D72">
      <w:pPr>
        <w:pStyle w:val="SingleTxtG"/>
        <w:rPr>
          <w:i/>
          <w:iCs/>
          <w:lang w:val="fr-FR"/>
        </w:rPr>
      </w:pPr>
      <w:r w:rsidRPr="00CE320A">
        <w:rPr>
          <w:i/>
          <w:iCs/>
          <w:lang w:val="fr-FR"/>
        </w:rPr>
        <w:t>(Document de référence : ECE/TRANS/WP.15/AC.1/154)</w:t>
      </w:r>
    </w:p>
    <w:p w:rsidR="007A5D72" w:rsidRPr="00BB1B38" w:rsidRDefault="007A5D72" w:rsidP="007A5D72">
      <w:pPr>
        <w:pStyle w:val="SingleTxtG"/>
        <w:ind w:left="2268" w:hanging="1134"/>
        <w:rPr>
          <w:lang w:val="fr-FR"/>
        </w:rPr>
      </w:pPr>
      <w:r w:rsidRPr="00BB1B38">
        <w:rPr>
          <w:lang w:val="fr-FR"/>
        </w:rPr>
        <w:t>DS 363 l)</w:t>
      </w:r>
      <w:r w:rsidRPr="00BB1B38">
        <w:rPr>
          <w:lang w:val="fr-FR"/>
        </w:rPr>
        <w:tab/>
        <w:t>Modifier le deuxième tiret pour lire comme suit :</w:t>
      </w:r>
    </w:p>
    <w:p w:rsidR="007A5D72" w:rsidRPr="00BB1B38" w:rsidRDefault="007A5D72" w:rsidP="007A5D72">
      <w:pPr>
        <w:pStyle w:val="SingleTxtG"/>
        <w:rPr>
          <w:lang w:val="fr-FR"/>
        </w:rPr>
      </w:pPr>
      <w:r w:rsidRPr="00BB1B38">
        <w:rPr>
          <w:lang w:val="fr-FR"/>
        </w:rPr>
        <w:t>« - L’unité de transport doit porter des panneaux de couleur orange conformément au 5.3.2 et les restrictions de passage dans les tunnels du 8.6.4 s’appliquent. La signalisation orange selon le 5.3.2 n’est pas nécessaire lorsqu’il est connu par avance que le transport n’empruntera pas un tunnel auquel s’appliquent des restrictions au passage de véhicules transportant des marchandises dangereuses. »</w:t>
      </w:r>
    </w:p>
    <w:p w:rsidR="007A5D72" w:rsidRPr="00BB1B38" w:rsidRDefault="007A5D72" w:rsidP="007A5D72">
      <w:pPr>
        <w:pStyle w:val="SingleTxtG"/>
        <w:rPr>
          <w:i/>
          <w:iCs/>
          <w:lang w:val="fr-FR"/>
        </w:rPr>
      </w:pPr>
      <w:r w:rsidRPr="00BB1B38">
        <w:rPr>
          <w:i/>
          <w:iCs/>
          <w:lang w:val="fr-FR"/>
        </w:rPr>
        <w:t>(Document de référence : ECE/TRANS/WP.15/2019/6)</w:t>
      </w:r>
    </w:p>
    <w:p w:rsidR="007A5D72" w:rsidRPr="00BB1B38" w:rsidRDefault="007A5D72" w:rsidP="007A5D72">
      <w:pPr>
        <w:pStyle w:val="SingleTxtG"/>
        <w:tabs>
          <w:tab w:val="left" w:pos="2268"/>
        </w:tabs>
        <w:ind w:left="2268" w:hanging="1134"/>
        <w:rPr>
          <w:lang w:val="fr-FR"/>
        </w:rPr>
      </w:pPr>
      <w:r w:rsidRPr="00BB1B38">
        <w:rPr>
          <w:lang w:val="fr-FR"/>
        </w:rPr>
        <w:t>DS 653</w:t>
      </w:r>
      <w:r w:rsidRPr="00BB1B38">
        <w:rPr>
          <w:lang w:val="fr-FR"/>
        </w:rPr>
        <w:tab/>
        <w:t>Au premier tiret, remplacer « de construction et d’épreuve » par « de construction, d’épreuve et de remplissage ».</w:t>
      </w:r>
    </w:p>
    <w:p w:rsidR="007A5D72" w:rsidRPr="00CE320A" w:rsidRDefault="007A5D72" w:rsidP="007A5D72">
      <w:pPr>
        <w:pStyle w:val="SingleTxtG"/>
        <w:rPr>
          <w:i/>
          <w:iCs/>
          <w:lang w:val="fr-FR"/>
        </w:rPr>
      </w:pPr>
      <w:r w:rsidRPr="00CE320A">
        <w:rPr>
          <w:i/>
          <w:iCs/>
          <w:lang w:val="fr-FR"/>
        </w:rPr>
        <w:t>(Document de référence : ECE/TRANS/WP.15/AC.1/154)</w:t>
      </w:r>
    </w:p>
    <w:p w:rsidR="007A5D72" w:rsidRPr="00BB1B38" w:rsidRDefault="007A5D72" w:rsidP="007A5D72">
      <w:pPr>
        <w:pStyle w:val="SingleTxtG"/>
        <w:tabs>
          <w:tab w:val="left" w:pos="2268"/>
        </w:tabs>
        <w:ind w:left="2268" w:hanging="1134"/>
        <w:rPr>
          <w:lang w:val="fr-FR"/>
        </w:rPr>
      </w:pPr>
      <w:r w:rsidRPr="00BB1B38">
        <w:rPr>
          <w:lang w:val="fr-FR"/>
        </w:rPr>
        <w:t>DS 667</w:t>
      </w:r>
      <w:r w:rsidRPr="00BB1B38">
        <w:rPr>
          <w:lang w:val="fr-FR"/>
        </w:rPr>
        <w:tab/>
        <w:t xml:space="preserve">Aux alinéas a), b), b) i) et c), remplacer </w:t>
      </w:r>
      <w:proofErr w:type="gramStart"/>
      <w:r w:rsidRPr="00BB1B38">
        <w:rPr>
          <w:lang w:val="fr-FR"/>
        </w:rPr>
        <w:t>« ,</w:t>
      </w:r>
      <w:proofErr w:type="gramEnd"/>
      <w:r w:rsidRPr="00BB1B38">
        <w:rPr>
          <w:lang w:val="fr-FR"/>
        </w:rPr>
        <w:t xml:space="preserve"> machines ou objets » par « ou machines ».</w:t>
      </w:r>
    </w:p>
    <w:p w:rsidR="007A5D72" w:rsidRPr="00BB1B38" w:rsidRDefault="007A5D72" w:rsidP="007A5D72">
      <w:pPr>
        <w:pStyle w:val="SingleTxtG"/>
        <w:tabs>
          <w:tab w:val="left" w:pos="2268"/>
        </w:tabs>
        <w:ind w:left="2268" w:hanging="1134"/>
        <w:rPr>
          <w:lang w:val="fr-FR"/>
        </w:rPr>
      </w:pPr>
      <w:r w:rsidRPr="00BB1B38">
        <w:rPr>
          <w:lang w:val="fr-FR"/>
        </w:rPr>
        <w:tab/>
        <w:t xml:space="preserve">À l’alinéa b) ii), remplacer </w:t>
      </w:r>
      <w:proofErr w:type="gramStart"/>
      <w:r w:rsidRPr="00BB1B38">
        <w:rPr>
          <w:lang w:val="fr-FR"/>
        </w:rPr>
        <w:t>« ,</w:t>
      </w:r>
      <w:proofErr w:type="gramEnd"/>
      <w:r w:rsidRPr="00BB1B38">
        <w:rPr>
          <w:lang w:val="fr-FR"/>
        </w:rPr>
        <w:t xml:space="preserve"> la machine ou l’objet » par « ou la machine ».</w:t>
      </w:r>
    </w:p>
    <w:p w:rsidR="007A5D72" w:rsidRPr="00CE320A" w:rsidRDefault="007A5D72" w:rsidP="007A5D72">
      <w:pPr>
        <w:pStyle w:val="SingleTxtG"/>
        <w:rPr>
          <w:i/>
          <w:iCs/>
          <w:lang w:val="fr-FR"/>
        </w:rPr>
      </w:pPr>
      <w:r w:rsidRPr="00CE320A">
        <w:rPr>
          <w:i/>
          <w:iCs/>
          <w:lang w:val="fr-FR"/>
        </w:rPr>
        <w:t>(Document de référence : ECE/TRANS/WP.15/AC.1/154)</w:t>
      </w:r>
    </w:p>
    <w:p w:rsidR="007A5D72" w:rsidRPr="00BB1B38" w:rsidRDefault="007A5D72" w:rsidP="007A5D72">
      <w:pPr>
        <w:pStyle w:val="SingleTxtG"/>
        <w:tabs>
          <w:tab w:val="left" w:pos="2268"/>
        </w:tabs>
        <w:ind w:left="2268" w:hanging="1134"/>
        <w:rPr>
          <w:lang w:val="fr-FR"/>
        </w:rPr>
      </w:pPr>
      <w:r w:rsidRPr="00BB1B38">
        <w:rPr>
          <w:lang w:val="fr-FR"/>
        </w:rPr>
        <w:t>DS 671</w:t>
      </w:r>
      <w:r w:rsidRPr="00BB1B38">
        <w:rPr>
          <w:lang w:val="fr-FR"/>
        </w:rPr>
        <w:tab/>
        <w:t>Ajouter le nouveau paragraphe suivant à la fin :</w:t>
      </w:r>
    </w:p>
    <w:p w:rsidR="007A5D72" w:rsidRPr="00BB1B38" w:rsidRDefault="007A5D72" w:rsidP="007A5D72">
      <w:pPr>
        <w:pStyle w:val="SingleTxtG"/>
        <w:rPr>
          <w:lang w:val="fr-FR"/>
        </w:rPr>
      </w:pPr>
      <w:r w:rsidRPr="00BB1B38">
        <w:rPr>
          <w:lang w:val="fr-FR"/>
        </w:rPr>
        <w:tab/>
        <w:t>« Les trousses contenant uniquement des marchandises dangereuses auxquelles aucun groupe d’emballage n’est assigné doivent être affectées à la catégorie de transport 2 aux fins de l’établissement des documents de transport et des exemptions liées aux quantités transportées par unité de transport (voir 1.1.3.6). ».</w:t>
      </w:r>
    </w:p>
    <w:p w:rsidR="007A5D72" w:rsidRPr="00CE320A" w:rsidRDefault="007A5D72" w:rsidP="007A5D72">
      <w:pPr>
        <w:pStyle w:val="SingleTxtG"/>
        <w:rPr>
          <w:i/>
          <w:iCs/>
          <w:lang w:val="fr-FR"/>
        </w:rPr>
      </w:pPr>
      <w:r w:rsidRPr="00CE320A">
        <w:rPr>
          <w:i/>
          <w:iCs/>
          <w:lang w:val="fr-FR"/>
        </w:rPr>
        <w:t>(Document de référence : ECE/TRANS/WP.15/AC.1/154)</w:t>
      </w:r>
    </w:p>
    <w:p w:rsidR="007A5D72" w:rsidRPr="00BB1B38" w:rsidRDefault="007A5D72" w:rsidP="007A5D72">
      <w:pPr>
        <w:pStyle w:val="H1G"/>
        <w:rPr>
          <w:lang w:val="fr-FR"/>
        </w:rPr>
      </w:pPr>
      <w:r w:rsidRPr="00BB1B38">
        <w:rPr>
          <w:lang w:val="fr-FR"/>
        </w:rPr>
        <w:tab/>
      </w:r>
      <w:r w:rsidRPr="00BB1B38">
        <w:rPr>
          <w:lang w:val="fr-FR"/>
        </w:rPr>
        <w:tab/>
        <w:t>Chapitre 4.1</w:t>
      </w:r>
    </w:p>
    <w:p w:rsidR="007A5D72" w:rsidRPr="00BB1B38" w:rsidRDefault="007A5D72" w:rsidP="007A5D72">
      <w:pPr>
        <w:pStyle w:val="SingleTxtG"/>
        <w:spacing w:before="120" w:line="240" w:lineRule="auto"/>
        <w:ind w:left="2259" w:hanging="1125"/>
        <w:jc w:val="left"/>
        <w:rPr>
          <w:lang w:val="fr-FR"/>
        </w:rPr>
      </w:pPr>
      <w:r w:rsidRPr="00BB1B38">
        <w:rPr>
          <w:bCs/>
          <w:lang w:val="fr-FR"/>
        </w:rPr>
        <w:t>4.1.1.3</w:t>
      </w:r>
      <w:r w:rsidRPr="00BB1B38">
        <w:rPr>
          <w:bCs/>
          <w:lang w:val="fr-FR"/>
        </w:rPr>
        <w:tab/>
      </w:r>
      <w:r w:rsidRPr="00BB1B38">
        <w:rPr>
          <w:lang w:val="fr-FR"/>
        </w:rPr>
        <w:t>Supprimer la dernière phrase.</w:t>
      </w:r>
    </w:p>
    <w:p w:rsidR="007A5D72" w:rsidRPr="00CE320A" w:rsidRDefault="007A5D72" w:rsidP="007A5D72">
      <w:pPr>
        <w:pStyle w:val="SingleTxtG"/>
        <w:rPr>
          <w:i/>
          <w:iCs/>
          <w:lang w:val="fr-FR"/>
        </w:rPr>
      </w:pPr>
      <w:r w:rsidRPr="00CE320A">
        <w:rPr>
          <w:i/>
          <w:iCs/>
          <w:lang w:val="fr-FR"/>
        </w:rPr>
        <w:t>(Document de référence : ECE/TRANS/WP.15/AC.1/154)</w:t>
      </w:r>
    </w:p>
    <w:p w:rsidR="007A5D72" w:rsidRPr="00BB1B38" w:rsidRDefault="007A5D72" w:rsidP="007A5D72">
      <w:pPr>
        <w:pStyle w:val="H1G"/>
        <w:rPr>
          <w:lang w:val="fr-FR"/>
        </w:rPr>
      </w:pPr>
      <w:r w:rsidRPr="00BB1B38">
        <w:rPr>
          <w:lang w:val="fr-FR"/>
        </w:rPr>
        <w:tab/>
      </w:r>
      <w:r w:rsidRPr="00BB1B38">
        <w:rPr>
          <w:lang w:val="fr-FR"/>
        </w:rPr>
        <w:tab/>
        <w:t>Chapitre 5.4</w:t>
      </w:r>
    </w:p>
    <w:p w:rsidR="007A5D72" w:rsidRDefault="007A5D72" w:rsidP="007A5D72">
      <w:pPr>
        <w:pStyle w:val="SingleTxtG"/>
        <w:ind w:left="2268" w:hanging="1134"/>
        <w:rPr>
          <w:lang w:val="fr-FR"/>
        </w:rPr>
      </w:pPr>
      <w:r w:rsidRPr="00BB1B38">
        <w:rPr>
          <w:lang w:val="fr-FR"/>
        </w:rPr>
        <w:t>5.4.1.1.1 k)</w:t>
      </w:r>
      <w:r w:rsidRPr="00BB1B38">
        <w:rPr>
          <w:lang w:val="fr-FR"/>
        </w:rPr>
        <w:tab/>
        <w:t xml:space="preserve">Dans la première phrase, après « restriction en tunnels », ajouter « en majuscules et entre parenthèses ou la mention </w:t>
      </w:r>
      <w:proofErr w:type="gramStart"/>
      <w:r w:rsidR="004C5540" w:rsidRPr="00487995">
        <w:t>“(</w:t>
      </w:r>
      <w:proofErr w:type="gramEnd"/>
      <w:r w:rsidR="004C5540" w:rsidRPr="00487995">
        <w:t>-)”</w:t>
      </w:r>
      <w:r w:rsidRPr="00BB1B38">
        <w:rPr>
          <w:lang w:val="fr-FR"/>
        </w:rPr>
        <w:t xml:space="preserve"> » et après « du chapitre 3.2 », supprimer « , en majuscules et entre parenthèses ». Dans la deuxième phrase après « restriction en tunnels », ajouter « ou la mention </w:t>
      </w:r>
      <w:proofErr w:type="gramStart"/>
      <w:r w:rsidR="004C5540" w:rsidRPr="00487995">
        <w:t>“(</w:t>
      </w:r>
      <w:proofErr w:type="gramEnd"/>
      <w:r w:rsidR="004C5540" w:rsidRPr="00487995">
        <w:t>-)”</w:t>
      </w:r>
      <w:r w:rsidRPr="00BB1B38">
        <w:rPr>
          <w:lang w:val="fr-FR"/>
        </w:rPr>
        <w:t xml:space="preserve"> ».</w:t>
      </w:r>
    </w:p>
    <w:p w:rsidR="00CC494F" w:rsidRPr="00CC494F" w:rsidRDefault="00CC494F" w:rsidP="007A5D72">
      <w:pPr>
        <w:pStyle w:val="SingleTxtG"/>
        <w:ind w:left="2268" w:hanging="1134"/>
        <w:rPr>
          <w:i/>
          <w:iCs/>
          <w:lang w:val="fr-FR"/>
        </w:rPr>
      </w:pPr>
      <w:bookmarkStart w:id="7" w:name="_Hlk10018991"/>
      <w:r>
        <w:rPr>
          <w:i/>
          <w:iCs/>
          <w:lang w:val="fr-FR"/>
        </w:rPr>
        <w:t xml:space="preserve">Amendement de conséquence : Au </w:t>
      </w:r>
      <w:r w:rsidRPr="00CC494F">
        <w:rPr>
          <w:i/>
          <w:iCs/>
          <w:lang w:val="fr-FR"/>
        </w:rPr>
        <w:t>5.4.1.1.1 k)</w:t>
      </w:r>
      <w:r>
        <w:rPr>
          <w:i/>
          <w:iCs/>
          <w:lang w:val="fr-FR"/>
        </w:rPr>
        <w:t>, au début, supprimer « le cas échéant, ».</w:t>
      </w:r>
    </w:p>
    <w:bookmarkEnd w:id="7"/>
    <w:p w:rsidR="007A5D72" w:rsidRPr="00CE320A" w:rsidRDefault="007A5D72" w:rsidP="007A5D72">
      <w:pPr>
        <w:pStyle w:val="SingleTxtG"/>
        <w:rPr>
          <w:i/>
          <w:iCs/>
          <w:lang w:val="fr-FR"/>
        </w:rPr>
      </w:pPr>
      <w:r w:rsidRPr="00CE320A">
        <w:rPr>
          <w:i/>
          <w:iCs/>
          <w:lang w:val="fr-FR"/>
        </w:rPr>
        <w:t>(Document de référence : ECE/TRANS/WP.15/2019/4)</w:t>
      </w:r>
    </w:p>
    <w:p w:rsidR="007A5D72" w:rsidRPr="00BB1B38" w:rsidRDefault="007A5D72" w:rsidP="007A5D72">
      <w:pPr>
        <w:pStyle w:val="H1G"/>
        <w:rPr>
          <w:lang w:val="fr-FR"/>
        </w:rPr>
      </w:pPr>
      <w:r w:rsidRPr="00BB1B38">
        <w:rPr>
          <w:lang w:val="fr-FR"/>
        </w:rPr>
        <w:lastRenderedPageBreak/>
        <w:tab/>
      </w:r>
      <w:r w:rsidRPr="00BB1B38">
        <w:rPr>
          <w:lang w:val="fr-FR"/>
        </w:rPr>
        <w:tab/>
        <w:t>Chapitre 6.2</w:t>
      </w:r>
    </w:p>
    <w:p w:rsidR="007A5D72" w:rsidRPr="00BB1B38" w:rsidRDefault="007A5D72" w:rsidP="007A5D72">
      <w:pPr>
        <w:pStyle w:val="SingleTxtG"/>
        <w:tabs>
          <w:tab w:val="left" w:pos="2268"/>
        </w:tabs>
        <w:ind w:left="2268" w:hanging="1134"/>
        <w:rPr>
          <w:lang w:val="fr-FR"/>
        </w:rPr>
      </w:pPr>
      <w:r w:rsidRPr="00BB1B38">
        <w:rPr>
          <w:bCs/>
          <w:lang w:val="fr-FR"/>
        </w:rPr>
        <w:t>6.2.5</w:t>
      </w:r>
      <w:r w:rsidRPr="00BB1B38">
        <w:rPr>
          <w:bCs/>
          <w:lang w:val="fr-FR"/>
        </w:rPr>
        <w:tab/>
      </w:r>
      <w:r w:rsidRPr="00BB1B38">
        <w:rPr>
          <w:lang w:val="fr-FR"/>
        </w:rPr>
        <w:t>Insérer le nouveau paragraphe suivant après le deuxième paragraphe :</w:t>
      </w:r>
    </w:p>
    <w:p w:rsidR="007A5D72" w:rsidRPr="00BB1B38" w:rsidRDefault="007A5D72" w:rsidP="007A5D72">
      <w:pPr>
        <w:pStyle w:val="SingleTxtG"/>
        <w:rPr>
          <w:lang w:val="fr-FR"/>
        </w:rPr>
      </w:pPr>
      <w:r w:rsidRPr="00BB1B38">
        <w:rPr>
          <w:lang w:val="fr-FR"/>
        </w:rPr>
        <w:tab/>
        <w:t>« Dès qu’une norme nouvellement référencée au 6.2.2 ou au 6.2.4 peut être appliquée, l’autorité compétente doit retirer sa reconnaissance du code technique correspondant. Une période transitoire s’achevant au plus tard à la date d’entrée en vigueur de l’édition suivante d</w:t>
      </w:r>
      <w:r w:rsidR="002E7AC0">
        <w:rPr>
          <w:lang w:val="fr-FR"/>
        </w:rPr>
        <w:t>e l’</w:t>
      </w:r>
      <w:r w:rsidRPr="00BB1B38">
        <w:rPr>
          <w:lang w:val="fr-FR"/>
        </w:rPr>
        <w:t>ADR peut s’appliquer. ».</w:t>
      </w:r>
    </w:p>
    <w:p w:rsidR="007A5D72" w:rsidRPr="00BB1B38" w:rsidRDefault="007A5D72" w:rsidP="007A5D72">
      <w:pPr>
        <w:pStyle w:val="SingleTxtG"/>
        <w:tabs>
          <w:tab w:val="left" w:pos="2268"/>
        </w:tabs>
        <w:ind w:left="2268" w:hanging="1134"/>
        <w:rPr>
          <w:lang w:val="fr-FR"/>
        </w:rPr>
      </w:pPr>
      <w:r w:rsidRPr="00BB1B38">
        <w:rPr>
          <w:lang w:val="fr-FR"/>
        </w:rPr>
        <w:tab/>
        <w:t>À la fin de la première phrase du nouveau quatrième paragraphe, ajouter « et elle doit la mettre à jour en cas de modification. ».</w:t>
      </w:r>
    </w:p>
    <w:p w:rsidR="007A5D72" w:rsidRPr="00CE320A" w:rsidRDefault="007A5D72" w:rsidP="007A5D72">
      <w:pPr>
        <w:pStyle w:val="SingleTxtG"/>
        <w:rPr>
          <w:i/>
          <w:iCs/>
          <w:lang w:val="fr-FR"/>
        </w:rPr>
      </w:pPr>
      <w:r w:rsidRPr="00CE320A">
        <w:rPr>
          <w:i/>
          <w:iCs/>
          <w:lang w:val="fr-FR"/>
        </w:rPr>
        <w:t>(Document de référence : ECE/TRANS/WP.15/AC.1/154)</w:t>
      </w:r>
    </w:p>
    <w:p w:rsidR="007A5D72" w:rsidRPr="00BB1B38" w:rsidRDefault="007A5D72" w:rsidP="007A5D72">
      <w:pPr>
        <w:pStyle w:val="H1G"/>
        <w:rPr>
          <w:lang w:val="fr-FR"/>
        </w:rPr>
      </w:pPr>
      <w:r w:rsidRPr="00BB1B38">
        <w:rPr>
          <w:lang w:val="fr-FR"/>
        </w:rPr>
        <w:tab/>
      </w:r>
      <w:r w:rsidRPr="00BB1B38">
        <w:rPr>
          <w:lang w:val="fr-FR"/>
        </w:rPr>
        <w:tab/>
      </w:r>
      <w:r w:rsidRPr="00BB1B38">
        <w:rPr>
          <w:lang w:val="fr-FR"/>
        </w:rPr>
        <w:tab/>
        <w:t>Chapitre 6.8</w:t>
      </w:r>
    </w:p>
    <w:p w:rsidR="007A5D72" w:rsidRPr="00BB1B38" w:rsidRDefault="007A5D72" w:rsidP="007A5D72">
      <w:pPr>
        <w:pStyle w:val="SingleTxtG"/>
        <w:spacing w:before="120" w:line="240" w:lineRule="auto"/>
        <w:ind w:left="2259" w:hanging="1125"/>
        <w:jc w:val="left"/>
        <w:rPr>
          <w:lang w:val="fr-FR"/>
        </w:rPr>
      </w:pPr>
      <w:r w:rsidRPr="00BB1B38">
        <w:rPr>
          <w:bCs/>
          <w:lang w:val="fr-FR"/>
        </w:rPr>
        <w:t>6.8.2.5.1</w:t>
      </w:r>
      <w:r w:rsidRPr="00BB1B38">
        <w:rPr>
          <w:b/>
          <w:lang w:val="fr-FR"/>
        </w:rPr>
        <w:tab/>
      </w:r>
      <w:r w:rsidRPr="00BB1B38">
        <w:rPr>
          <w:lang w:val="fr-FR"/>
        </w:rPr>
        <w:t>Modifier le neuvième alinéa pour lire comme suit :</w:t>
      </w:r>
    </w:p>
    <w:p w:rsidR="007A5D72" w:rsidRPr="00BB1B38" w:rsidRDefault="007A5D72" w:rsidP="007A5D72">
      <w:pPr>
        <w:pStyle w:val="SingleTxtG"/>
        <w:rPr>
          <w:lang w:val="fr-FR"/>
        </w:rPr>
      </w:pPr>
      <w:r w:rsidRPr="00BB1B38">
        <w:rPr>
          <w:lang w:val="fr-FR"/>
        </w:rPr>
        <w:t>« -</w:t>
      </w:r>
      <w:r w:rsidRPr="00BB1B38">
        <w:rPr>
          <w:lang w:val="fr-FR"/>
        </w:rPr>
        <w:tab/>
        <w:t>date et type du dernier contrôle subi : « mois, année » suivis par un « P » lorsque ce contrôle est le contrôle initial ou un contrôle périodique selon les 6.8.2.4.1 et 6.8.2.4.2, ou « mois, année » suivis par un « L » lorsque ce contrôle est un contrôle d’étanchéité intermédiaire selon le 6.8.2.4.3 ; ».</w:t>
      </w:r>
    </w:p>
    <w:p w:rsidR="007A5D72" w:rsidRPr="00BB1B38" w:rsidRDefault="007A5D72" w:rsidP="007A5D72">
      <w:pPr>
        <w:pStyle w:val="SingleTxtG"/>
        <w:tabs>
          <w:tab w:val="left" w:pos="2268"/>
        </w:tabs>
        <w:ind w:left="2268" w:hanging="1134"/>
        <w:rPr>
          <w:lang w:val="fr-FR"/>
        </w:rPr>
      </w:pPr>
      <w:r w:rsidRPr="00BB1B38">
        <w:rPr>
          <w:lang w:val="fr-FR"/>
        </w:rPr>
        <w:tab/>
        <w:t>Au dixième alinéa, remplacer « aux épreuves » par « au contrôle ».</w:t>
      </w:r>
    </w:p>
    <w:p w:rsidR="007A5D72" w:rsidRPr="00CE320A" w:rsidRDefault="007A5D72" w:rsidP="007A5D72">
      <w:pPr>
        <w:pStyle w:val="SingleTxtG"/>
        <w:rPr>
          <w:i/>
          <w:iCs/>
          <w:lang w:val="fr-FR"/>
        </w:rPr>
      </w:pPr>
      <w:r w:rsidRPr="00CE320A">
        <w:rPr>
          <w:i/>
          <w:iCs/>
          <w:lang w:val="fr-FR"/>
        </w:rPr>
        <w:t>(Document de référence : ECE/TRANS/WP.15/AC.1/154)</w:t>
      </w:r>
    </w:p>
    <w:p w:rsidR="007A5D72" w:rsidRPr="00BB1B38" w:rsidRDefault="007A5D72" w:rsidP="007A5D72">
      <w:pPr>
        <w:pStyle w:val="SingleTxtG"/>
        <w:tabs>
          <w:tab w:val="left" w:pos="2268"/>
        </w:tabs>
        <w:ind w:left="2268" w:hanging="1134"/>
        <w:rPr>
          <w:lang w:val="fr-FR"/>
        </w:rPr>
      </w:pPr>
      <w:r w:rsidRPr="00BB1B38">
        <w:rPr>
          <w:bCs/>
          <w:lang w:val="fr-FR"/>
        </w:rPr>
        <w:t>6.8.2.7</w:t>
      </w:r>
      <w:r w:rsidRPr="00BB1B38">
        <w:rPr>
          <w:b/>
          <w:lang w:val="fr-FR"/>
        </w:rPr>
        <w:tab/>
      </w:r>
      <w:r w:rsidRPr="00BB1B38">
        <w:rPr>
          <w:lang w:val="fr-FR"/>
        </w:rPr>
        <w:t>Insérer le nouveau paragraphe suivant après le premier paragraphe :</w:t>
      </w:r>
    </w:p>
    <w:p w:rsidR="007A5D72" w:rsidRPr="00BB1B38" w:rsidRDefault="007A5D72" w:rsidP="007A5D72">
      <w:pPr>
        <w:pStyle w:val="SingleTxtG"/>
        <w:rPr>
          <w:lang w:val="fr-FR"/>
        </w:rPr>
      </w:pPr>
      <w:r w:rsidRPr="00BB1B38">
        <w:rPr>
          <w:lang w:val="fr-FR"/>
        </w:rPr>
        <w:tab/>
        <w:t xml:space="preserve">« Dès qu’une norme nouvellement référencée au 6.8.2.6 peut être appliquée, l’autorité compétente doit retirer sa reconnaissance du code technique correspondant. Une période transitoire s’achevant au plus tard à la date d’entrée en vigueur de l’édition suivante </w:t>
      </w:r>
      <w:r w:rsidR="002E7AC0">
        <w:rPr>
          <w:lang w:val="fr-FR"/>
        </w:rPr>
        <w:t>de l’</w:t>
      </w:r>
      <w:r w:rsidRPr="00BB1B38">
        <w:rPr>
          <w:lang w:val="fr-FR"/>
        </w:rPr>
        <w:t>ADR peut s’appliquer. ».</w:t>
      </w:r>
    </w:p>
    <w:p w:rsidR="007A5D72" w:rsidRPr="00BB1B38" w:rsidRDefault="007A5D72" w:rsidP="007A5D72">
      <w:pPr>
        <w:pStyle w:val="SingleTxtG"/>
        <w:tabs>
          <w:tab w:val="left" w:pos="2268"/>
        </w:tabs>
        <w:ind w:left="2268" w:hanging="1134"/>
        <w:rPr>
          <w:lang w:val="fr-FR"/>
        </w:rPr>
      </w:pPr>
      <w:r w:rsidRPr="00BB1B38">
        <w:rPr>
          <w:lang w:val="fr-FR"/>
        </w:rPr>
        <w:tab/>
        <w:t>À la fin de la première phrase du nouveau troisième paragraphe, ajouter « et elle doit la mettre à jour en cas de modification. ».</w:t>
      </w:r>
    </w:p>
    <w:p w:rsidR="007A5D72" w:rsidRPr="00CE320A" w:rsidRDefault="007A5D72" w:rsidP="007A5D72">
      <w:pPr>
        <w:pStyle w:val="SingleTxtG"/>
        <w:rPr>
          <w:i/>
          <w:iCs/>
          <w:lang w:val="fr-FR"/>
        </w:rPr>
      </w:pPr>
      <w:r w:rsidRPr="00CE320A">
        <w:rPr>
          <w:i/>
          <w:iCs/>
          <w:lang w:val="fr-FR"/>
        </w:rPr>
        <w:t>(Document de référence : ECE/TRANS/WP.15/AC.1/154)</w:t>
      </w:r>
    </w:p>
    <w:p w:rsidR="007A5D72" w:rsidRPr="00BB1B38" w:rsidRDefault="007A5D72" w:rsidP="007A5D72">
      <w:pPr>
        <w:pStyle w:val="SingleTxtG"/>
        <w:tabs>
          <w:tab w:val="left" w:pos="2268"/>
        </w:tabs>
        <w:ind w:left="2268" w:hanging="1134"/>
        <w:rPr>
          <w:lang w:val="fr-FR"/>
        </w:rPr>
      </w:pPr>
      <w:r w:rsidRPr="00BB1B38">
        <w:rPr>
          <w:bCs/>
          <w:lang w:val="fr-FR"/>
        </w:rPr>
        <w:t>6.8.3.5.10</w:t>
      </w:r>
      <w:r w:rsidRPr="00BB1B38">
        <w:rPr>
          <w:b/>
          <w:lang w:val="fr-FR"/>
        </w:rPr>
        <w:tab/>
      </w:r>
      <w:r w:rsidRPr="00BB1B38">
        <w:rPr>
          <w:lang w:val="fr-FR"/>
        </w:rPr>
        <w:t>Au septième alinéa, remplacer « de l'épreuve initiale » par « du contrôle initial ».</w:t>
      </w:r>
    </w:p>
    <w:p w:rsidR="007A5D72" w:rsidRPr="00BB1B38" w:rsidRDefault="007A5D72" w:rsidP="007A5D72">
      <w:pPr>
        <w:pStyle w:val="SingleTxtG"/>
        <w:tabs>
          <w:tab w:val="left" w:pos="2268"/>
        </w:tabs>
        <w:ind w:left="2268" w:hanging="1134"/>
        <w:rPr>
          <w:lang w:val="fr-FR"/>
        </w:rPr>
      </w:pPr>
      <w:r w:rsidRPr="00BB1B38">
        <w:rPr>
          <w:lang w:val="fr-FR"/>
        </w:rPr>
        <w:tab/>
        <w:t>Au septième alinéa, remplacer « de la dernière épreuve périodique » par « du dernier contrôle périodique ».</w:t>
      </w:r>
    </w:p>
    <w:p w:rsidR="007A5D72" w:rsidRPr="00BB1B38" w:rsidRDefault="007A5D72" w:rsidP="007A5D72">
      <w:pPr>
        <w:pStyle w:val="SingleTxtG"/>
        <w:tabs>
          <w:tab w:val="left" w:pos="2268"/>
        </w:tabs>
        <w:ind w:left="2268" w:hanging="1134"/>
        <w:rPr>
          <w:lang w:val="fr-FR"/>
        </w:rPr>
      </w:pPr>
      <w:r w:rsidRPr="00BB1B38">
        <w:rPr>
          <w:lang w:val="fr-FR"/>
        </w:rPr>
        <w:tab/>
        <w:t>Au huitième alinéa, remplacer « aux épreuves » par « au contrôle ».</w:t>
      </w:r>
    </w:p>
    <w:p w:rsidR="007A5D72" w:rsidRPr="00CE320A" w:rsidRDefault="007A5D72" w:rsidP="007A5D72">
      <w:pPr>
        <w:pStyle w:val="SingleTxtG"/>
        <w:rPr>
          <w:i/>
          <w:iCs/>
          <w:lang w:val="fr-FR"/>
        </w:rPr>
      </w:pPr>
      <w:r w:rsidRPr="00CE320A">
        <w:rPr>
          <w:i/>
          <w:iCs/>
          <w:lang w:val="fr-FR"/>
        </w:rPr>
        <w:t>(Document de référence : ECE/TRANS/WP.15/AC.1/154)</w:t>
      </w:r>
    </w:p>
    <w:p w:rsidR="007A5D72" w:rsidRPr="00BB1B38" w:rsidRDefault="007A5D72" w:rsidP="007A5D72">
      <w:pPr>
        <w:pStyle w:val="SingleTxtG"/>
        <w:tabs>
          <w:tab w:val="left" w:pos="2268"/>
        </w:tabs>
        <w:ind w:left="2268" w:hanging="1134"/>
        <w:rPr>
          <w:lang w:val="fr-FR"/>
        </w:rPr>
      </w:pPr>
      <w:r w:rsidRPr="00BB1B38">
        <w:rPr>
          <w:lang w:val="fr-FR"/>
        </w:rPr>
        <w:t>6.8.3.7</w:t>
      </w:r>
      <w:r w:rsidRPr="00BB1B38">
        <w:rPr>
          <w:lang w:val="fr-FR"/>
        </w:rPr>
        <w:tab/>
        <w:t>Insérer le nouveau paragraphe suivant après le premier paragraphe :</w:t>
      </w:r>
    </w:p>
    <w:p w:rsidR="007A5D72" w:rsidRPr="00BB1B38" w:rsidRDefault="007A5D72" w:rsidP="007A5D72">
      <w:pPr>
        <w:pStyle w:val="SingleTxtG"/>
        <w:rPr>
          <w:lang w:val="fr-FR"/>
        </w:rPr>
      </w:pPr>
      <w:r w:rsidRPr="00BB1B38">
        <w:rPr>
          <w:lang w:val="fr-FR"/>
        </w:rPr>
        <w:tab/>
        <w:t>« Dès qu’une norme nouvellement référencée au 6.8.3.6 peut être appliquée, l’autorité compétente doit retirer sa reconnaissance du code technique correspondant. Une période transitoire s’achevant au plus tard à la date d’entrée en vigueur de l’édition suivante d</w:t>
      </w:r>
      <w:r w:rsidR="002E7AC0">
        <w:rPr>
          <w:lang w:val="fr-FR"/>
        </w:rPr>
        <w:t>e l’</w:t>
      </w:r>
      <w:r w:rsidRPr="00BB1B38">
        <w:rPr>
          <w:lang w:val="fr-FR"/>
        </w:rPr>
        <w:t>ADR peut s’appliquer. ».</w:t>
      </w:r>
    </w:p>
    <w:p w:rsidR="007A5D72" w:rsidRPr="00BB1B38" w:rsidRDefault="007A5D72" w:rsidP="007A5D72">
      <w:pPr>
        <w:pStyle w:val="SingleTxtG"/>
        <w:tabs>
          <w:tab w:val="left" w:pos="2268"/>
        </w:tabs>
        <w:ind w:left="2268" w:hanging="1134"/>
        <w:rPr>
          <w:lang w:val="fr-FR"/>
        </w:rPr>
      </w:pPr>
      <w:r w:rsidRPr="00BB1B38">
        <w:rPr>
          <w:lang w:val="fr-FR"/>
        </w:rPr>
        <w:tab/>
        <w:t>À la fin de la première phrase du nouveau quatrième paragraphe, ajouter « et elle doit la mettre à jour en cas de modification. ».</w:t>
      </w:r>
    </w:p>
    <w:p w:rsidR="007A5D72" w:rsidRPr="00CE320A" w:rsidRDefault="007A5D72" w:rsidP="007A5D72">
      <w:pPr>
        <w:pStyle w:val="SingleTxtG"/>
        <w:rPr>
          <w:i/>
          <w:iCs/>
          <w:lang w:val="fr-FR"/>
        </w:rPr>
      </w:pPr>
      <w:r w:rsidRPr="00CE320A">
        <w:rPr>
          <w:i/>
          <w:iCs/>
          <w:lang w:val="fr-FR"/>
        </w:rPr>
        <w:t>(Document de référence : ECE/TRANS/WP.15/AC.1/154)</w:t>
      </w:r>
    </w:p>
    <w:p w:rsidR="007A5D72" w:rsidRPr="00BB1B38" w:rsidRDefault="007A5D72" w:rsidP="007A5D72">
      <w:pPr>
        <w:pStyle w:val="SingleTxtG"/>
        <w:keepNext/>
        <w:keepLines/>
        <w:spacing w:before="120" w:line="240" w:lineRule="auto"/>
        <w:ind w:left="2259" w:hanging="1125"/>
        <w:jc w:val="left"/>
        <w:rPr>
          <w:iCs/>
          <w:lang w:val="fr-FR"/>
        </w:rPr>
      </w:pPr>
      <w:r w:rsidRPr="00BB1B38">
        <w:rPr>
          <w:bCs/>
          <w:iCs/>
          <w:lang w:val="fr-FR"/>
        </w:rPr>
        <w:t>6.8.4, TT6</w:t>
      </w:r>
      <w:r w:rsidRPr="00BB1B38">
        <w:rPr>
          <w:bCs/>
          <w:iCs/>
          <w:lang w:val="fr-FR"/>
        </w:rPr>
        <w:tab/>
      </w:r>
      <w:r w:rsidRPr="00BB1B38">
        <w:rPr>
          <w:iCs/>
          <w:lang w:val="fr-FR"/>
        </w:rPr>
        <w:t>Dans la colonne de gauche, modifier le texte pour lire comme suit :</w:t>
      </w:r>
    </w:p>
    <w:p w:rsidR="007A5D72" w:rsidRPr="00BB1B38" w:rsidRDefault="007A5D72" w:rsidP="007A5D72">
      <w:pPr>
        <w:pStyle w:val="SingleTxtG"/>
        <w:rPr>
          <w:lang w:val="fr-FR"/>
        </w:rPr>
      </w:pPr>
      <w:r w:rsidRPr="00BB1B38">
        <w:rPr>
          <w:lang w:val="fr-FR"/>
        </w:rPr>
        <w:t>« Le contrôle périodique doit avoir lieu au plus tard tous les trois ans. ».</w:t>
      </w:r>
    </w:p>
    <w:p w:rsidR="007A5D72" w:rsidRPr="00CE320A" w:rsidRDefault="007A5D72" w:rsidP="007A5D72">
      <w:pPr>
        <w:pStyle w:val="SingleTxtG"/>
        <w:rPr>
          <w:i/>
          <w:iCs/>
          <w:lang w:val="fr-FR"/>
        </w:rPr>
      </w:pPr>
      <w:r w:rsidRPr="00CE320A">
        <w:rPr>
          <w:i/>
          <w:iCs/>
          <w:lang w:val="fr-FR"/>
        </w:rPr>
        <w:t>(Document de référence : ECE/TRANS/WP.15/AC.1/154)</w:t>
      </w:r>
    </w:p>
    <w:p w:rsidR="007A5D72" w:rsidRPr="00BB1B38" w:rsidRDefault="007A5D72" w:rsidP="007A5D72">
      <w:pPr>
        <w:pStyle w:val="SingleTxtG"/>
        <w:rPr>
          <w:lang w:val="fr-FR"/>
        </w:rPr>
      </w:pPr>
      <w:r w:rsidRPr="00BB1B38">
        <w:rPr>
          <w:bCs/>
          <w:lang w:val="fr-FR"/>
        </w:rPr>
        <w:t>6.8.4, TT8</w:t>
      </w:r>
      <w:r w:rsidRPr="00BB1B38">
        <w:rPr>
          <w:bCs/>
          <w:lang w:val="fr-FR"/>
        </w:rPr>
        <w:tab/>
      </w:r>
      <w:r w:rsidRPr="00BB1B38">
        <w:rPr>
          <w:lang w:val="fr-FR"/>
        </w:rPr>
        <w:t>Au premier paragraphe, remplacer « épreuve » par « contrôle ».</w:t>
      </w:r>
    </w:p>
    <w:p w:rsidR="007A5D72" w:rsidRPr="00CE320A" w:rsidRDefault="007A5D72" w:rsidP="007A5D72">
      <w:pPr>
        <w:pStyle w:val="SingleTxtG"/>
        <w:rPr>
          <w:i/>
          <w:iCs/>
          <w:lang w:val="fr-FR"/>
        </w:rPr>
      </w:pPr>
      <w:r w:rsidRPr="00CE320A">
        <w:rPr>
          <w:i/>
          <w:iCs/>
          <w:lang w:val="fr-FR"/>
        </w:rPr>
        <w:t>(Document de référence : ECE/TRANS/WP.15/AC.1/154)</w:t>
      </w:r>
    </w:p>
    <w:p w:rsidR="007A5D72" w:rsidRPr="00BB1B38" w:rsidRDefault="007A5D72" w:rsidP="007A5D72">
      <w:pPr>
        <w:pStyle w:val="H1G"/>
        <w:rPr>
          <w:lang w:val="fr-FR"/>
        </w:rPr>
      </w:pPr>
      <w:r>
        <w:rPr>
          <w:lang w:val="fr-FR"/>
        </w:rPr>
        <w:lastRenderedPageBreak/>
        <w:tab/>
      </w:r>
      <w:r>
        <w:rPr>
          <w:lang w:val="fr-FR"/>
        </w:rPr>
        <w:tab/>
        <w:t>Chapitre 6.10</w:t>
      </w:r>
    </w:p>
    <w:p w:rsidR="007A5D72" w:rsidRPr="00BB1B38" w:rsidRDefault="007A5D72" w:rsidP="007A5D72">
      <w:pPr>
        <w:pStyle w:val="SingleTxtG"/>
        <w:spacing w:before="120" w:line="240" w:lineRule="auto"/>
        <w:ind w:left="2259" w:hanging="1125"/>
        <w:jc w:val="left"/>
        <w:rPr>
          <w:lang w:val="fr-FR"/>
        </w:rPr>
      </w:pPr>
      <w:r w:rsidRPr="00BB1B38">
        <w:rPr>
          <w:bCs/>
          <w:lang w:val="fr-FR"/>
        </w:rPr>
        <w:t>6.10.4</w:t>
      </w:r>
      <w:r w:rsidRPr="00BB1B38">
        <w:rPr>
          <w:b/>
          <w:lang w:val="fr-FR"/>
        </w:rPr>
        <w:tab/>
      </w:r>
      <w:r w:rsidRPr="00BB1B38">
        <w:rPr>
          <w:lang w:val="fr-FR"/>
        </w:rPr>
        <w:t>R</w:t>
      </w:r>
      <w:r w:rsidRPr="00BB1B38">
        <w:rPr>
          <w:iCs/>
          <w:lang w:val="fr-FR"/>
        </w:rPr>
        <w:t>emplacer « </w:t>
      </w:r>
      <w:r w:rsidRPr="00BB1B38">
        <w:rPr>
          <w:lang w:val="fr-FR"/>
        </w:rPr>
        <w:t>des épreuves</w:t>
      </w:r>
      <w:r w:rsidRPr="00BB1B38">
        <w:rPr>
          <w:iCs/>
          <w:lang w:val="fr-FR"/>
        </w:rPr>
        <w:t> » par </w:t>
      </w:r>
      <w:r w:rsidRPr="00BB1B38">
        <w:rPr>
          <w:lang w:val="fr-FR"/>
        </w:rPr>
        <w:t>« du contrôle ».</w:t>
      </w:r>
    </w:p>
    <w:p w:rsidR="007A5D72" w:rsidRPr="00CE320A" w:rsidRDefault="007A5D72" w:rsidP="007A5D72">
      <w:pPr>
        <w:pStyle w:val="SingleTxtG"/>
        <w:rPr>
          <w:i/>
          <w:iCs/>
          <w:lang w:val="fr-FR"/>
        </w:rPr>
      </w:pPr>
      <w:r w:rsidRPr="00CE320A">
        <w:rPr>
          <w:i/>
          <w:iCs/>
          <w:lang w:val="fr-FR"/>
        </w:rPr>
        <w:t>(Document de référence : ECE/TRANS/WP.15/AC.1/154)</w:t>
      </w:r>
    </w:p>
    <w:p w:rsidR="007A5D72" w:rsidRPr="00BB1B38" w:rsidRDefault="007A5D72" w:rsidP="007A5D72">
      <w:pPr>
        <w:pStyle w:val="H1G"/>
        <w:rPr>
          <w:lang w:val="fr-FR"/>
        </w:rPr>
      </w:pPr>
      <w:r w:rsidRPr="00BB1B38">
        <w:rPr>
          <w:lang w:val="fr-FR"/>
        </w:rPr>
        <w:tab/>
      </w:r>
      <w:r w:rsidRPr="00BB1B38">
        <w:rPr>
          <w:lang w:val="fr-FR"/>
        </w:rPr>
        <w:tab/>
        <w:t>Chapitre 7.5</w:t>
      </w:r>
    </w:p>
    <w:p w:rsidR="007A5D72" w:rsidRPr="00BB1B38" w:rsidRDefault="007A5D72" w:rsidP="007A5D72">
      <w:pPr>
        <w:pStyle w:val="SingleTxtG"/>
        <w:spacing w:before="120" w:line="240" w:lineRule="auto"/>
        <w:jc w:val="left"/>
        <w:rPr>
          <w:lang w:val="fr-FR"/>
        </w:rPr>
      </w:pPr>
      <w:r w:rsidRPr="00BB1B38">
        <w:rPr>
          <w:bCs/>
          <w:lang w:val="fr-FR"/>
        </w:rPr>
        <w:t>7.5.11</w:t>
      </w:r>
      <w:r>
        <w:rPr>
          <w:bCs/>
          <w:lang w:val="fr-FR"/>
        </w:rPr>
        <w:t>, CV36</w:t>
      </w:r>
      <w:r>
        <w:rPr>
          <w:bCs/>
          <w:lang w:val="fr-FR"/>
        </w:rPr>
        <w:tab/>
      </w:r>
      <w:r>
        <w:rPr>
          <w:bCs/>
          <w:lang w:val="fr-FR"/>
        </w:rPr>
        <w:tab/>
      </w:r>
      <w:r w:rsidRPr="00BB1B38">
        <w:rPr>
          <w:lang w:val="fr-FR"/>
        </w:rPr>
        <w:t>Modifier la deuxième phrase pour lire comme suit :</w:t>
      </w:r>
    </w:p>
    <w:p w:rsidR="007A5D72" w:rsidRPr="00BB1B38" w:rsidRDefault="007A5D72" w:rsidP="007A5D72">
      <w:pPr>
        <w:pStyle w:val="SingleTxtG"/>
        <w:rPr>
          <w:lang w:val="fr-FR"/>
        </w:rPr>
      </w:pPr>
      <w:r w:rsidRPr="00BB1B38">
        <w:rPr>
          <w:lang w:val="fr-FR"/>
        </w:rPr>
        <w:t>« Si cela n’est pas possible et que les colis sont chargés dans d’autres véhicules couverts ou conteneurs fermés, aucun échange de gaz ne doit être possible entre le compartiment de chargement et la cabine du conducteur et les portes de chargement de ces véhicules ou conteneurs doivent être marquées comme suit, en lettre d’au moins 25 mm de hauteur :</w:t>
      </w:r>
    </w:p>
    <w:p w:rsidR="007A5D72" w:rsidRPr="00BB1B38" w:rsidRDefault="007A5D72" w:rsidP="00C0540E">
      <w:pPr>
        <w:pStyle w:val="SingleTxtG"/>
        <w:jc w:val="center"/>
        <w:rPr>
          <w:lang w:val="fr-FR"/>
        </w:rPr>
      </w:pPr>
      <w:r w:rsidRPr="00BB1B38">
        <w:rPr>
          <w:lang w:val="fr-FR"/>
        </w:rPr>
        <w:t>« ATTENTION</w:t>
      </w:r>
    </w:p>
    <w:p w:rsidR="007A5D72" w:rsidRPr="00BB1B38" w:rsidRDefault="007A5D72" w:rsidP="00C0540E">
      <w:pPr>
        <w:pStyle w:val="SingleTxtG"/>
        <w:jc w:val="center"/>
        <w:rPr>
          <w:lang w:val="fr-FR"/>
        </w:rPr>
      </w:pPr>
      <w:r w:rsidRPr="00BB1B38">
        <w:rPr>
          <w:lang w:val="fr-FR"/>
        </w:rPr>
        <w:t>ESPACE CONFINÉ</w:t>
      </w:r>
    </w:p>
    <w:p w:rsidR="007A5D72" w:rsidRPr="00BB1B38" w:rsidRDefault="007A5D72" w:rsidP="00C0540E">
      <w:pPr>
        <w:pStyle w:val="SingleTxtG"/>
        <w:jc w:val="center"/>
        <w:rPr>
          <w:lang w:val="fr-FR"/>
        </w:rPr>
      </w:pPr>
      <w:r w:rsidRPr="00BB1B38">
        <w:rPr>
          <w:lang w:val="fr-FR"/>
        </w:rPr>
        <w:t>OUVRIR AVEC PRÉCAUTION » ».</w:t>
      </w:r>
    </w:p>
    <w:p w:rsidR="007A5D72" w:rsidRPr="00CE320A" w:rsidRDefault="007A5D72" w:rsidP="007A5D72">
      <w:pPr>
        <w:pStyle w:val="SingleTxtG"/>
        <w:rPr>
          <w:i/>
          <w:iCs/>
          <w:lang w:val="fr-FR"/>
        </w:rPr>
      </w:pPr>
      <w:r w:rsidRPr="00CE320A">
        <w:rPr>
          <w:i/>
          <w:iCs/>
          <w:lang w:val="fr-FR"/>
        </w:rPr>
        <w:t>(Document de référence : ECE/TRANS/WP.15/AC.1/154)</w:t>
      </w:r>
    </w:p>
    <w:p w:rsidR="007A5D72" w:rsidRPr="00BB1B38" w:rsidRDefault="007A5D72" w:rsidP="007A5D72">
      <w:pPr>
        <w:pStyle w:val="H1G"/>
        <w:rPr>
          <w:lang w:val="fr-FR"/>
        </w:rPr>
      </w:pPr>
      <w:r w:rsidRPr="00BB1B38">
        <w:rPr>
          <w:lang w:val="fr-FR"/>
        </w:rPr>
        <w:tab/>
      </w:r>
      <w:r w:rsidRPr="00BB1B38">
        <w:rPr>
          <w:lang w:val="fr-FR"/>
        </w:rPr>
        <w:tab/>
        <w:t>Chapitre 9.1</w:t>
      </w:r>
    </w:p>
    <w:p w:rsidR="007A5D72" w:rsidRPr="00BB1B38" w:rsidRDefault="007A5D72" w:rsidP="007A5D72">
      <w:pPr>
        <w:pStyle w:val="SingleTxtG"/>
        <w:ind w:left="2268" w:hanging="1134"/>
        <w:rPr>
          <w:lang w:val="fr-FR"/>
        </w:rPr>
      </w:pPr>
      <w:r w:rsidRPr="00BB1B38">
        <w:rPr>
          <w:lang w:val="fr-FR"/>
        </w:rPr>
        <w:t>9.1.3.4</w:t>
      </w:r>
      <w:r w:rsidRPr="00BB1B38">
        <w:rPr>
          <w:lang w:val="fr-FR"/>
        </w:rPr>
        <w:tab/>
      </w:r>
      <w:r w:rsidRPr="00BB1B38">
        <w:rPr>
          <w:lang w:val="fr-FR"/>
        </w:rPr>
        <w:tab/>
        <w:t>Ajouter un nouveau paragraphe après le premier paragraphe pour lire comme suit :</w:t>
      </w:r>
    </w:p>
    <w:p w:rsidR="007A5D72" w:rsidRPr="00BB1B38" w:rsidRDefault="007A5D72" w:rsidP="007A5D72">
      <w:pPr>
        <w:pStyle w:val="SingleTxtG"/>
        <w:rPr>
          <w:lang w:val="fr-FR"/>
        </w:rPr>
      </w:pPr>
      <w:r w:rsidRPr="00BB1B38">
        <w:rPr>
          <w:lang w:val="fr-FR"/>
        </w:rPr>
        <w:t>« Le véhicule ne doit pas être utilisé pour le transport de marchandises dangereuses après la date d’expiration nominale jusqu'à ce qu'il ait un certificat d’agrément valide. »</w:t>
      </w:r>
    </w:p>
    <w:p w:rsidR="007A5D72" w:rsidRDefault="007A5D72" w:rsidP="007A5D72">
      <w:pPr>
        <w:pStyle w:val="SingleTxtG"/>
        <w:rPr>
          <w:i/>
          <w:iCs/>
          <w:lang w:val="fr-FR"/>
        </w:rPr>
      </w:pPr>
      <w:r w:rsidRPr="00BB1B38">
        <w:rPr>
          <w:i/>
          <w:iCs/>
          <w:lang w:val="fr-FR"/>
        </w:rPr>
        <w:t>(Document de référence : document informel INF.20, proposition 2)</w:t>
      </w:r>
    </w:p>
    <w:p w:rsidR="007A5D72" w:rsidRPr="00C0540E" w:rsidRDefault="00C0540E" w:rsidP="00C0540E">
      <w:pPr>
        <w:spacing w:before="240"/>
        <w:jc w:val="center"/>
        <w:rPr>
          <w:u w:val="single"/>
        </w:rPr>
      </w:pPr>
      <w:r>
        <w:rPr>
          <w:u w:val="single"/>
        </w:rPr>
        <w:tab/>
      </w:r>
      <w:r>
        <w:rPr>
          <w:u w:val="single"/>
        </w:rPr>
        <w:tab/>
      </w:r>
      <w:r>
        <w:rPr>
          <w:u w:val="single"/>
        </w:rPr>
        <w:tab/>
      </w:r>
    </w:p>
    <w:sectPr w:rsidR="007A5D72" w:rsidRPr="00C0540E" w:rsidSect="00CE5AE0">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0871" w:rsidRDefault="00D90871" w:rsidP="00F95C08">
      <w:pPr>
        <w:spacing w:line="240" w:lineRule="auto"/>
      </w:pPr>
    </w:p>
  </w:endnote>
  <w:endnote w:type="continuationSeparator" w:id="0">
    <w:p w:rsidR="00D90871" w:rsidRPr="00AC3823" w:rsidRDefault="00D90871" w:rsidP="00AC3823">
      <w:pPr>
        <w:pStyle w:val="Footer"/>
      </w:pPr>
    </w:p>
  </w:endnote>
  <w:endnote w:type="continuationNotice" w:id="1">
    <w:p w:rsidR="00D90871" w:rsidRDefault="00D9087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Gras">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871" w:rsidRPr="00D90871" w:rsidRDefault="00D90871" w:rsidP="00D90871">
    <w:pPr>
      <w:pStyle w:val="Footer"/>
      <w:tabs>
        <w:tab w:val="right" w:pos="9638"/>
      </w:tabs>
      <w:rPr>
        <w:sz w:val="18"/>
      </w:rPr>
    </w:pPr>
    <w:r w:rsidRPr="00D90871">
      <w:rPr>
        <w:b/>
        <w:sz w:val="18"/>
      </w:rPr>
      <w:fldChar w:fldCharType="begin"/>
    </w:r>
    <w:r w:rsidRPr="00D90871">
      <w:rPr>
        <w:b/>
        <w:sz w:val="18"/>
      </w:rPr>
      <w:instrText xml:space="preserve"> PAGE  \* MERGEFORMAT </w:instrText>
    </w:r>
    <w:r w:rsidRPr="00D90871">
      <w:rPr>
        <w:b/>
        <w:sz w:val="18"/>
      </w:rPr>
      <w:fldChar w:fldCharType="separate"/>
    </w:r>
    <w:r w:rsidRPr="00D90871">
      <w:rPr>
        <w:b/>
        <w:noProof/>
        <w:sz w:val="18"/>
      </w:rPr>
      <w:t>2</w:t>
    </w:r>
    <w:r w:rsidRPr="00D9087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871" w:rsidRPr="00D90871" w:rsidRDefault="00D90871" w:rsidP="00D90871">
    <w:pPr>
      <w:pStyle w:val="Footer"/>
      <w:tabs>
        <w:tab w:val="right" w:pos="9638"/>
      </w:tabs>
      <w:rPr>
        <w:b/>
        <w:sz w:val="18"/>
      </w:rPr>
    </w:pPr>
    <w:r>
      <w:tab/>
    </w:r>
    <w:r w:rsidRPr="00D90871">
      <w:rPr>
        <w:b/>
        <w:sz w:val="18"/>
      </w:rPr>
      <w:fldChar w:fldCharType="begin"/>
    </w:r>
    <w:r w:rsidRPr="00D90871">
      <w:rPr>
        <w:b/>
        <w:sz w:val="18"/>
      </w:rPr>
      <w:instrText xml:space="preserve"> PAGE  \* MERGEFORMAT </w:instrText>
    </w:r>
    <w:r w:rsidRPr="00D90871">
      <w:rPr>
        <w:b/>
        <w:sz w:val="18"/>
      </w:rPr>
      <w:fldChar w:fldCharType="separate"/>
    </w:r>
    <w:r w:rsidRPr="00D90871">
      <w:rPr>
        <w:b/>
        <w:noProof/>
        <w:sz w:val="18"/>
      </w:rPr>
      <w:t>3</w:t>
    </w:r>
    <w:r w:rsidRPr="00D9087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EE9" w:rsidRPr="00D90871" w:rsidRDefault="000D3EE9" w:rsidP="0001207F">
    <w:pPr>
      <w:pStyle w:val="Footer"/>
      <w:spacing w:before="12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0871" w:rsidRPr="00AC3823" w:rsidRDefault="00D90871" w:rsidP="00AC3823">
      <w:pPr>
        <w:pStyle w:val="Footer"/>
        <w:tabs>
          <w:tab w:val="right" w:pos="2155"/>
        </w:tabs>
        <w:spacing w:after="80" w:line="240" w:lineRule="atLeast"/>
        <w:ind w:left="680"/>
        <w:rPr>
          <w:u w:val="single"/>
        </w:rPr>
      </w:pPr>
      <w:r>
        <w:rPr>
          <w:u w:val="single"/>
        </w:rPr>
        <w:tab/>
      </w:r>
    </w:p>
  </w:footnote>
  <w:footnote w:type="continuationSeparator" w:id="0">
    <w:p w:rsidR="00D90871" w:rsidRPr="00AC3823" w:rsidRDefault="00D90871" w:rsidP="00AC3823">
      <w:pPr>
        <w:pStyle w:val="Footer"/>
        <w:tabs>
          <w:tab w:val="right" w:pos="2155"/>
        </w:tabs>
        <w:spacing w:after="80" w:line="240" w:lineRule="atLeast"/>
        <w:ind w:left="680"/>
        <w:rPr>
          <w:u w:val="single"/>
        </w:rPr>
      </w:pPr>
      <w:r>
        <w:rPr>
          <w:u w:val="single"/>
        </w:rPr>
        <w:tab/>
      </w:r>
    </w:p>
  </w:footnote>
  <w:footnote w:type="continuationNotice" w:id="1">
    <w:p w:rsidR="00D90871" w:rsidRPr="00AC3823" w:rsidRDefault="00D90871">
      <w:pPr>
        <w:spacing w:line="240" w:lineRule="auto"/>
        <w:rPr>
          <w:sz w:val="2"/>
          <w:szCs w:val="2"/>
        </w:rPr>
      </w:pPr>
    </w:p>
  </w:footnote>
  <w:footnote w:id="2">
    <w:p w:rsidR="007A5D72" w:rsidRDefault="007A5D72" w:rsidP="007A5D72">
      <w:pPr>
        <w:pStyle w:val="FootnoteText"/>
        <w:widowControl w:val="0"/>
        <w:tabs>
          <w:tab w:val="clear" w:pos="1021"/>
          <w:tab w:val="right" w:pos="1020"/>
        </w:tabs>
      </w:pPr>
      <w:r>
        <w:tab/>
      </w:r>
      <w:r>
        <w:rPr>
          <w:rStyle w:val="FootnoteReference"/>
        </w:rPr>
        <w:footnoteRef/>
      </w:r>
      <w:r>
        <w:tab/>
      </w:r>
      <w:r w:rsidRPr="007F4F27">
        <w:t>https://ec.europa.eu/transport/road_safety/topics/driving-licence/models_en</w:t>
      </w:r>
      <w:r>
        <w:t xml:space="preserve"> </w:t>
      </w:r>
    </w:p>
  </w:footnote>
  <w:footnote w:id="3">
    <w:p w:rsidR="007A5D72" w:rsidRDefault="007A5D72" w:rsidP="007A5D72">
      <w:pPr>
        <w:pStyle w:val="FootnoteText"/>
        <w:widowControl w:val="0"/>
        <w:tabs>
          <w:tab w:val="clear" w:pos="1021"/>
          <w:tab w:val="right" w:pos="1020"/>
        </w:tabs>
      </w:pPr>
      <w:r>
        <w:tab/>
      </w:r>
      <w:r>
        <w:rPr>
          <w:rStyle w:val="FootnoteReference"/>
        </w:rPr>
        <w:footnoteRef/>
      </w:r>
      <w:r>
        <w:tab/>
      </w:r>
      <w:r w:rsidRPr="00C77309">
        <w:t>http://www.unece.org/trans/danger/publi/adr/country-info_e.html</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871" w:rsidRPr="00D90871" w:rsidRDefault="00034BE7">
    <w:pPr>
      <w:pStyle w:val="Header"/>
    </w:pPr>
    <w:r>
      <w:fldChar w:fldCharType="begin"/>
    </w:r>
    <w:r>
      <w:instrText xml:space="preserve"> TITLE  \* MERGEFORMAT </w:instrText>
    </w:r>
    <w:r>
      <w:fldChar w:fldCharType="separate"/>
    </w:r>
    <w:r w:rsidR="0015391C">
      <w:t>ECE/TRANS/WP.15/246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871" w:rsidRPr="00D90871" w:rsidRDefault="00034BE7" w:rsidP="00D90871">
    <w:pPr>
      <w:pStyle w:val="Header"/>
      <w:jc w:val="right"/>
    </w:pPr>
    <w:r>
      <w:fldChar w:fldCharType="begin"/>
    </w:r>
    <w:r>
      <w:instrText xml:space="preserve"> TITLE  \* MERGEFORMAT </w:instrText>
    </w:r>
    <w:r>
      <w:fldChar w:fldCharType="separate"/>
    </w:r>
    <w:r w:rsidR="0015391C">
      <w:t>ECE/TRANS/WP.15/246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567"/>
  <w:hyphenationZone w:val="425"/>
  <w:evenAndOddHeaders/>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D90871"/>
    <w:rsid w:val="00003DDC"/>
    <w:rsid w:val="0001207F"/>
    <w:rsid w:val="00017F94"/>
    <w:rsid w:val="00023842"/>
    <w:rsid w:val="000334F9"/>
    <w:rsid w:val="00034BE7"/>
    <w:rsid w:val="000731FB"/>
    <w:rsid w:val="0007796D"/>
    <w:rsid w:val="00077DA3"/>
    <w:rsid w:val="000942EE"/>
    <w:rsid w:val="000A52BF"/>
    <w:rsid w:val="000B7790"/>
    <w:rsid w:val="000D226F"/>
    <w:rsid w:val="000D3EE9"/>
    <w:rsid w:val="000D62F3"/>
    <w:rsid w:val="0011139A"/>
    <w:rsid w:val="00111F2F"/>
    <w:rsid w:val="001433FD"/>
    <w:rsid w:val="0014365E"/>
    <w:rsid w:val="0015391C"/>
    <w:rsid w:val="001541D3"/>
    <w:rsid w:val="00176178"/>
    <w:rsid w:val="001D400F"/>
    <w:rsid w:val="001D71D4"/>
    <w:rsid w:val="001E6034"/>
    <w:rsid w:val="001F525A"/>
    <w:rsid w:val="00223272"/>
    <w:rsid w:val="0023215B"/>
    <w:rsid w:val="00232CE6"/>
    <w:rsid w:val="00240333"/>
    <w:rsid w:val="0024779E"/>
    <w:rsid w:val="002832AC"/>
    <w:rsid w:val="002D7C93"/>
    <w:rsid w:val="002E7AC0"/>
    <w:rsid w:val="0036784B"/>
    <w:rsid w:val="00367F0D"/>
    <w:rsid w:val="0037241C"/>
    <w:rsid w:val="003819FF"/>
    <w:rsid w:val="004203BB"/>
    <w:rsid w:val="004342FC"/>
    <w:rsid w:val="00435758"/>
    <w:rsid w:val="00441C3B"/>
    <w:rsid w:val="00446B0A"/>
    <w:rsid w:val="00446FE5"/>
    <w:rsid w:val="00452396"/>
    <w:rsid w:val="00487995"/>
    <w:rsid w:val="0049687C"/>
    <w:rsid w:val="004C5540"/>
    <w:rsid w:val="004E468C"/>
    <w:rsid w:val="005316B0"/>
    <w:rsid w:val="005505B7"/>
    <w:rsid w:val="00566206"/>
    <w:rsid w:val="00573BE5"/>
    <w:rsid w:val="00586ED3"/>
    <w:rsid w:val="005954AA"/>
    <w:rsid w:val="00596AA9"/>
    <w:rsid w:val="005B4626"/>
    <w:rsid w:val="005B4D0F"/>
    <w:rsid w:val="005F2B70"/>
    <w:rsid w:val="0063409E"/>
    <w:rsid w:val="00703D0F"/>
    <w:rsid w:val="00706363"/>
    <w:rsid w:val="0071601D"/>
    <w:rsid w:val="0073510B"/>
    <w:rsid w:val="00793210"/>
    <w:rsid w:val="007A5D72"/>
    <w:rsid w:val="007A62E6"/>
    <w:rsid w:val="0080684C"/>
    <w:rsid w:val="008204DA"/>
    <w:rsid w:val="00871C75"/>
    <w:rsid w:val="008767E8"/>
    <w:rsid w:val="008776DC"/>
    <w:rsid w:val="00883605"/>
    <w:rsid w:val="008C20A0"/>
    <w:rsid w:val="008E6043"/>
    <w:rsid w:val="00900CD4"/>
    <w:rsid w:val="0094202E"/>
    <w:rsid w:val="00961E7B"/>
    <w:rsid w:val="009705C8"/>
    <w:rsid w:val="009735FD"/>
    <w:rsid w:val="009C1CF4"/>
    <w:rsid w:val="009F02C9"/>
    <w:rsid w:val="00A30353"/>
    <w:rsid w:val="00A3244A"/>
    <w:rsid w:val="00A36A36"/>
    <w:rsid w:val="00A62D91"/>
    <w:rsid w:val="00A90D54"/>
    <w:rsid w:val="00AA113A"/>
    <w:rsid w:val="00AC3823"/>
    <w:rsid w:val="00AE323C"/>
    <w:rsid w:val="00AF774C"/>
    <w:rsid w:val="00B00181"/>
    <w:rsid w:val="00B00B0D"/>
    <w:rsid w:val="00B40927"/>
    <w:rsid w:val="00B50E25"/>
    <w:rsid w:val="00B64918"/>
    <w:rsid w:val="00B765F7"/>
    <w:rsid w:val="00BA0CA9"/>
    <w:rsid w:val="00BA100A"/>
    <w:rsid w:val="00C02897"/>
    <w:rsid w:val="00C0540E"/>
    <w:rsid w:val="00C7616F"/>
    <w:rsid w:val="00CB16B5"/>
    <w:rsid w:val="00CC494F"/>
    <w:rsid w:val="00CE0608"/>
    <w:rsid w:val="00CE5AE0"/>
    <w:rsid w:val="00D3439C"/>
    <w:rsid w:val="00D3775F"/>
    <w:rsid w:val="00D44CF3"/>
    <w:rsid w:val="00D90871"/>
    <w:rsid w:val="00DB1831"/>
    <w:rsid w:val="00DD3BFD"/>
    <w:rsid w:val="00DE239D"/>
    <w:rsid w:val="00DF431C"/>
    <w:rsid w:val="00DF6678"/>
    <w:rsid w:val="00EF2E22"/>
    <w:rsid w:val="00F0592C"/>
    <w:rsid w:val="00F06ED4"/>
    <w:rsid w:val="00F43289"/>
    <w:rsid w:val="00F660DF"/>
    <w:rsid w:val="00F95C08"/>
    <w:rsid w:val="00FB2DB1"/>
    <w:rsid w:val="00FD7A2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128A46C"/>
  <w15:docId w15:val="{163C5FA2-9422-437C-9F13-6B371F056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06363"/>
    <w:rPr>
      <w:color w:val="0000FF"/>
      <w:u w:val="none"/>
    </w:rPr>
  </w:style>
  <w:style w:type="character" w:styleId="FollowedHyperlink">
    <w:name w:val="FollowedHyperlink"/>
    <w:basedOn w:val="DefaultParagraphFont"/>
    <w:unhideWhenUsed/>
    <w:rsid w:val="00706363"/>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SingleTxtGChar">
    <w:name w:val="_ Single Txt_G Char"/>
    <w:link w:val="SingleTxtG"/>
    <w:rsid w:val="0001207F"/>
    <w:rPr>
      <w:rFonts w:ascii="Times New Roman" w:hAnsi="Times New Roman" w:cs="Times New Roman"/>
      <w:sz w:val="20"/>
      <w:szCs w:val="20"/>
      <w:lang w:eastAsia="en-US"/>
    </w:rPr>
  </w:style>
  <w:style w:type="character" w:customStyle="1" w:styleId="HChGChar">
    <w:name w:val="_ H _Ch_G Char"/>
    <w:link w:val="HChG"/>
    <w:uiPriority w:val="99"/>
    <w:rsid w:val="0001207F"/>
    <w:rPr>
      <w:rFonts w:ascii="Times New Roman" w:hAnsi="Times New Roman" w:cs="Times New Roman"/>
      <w:b/>
      <w:sz w:val="28"/>
      <w:szCs w:val="20"/>
      <w:lang w:eastAsia="en-US"/>
    </w:rPr>
  </w:style>
  <w:style w:type="character" w:customStyle="1" w:styleId="H1GChar">
    <w:name w:val="_ H_1_G Char"/>
    <w:link w:val="H1G"/>
    <w:rsid w:val="0011139A"/>
    <w:rPr>
      <w:b/>
      <w:sz w:val="24"/>
    </w:rPr>
  </w:style>
  <w:style w:type="character" w:customStyle="1" w:styleId="H23GChar">
    <w:name w:val="_ H_2/3_G Char"/>
    <w:link w:val="H23G"/>
    <w:locked/>
    <w:rsid w:val="007A5D72"/>
    <w:rPr>
      <w:b/>
    </w:rPr>
  </w:style>
  <w:style w:type="character" w:styleId="CommentReference">
    <w:name w:val="annotation reference"/>
    <w:basedOn w:val="DefaultParagraphFont"/>
    <w:uiPriority w:val="99"/>
    <w:semiHidden/>
    <w:unhideWhenUsed/>
    <w:rsid w:val="007A5D72"/>
    <w:rPr>
      <w:sz w:val="16"/>
      <w:szCs w:val="16"/>
    </w:rPr>
  </w:style>
  <w:style w:type="paragraph" w:styleId="CommentText">
    <w:name w:val="annotation text"/>
    <w:basedOn w:val="Normal"/>
    <w:link w:val="CommentTextChar"/>
    <w:uiPriority w:val="99"/>
    <w:semiHidden/>
    <w:unhideWhenUsed/>
    <w:rsid w:val="007A5D72"/>
    <w:pPr>
      <w:spacing w:line="240" w:lineRule="auto"/>
    </w:pPr>
    <w:rPr>
      <w:rFonts w:eastAsiaTheme="minorEastAsia"/>
      <w:lang w:val="en-GB"/>
    </w:rPr>
  </w:style>
  <w:style w:type="character" w:customStyle="1" w:styleId="CommentTextChar">
    <w:name w:val="Comment Text Char"/>
    <w:basedOn w:val="DefaultParagraphFont"/>
    <w:link w:val="CommentText"/>
    <w:uiPriority w:val="99"/>
    <w:semiHidden/>
    <w:rsid w:val="007A5D72"/>
    <w:rPr>
      <w:rFonts w:eastAsiaTheme="minorEastAsia"/>
      <w:lang w:val="en-GB"/>
    </w:rPr>
  </w:style>
  <w:style w:type="paragraph" w:styleId="CommentSubject">
    <w:name w:val="annotation subject"/>
    <w:basedOn w:val="CommentText"/>
    <w:next w:val="CommentText"/>
    <w:link w:val="CommentSubjectChar"/>
    <w:uiPriority w:val="99"/>
    <w:semiHidden/>
    <w:unhideWhenUsed/>
    <w:rsid w:val="007A5D72"/>
    <w:rPr>
      <w:rFonts w:eastAsia="Times New Roman"/>
      <w:b/>
      <w:bCs/>
      <w:lang w:val="fr-CH"/>
    </w:rPr>
  </w:style>
  <w:style w:type="character" w:customStyle="1" w:styleId="CommentSubjectChar">
    <w:name w:val="Comment Subject Char"/>
    <w:basedOn w:val="CommentTextChar"/>
    <w:link w:val="CommentSubject"/>
    <w:uiPriority w:val="99"/>
    <w:semiHidden/>
    <w:rsid w:val="007A5D72"/>
    <w:rPr>
      <w:rFonts w:eastAsiaTheme="minorEastAsia"/>
      <w:b/>
      <w:bCs/>
      <w:lang w:val="en-GB"/>
    </w:rPr>
  </w:style>
  <w:style w:type="paragraph" w:styleId="Revision">
    <w:name w:val="Revision"/>
    <w:hidden/>
    <w:uiPriority w:val="99"/>
    <w:semiHidden/>
    <w:rsid w:val="007A5D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123635">
      <w:bodyDiv w:val="1"/>
      <w:marLeft w:val="0"/>
      <w:marRight w:val="0"/>
      <w:marTop w:val="0"/>
      <w:marBottom w:val="0"/>
      <w:divBdr>
        <w:top w:val="none" w:sz="0" w:space="0" w:color="auto"/>
        <w:left w:val="none" w:sz="0" w:space="0" w:color="auto"/>
        <w:bottom w:val="none" w:sz="0" w:space="0" w:color="auto"/>
        <w:right w:val="none" w:sz="0" w:space="0" w:color="auto"/>
      </w:divBdr>
    </w:div>
    <w:div w:id="1201940745">
      <w:bodyDiv w:val="1"/>
      <w:marLeft w:val="0"/>
      <w:marRight w:val="0"/>
      <w:marTop w:val="0"/>
      <w:marBottom w:val="0"/>
      <w:divBdr>
        <w:top w:val="none" w:sz="0" w:space="0" w:color="auto"/>
        <w:left w:val="none" w:sz="0" w:space="0" w:color="auto"/>
        <w:bottom w:val="none" w:sz="0" w:space="0" w:color="auto"/>
        <w:right w:val="none" w:sz="0" w:space="0" w:color="auto"/>
      </w:divBdr>
    </w:div>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TRANS_F.dotm</Template>
  <TotalTime>172</TotalTime>
  <Pages>15</Pages>
  <Words>6455</Words>
  <Characters>35056</Characters>
  <Application>Microsoft Office Word</Application>
  <DocSecurity>0</DocSecurity>
  <Lines>661</Lines>
  <Paragraphs>373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ECE/TRANS/WP.15/246</vt:lpstr>
      <vt:lpstr>ECE/EX/22</vt:lpstr>
    </vt:vector>
  </TitlesOfParts>
  <Company>DCM</Company>
  <LinksUpToDate>false</LinksUpToDate>
  <CharactersWithSpaces>41138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ECE/TRANS/WP.15/246</dc:title>
  <dc:subject>FINAL</dc:subject>
  <dc:creator>Editorial</dc:creator>
  <cp:keywords/>
  <dc:description/>
  <cp:lastModifiedBy>Christine Barrio-Champeau</cp:lastModifiedBy>
  <cp:revision>26</cp:revision>
  <cp:lastPrinted>2019-05-29T08:15:00Z</cp:lastPrinted>
  <dcterms:created xsi:type="dcterms:W3CDTF">2019-05-20T14:07:00Z</dcterms:created>
  <dcterms:modified xsi:type="dcterms:W3CDTF">2019-05-29T10:04:00Z</dcterms:modified>
</cp:coreProperties>
</file>