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67ECC" w:rsidP="009E4DD3">
            <w:pPr>
              <w:suppressAutoHyphens w:val="0"/>
              <w:spacing w:after="20"/>
              <w:jc w:val="right"/>
            </w:pPr>
            <w:r>
              <w:rPr>
                <w:sz w:val="40"/>
              </w:rPr>
              <w:t>ECE</w:t>
            </w:r>
            <w:r>
              <w:t>/TRANS/WP.15/201</w:t>
            </w:r>
            <w:r w:rsidR="009E4DD3">
              <w:t>9</w:t>
            </w:r>
            <w:r>
              <w:t>/</w:t>
            </w:r>
            <w:r w:rsidR="004577A0">
              <w:t>12</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zh-CN"/>
              </w:rPr>
              <w:drawing>
                <wp:inline distT="0" distB="0" distL="0" distR="0" wp14:anchorId="004F7C3A" wp14:editId="045D7C64">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D72FC8" w:rsidP="008D4A19">
            <w:pPr>
              <w:suppressAutoHyphens w:val="0"/>
            </w:pPr>
            <w:r>
              <w:t>18</w:t>
            </w:r>
            <w:r w:rsidR="007B565A">
              <w:t xml:space="preserve"> </w:t>
            </w:r>
            <w:r w:rsidR="009E4DD3">
              <w:t>February</w:t>
            </w:r>
            <w:r w:rsidR="001330DE">
              <w:t xml:space="preserve"> 201</w:t>
            </w:r>
            <w:r w:rsidR="009E4DD3">
              <w:t>9</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3D738F" w:rsidP="001330DE">
      <w:pPr>
        <w:spacing w:before="120"/>
        <w:rPr>
          <w:rFonts w:eastAsia="SimSun"/>
          <w:b/>
        </w:rPr>
      </w:pPr>
      <w:r>
        <w:rPr>
          <w:rFonts w:eastAsia="SimSun"/>
          <w:b/>
        </w:rPr>
        <w:t>10</w:t>
      </w:r>
      <w:r w:rsidR="009871A9">
        <w:rPr>
          <w:rFonts w:eastAsia="SimSun"/>
          <w:b/>
        </w:rPr>
        <w:t>6</w:t>
      </w:r>
      <w:r w:rsidR="00A321EA">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9871A9">
        <w:rPr>
          <w:rFonts w:eastAsia="SimSun"/>
        </w:rPr>
        <w:t>13</w:t>
      </w:r>
      <w:r w:rsidR="002D3187">
        <w:rPr>
          <w:rFonts w:eastAsia="SimSun"/>
        </w:rPr>
        <w:t>-</w:t>
      </w:r>
      <w:r w:rsidR="009871A9">
        <w:rPr>
          <w:rFonts w:eastAsia="SimSun"/>
        </w:rPr>
        <w:t>17</w:t>
      </w:r>
      <w:r w:rsidRPr="00BA64A8">
        <w:rPr>
          <w:rFonts w:eastAsia="SimSun"/>
        </w:rPr>
        <w:t xml:space="preserve"> </w:t>
      </w:r>
      <w:r w:rsidR="009871A9">
        <w:rPr>
          <w:rFonts w:eastAsia="SimSun"/>
        </w:rPr>
        <w:t>May</w:t>
      </w:r>
      <w:r w:rsidRPr="00BA64A8">
        <w:rPr>
          <w:rFonts w:eastAsia="SimSun"/>
        </w:rPr>
        <w:t xml:space="preserve"> 201</w:t>
      </w:r>
      <w:r w:rsidR="009871A9">
        <w:rPr>
          <w:rFonts w:eastAsia="SimSun"/>
        </w:rPr>
        <w:t>9</w:t>
      </w:r>
      <w:r w:rsidRPr="00BA64A8">
        <w:rPr>
          <w:rFonts w:eastAsia="SimSun"/>
        </w:rPr>
        <w:t xml:space="preserve"> </w:t>
      </w:r>
    </w:p>
    <w:p w:rsidR="002770B9" w:rsidRPr="002C54BF" w:rsidRDefault="00D72FC8" w:rsidP="002770B9">
      <w:r>
        <w:t>Item 6</w:t>
      </w:r>
      <w:r w:rsidR="002770B9" w:rsidRPr="002C54BF">
        <w:t xml:space="preserve"> (</w:t>
      </w:r>
      <w:r w:rsidR="002C54BF" w:rsidRPr="002C54BF">
        <w:t>b</w:t>
      </w:r>
      <w:r w:rsidR="002770B9" w:rsidRPr="002C54BF">
        <w:t>) of the provisional agenda</w:t>
      </w:r>
    </w:p>
    <w:p w:rsidR="002770B9" w:rsidRPr="002C54BF" w:rsidRDefault="002770B9" w:rsidP="002770B9">
      <w:pPr>
        <w:rPr>
          <w:b/>
          <w:bCs/>
        </w:rPr>
      </w:pPr>
      <w:r w:rsidRPr="002C54BF">
        <w:rPr>
          <w:b/>
          <w:bCs/>
        </w:rPr>
        <w:t>Proposals for amendments to annexes A and B of ADR</w:t>
      </w:r>
    </w:p>
    <w:p w:rsidR="002770B9" w:rsidRPr="00D8072E" w:rsidRDefault="00D72FC8" w:rsidP="002770B9">
      <w:pPr>
        <w:rPr>
          <w:b/>
        </w:rPr>
      </w:pPr>
      <w:r>
        <w:rPr>
          <w:b/>
          <w:bCs/>
          <w:szCs w:val="24"/>
        </w:rPr>
        <w:t>m</w:t>
      </w:r>
      <w:r w:rsidR="002C54BF" w:rsidRPr="002C54BF">
        <w:rPr>
          <w:b/>
          <w:bCs/>
          <w:szCs w:val="24"/>
        </w:rPr>
        <w:t>iscellaneous proposals</w:t>
      </w:r>
    </w:p>
    <w:p w:rsidR="00FE454B" w:rsidRPr="00B573A9" w:rsidRDefault="00FE454B" w:rsidP="00FE454B">
      <w:pPr>
        <w:pStyle w:val="HChG"/>
        <w:rPr>
          <w:sz w:val="20"/>
        </w:rPr>
      </w:pPr>
      <w:r>
        <w:tab/>
      </w:r>
      <w:r>
        <w:tab/>
      </w:r>
      <w:r w:rsidR="00AC0515">
        <w:t xml:space="preserve">Chapter 8.5 </w:t>
      </w:r>
      <w:r w:rsidR="00AC0515">
        <w:tab/>
        <w:t>Additional requirements in S1(6), S16 and S21</w:t>
      </w:r>
    </w:p>
    <w:p w:rsidR="00FE454B" w:rsidRDefault="00FE454B" w:rsidP="00FE454B">
      <w:pPr>
        <w:pStyle w:val="H1G"/>
      </w:pPr>
      <w:r w:rsidRPr="00B573A9">
        <w:rPr>
          <w:b w:val="0"/>
          <w:sz w:val="20"/>
        </w:rPr>
        <w:tab/>
      </w:r>
      <w:r w:rsidRPr="00B573A9">
        <w:rPr>
          <w:b w:val="0"/>
          <w:sz w:val="20"/>
        </w:rPr>
        <w:tab/>
      </w:r>
      <w:r>
        <w:t xml:space="preserve">Transmitted by the Government of </w:t>
      </w:r>
      <w:r w:rsidR="00EE77C0">
        <w:t>Sweden</w:t>
      </w:r>
      <w:r w:rsidR="008617AA">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FE454B" w:rsidRPr="00B573A9" w:rsidTr="00943CBC">
        <w:trPr>
          <w:jc w:val="center"/>
        </w:trPr>
        <w:tc>
          <w:tcPr>
            <w:tcW w:w="9629" w:type="dxa"/>
            <w:tcBorders>
              <w:bottom w:val="nil"/>
            </w:tcBorders>
            <w:shd w:val="clear" w:color="auto" w:fill="auto"/>
          </w:tcPr>
          <w:p w:rsidR="00FE454B" w:rsidRPr="00B573A9" w:rsidRDefault="00310303" w:rsidP="00FE454B">
            <w:pPr>
              <w:tabs>
                <w:tab w:val="left" w:pos="255"/>
              </w:tabs>
              <w:suppressAutoHyphens w:val="0"/>
              <w:spacing w:before="240" w:after="120"/>
              <w:rPr>
                <w:sz w:val="24"/>
              </w:rPr>
            </w:pPr>
            <w:r>
              <w:rPr>
                <w:b/>
                <w:sz w:val="24"/>
              </w:rPr>
              <w:br w:type="page"/>
            </w:r>
            <w:r w:rsidR="00FE454B" w:rsidRPr="00B573A9">
              <w:tab/>
            </w:r>
            <w:r w:rsidR="00FE454B" w:rsidRPr="00B573A9">
              <w:rPr>
                <w:i/>
                <w:sz w:val="24"/>
              </w:rPr>
              <w:t>Summary</w:t>
            </w:r>
          </w:p>
        </w:tc>
      </w:tr>
      <w:tr w:rsidR="00FE454B" w:rsidRPr="00B573A9" w:rsidTr="00943CBC">
        <w:trPr>
          <w:jc w:val="center"/>
        </w:trPr>
        <w:tc>
          <w:tcPr>
            <w:tcW w:w="9629" w:type="dxa"/>
            <w:tcBorders>
              <w:top w:val="nil"/>
              <w:bottom w:val="nil"/>
            </w:tcBorders>
            <w:shd w:val="clear" w:color="auto" w:fill="auto"/>
          </w:tcPr>
          <w:p w:rsidR="00FE454B" w:rsidRPr="0007191F" w:rsidRDefault="00FE454B" w:rsidP="00D72FC8">
            <w:pPr>
              <w:spacing w:after="120"/>
              <w:ind w:left="3402" w:right="1133" w:hanging="2268"/>
              <w:jc w:val="both"/>
            </w:pPr>
            <w:r w:rsidRPr="0007191F">
              <w:rPr>
                <w:b/>
                <w:szCs w:val="22"/>
              </w:rPr>
              <w:t>Executive summary</w:t>
            </w:r>
            <w:r w:rsidRPr="0007191F">
              <w:rPr>
                <w:szCs w:val="22"/>
              </w:rPr>
              <w:t>:</w:t>
            </w:r>
            <w:r w:rsidRPr="0007191F">
              <w:tab/>
            </w:r>
            <w:r w:rsidR="00A61895" w:rsidRPr="0007191F">
              <w:t xml:space="preserve">Clarify </w:t>
            </w:r>
            <w:r w:rsidR="00792A45">
              <w:t xml:space="preserve">the provision </w:t>
            </w:r>
            <w:r w:rsidR="00A61895" w:rsidRPr="0007191F">
              <w:t xml:space="preserve">on supervision in S1(6), S16 and S21 in </w:t>
            </w:r>
            <w:r w:rsidR="00D72FC8">
              <w:t>C</w:t>
            </w:r>
            <w:r w:rsidR="00A61895" w:rsidRPr="0007191F">
              <w:t>hapter 8.5.</w:t>
            </w:r>
            <w:r w:rsidR="00A321EA" w:rsidRPr="0007191F">
              <w:t xml:space="preserve"> </w:t>
            </w:r>
          </w:p>
        </w:tc>
      </w:tr>
      <w:tr w:rsidR="00FE454B" w:rsidRPr="00B573A9" w:rsidTr="00943CBC">
        <w:trPr>
          <w:jc w:val="center"/>
        </w:trPr>
        <w:tc>
          <w:tcPr>
            <w:tcW w:w="9629" w:type="dxa"/>
            <w:tcBorders>
              <w:top w:val="nil"/>
              <w:bottom w:val="nil"/>
            </w:tcBorders>
            <w:shd w:val="clear" w:color="auto" w:fill="auto"/>
          </w:tcPr>
          <w:p w:rsidR="008D0BD5" w:rsidRDefault="0049389C" w:rsidP="008D0BD5">
            <w:pPr>
              <w:suppressAutoHyphens w:val="0"/>
              <w:ind w:left="-5" w:firstLine="5"/>
              <w:rPr>
                <w:rFonts w:eastAsia="Arial"/>
              </w:rPr>
            </w:pPr>
            <w:r w:rsidRPr="0007191F">
              <w:rPr>
                <w:b/>
              </w:rPr>
              <w:tab/>
            </w:r>
            <w:r w:rsidRPr="0007191F">
              <w:rPr>
                <w:b/>
              </w:rPr>
              <w:tab/>
              <w:t>Action to be taken:</w:t>
            </w:r>
            <w:r w:rsidRPr="0007191F">
              <w:rPr>
                <w:b/>
              </w:rPr>
              <w:tab/>
            </w:r>
            <w:r w:rsidR="00987A1A" w:rsidRPr="0007191F">
              <w:rPr>
                <w:b/>
              </w:rPr>
              <w:t xml:space="preserve">       </w:t>
            </w:r>
            <w:r w:rsidR="00D72FC8">
              <w:rPr>
                <w:b/>
              </w:rPr>
              <w:t xml:space="preserve">   </w:t>
            </w:r>
            <w:r w:rsidR="00987A1A" w:rsidRPr="0007191F">
              <w:rPr>
                <w:b/>
              </w:rPr>
              <w:t xml:space="preserve"> </w:t>
            </w:r>
            <w:r w:rsidR="00B53444" w:rsidRPr="0007191F">
              <w:t>Consider the proposal</w:t>
            </w:r>
            <w:r w:rsidR="00716183">
              <w:t>s</w:t>
            </w:r>
            <w:r w:rsidRPr="0007191F">
              <w:t>.</w:t>
            </w:r>
            <w:r w:rsidR="00587EDD" w:rsidRPr="0007191F">
              <w:br/>
            </w:r>
            <w:r w:rsidR="00A61895" w:rsidRPr="0007191F">
              <w:br/>
            </w:r>
            <w:r w:rsidR="00A61895" w:rsidRPr="0007191F">
              <w:tab/>
            </w:r>
            <w:r w:rsidR="00A61895" w:rsidRPr="0007191F">
              <w:tab/>
            </w:r>
            <w:r w:rsidR="00A61895" w:rsidRPr="0007191F">
              <w:tab/>
            </w:r>
            <w:r w:rsidR="00587EDD" w:rsidRPr="00DB3231">
              <w:rPr>
                <w:b/>
              </w:rPr>
              <w:t>Related documents:</w:t>
            </w:r>
            <w:r w:rsidR="00D72FC8">
              <w:rPr>
                <w:b/>
              </w:rPr>
              <w:tab/>
            </w:r>
            <w:r w:rsidR="00D72FC8">
              <w:rPr>
                <w:b/>
              </w:rPr>
              <w:tab/>
            </w:r>
            <w:r w:rsidR="00247D56" w:rsidRPr="00DB3231">
              <w:rPr>
                <w:rFonts w:eastAsia="Arial"/>
              </w:rPr>
              <w:t>INF.7 from the 103</w:t>
            </w:r>
            <w:r w:rsidR="00247D56" w:rsidRPr="00DB3231">
              <w:rPr>
                <w:rFonts w:eastAsia="Arial"/>
                <w:vertAlign w:val="superscript"/>
              </w:rPr>
              <w:t>rd</w:t>
            </w:r>
            <w:r w:rsidR="00247D56" w:rsidRPr="00DB3231">
              <w:rPr>
                <w:rFonts w:eastAsia="Arial"/>
              </w:rPr>
              <w:t xml:space="preserve"> session of WP.15,</w:t>
            </w:r>
            <w:r w:rsidR="00247D56">
              <w:rPr>
                <w:rFonts w:eastAsia="Arial"/>
              </w:rPr>
              <w:t xml:space="preserve"> </w:t>
            </w:r>
          </w:p>
          <w:p w:rsidR="008D0BD5" w:rsidRDefault="008D0BD5" w:rsidP="008D0BD5">
            <w:pPr>
              <w:suppressAutoHyphens w:val="0"/>
              <w:ind w:left="-5" w:firstLine="5"/>
              <w:rPr>
                <w:rFonts w:eastAsia="Arial"/>
              </w:rPr>
            </w:pPr>
            <w:r>
              <w:rPr>
                <w:rFonts w:eastAsia="Arial"/>
              </w:rPr>
              <w:tab/>
            </w:r>
            <w:r>
              <w:rPr>
                <w:rFonts w:eastAsia="Arial"/>
              </w:rPr>
              <w:tab/>
            </w:r>
            <w:r>
              <w:rPr>
                <w:rFonts w:eastAsia="Arial"/>
              </w:rPr>
              <w:tab/>
            </w:r>
            <w:r>
              <w:rPr>
                <w:rFonts w:eastAsia="Arial"/>
              </w:rPr>
              <w:tab/>
            </w:r>
            <w:r>
              <w:rPr>
                <w:rFonts w:eastAsia="Arial"/>
              </w:rPr>
              <w:tab/>
            </w:r>
            <w:r w:rsidR="00D72FC8">
              <w:rPr>
                <w:rFonts w:eastAsia="Arial"/>
              </w:rPr>
              <w:tab/>
            </w:r>
            <w:r>
              <w:rPr>
                <w:rFonts w:eastAsia="Arial"/>
              </w:rPr>
              <w:t>E</w:t>
            </w:r>
            <w:r w:rsidR="00247D56">
              <w:rPr>
                <w:rFonts w:eastAsia="Arial"/>
              </w:rPr>
              <w:t>CE/TRANS/WP.15/239 (report from the 103</w:t>
            </w:r>
            <w:r w:rsidR="00247D56">
              <w:rPr>
                <w:rFonts w:eastAsia="Arial"/>
                <w:vertAlign w:val="superscript"/>
              </w:rPr>
              <w:t>rd</w:t>
            </w:r>
            <w:r w:rsidR="00247D56">
              <w:rPr>
                <w:rFonts w:eastAsia="Arial"/>
              </w:rPr>
              <w:t xml:space="preserve"> session), para</w:t>
            </w:r>
            <w:r w:rsidR="00E65C84">
              <w:rPr>
                <w:rFonts w:eastAsia="Arial"/>
              </w:rPr>
              <w:t>s.</w:t>
            </w:r>
            <w:r w:rsidR="00247D56">
              <w:rPr>
                <w:rFonts w:eastAsia="Arial"/>
              </w:rPr>
              <w:t xml:space="preserve"> 61-65, </w:t>
            </w:r>
          </w:p>
          <w:p w:rsidR="00587EDD" w:rsidRPr="0007191F" w:rsidRDefault="008D0BD5" w:rsidP="0084394A">
            <w:pPr>
              <w:suppressAutoHyphens w:val="0"/>
              <w:ind w:left="-5" w:firstLine="5"/>
            </w:pPr>
            <w:r>
              <w:rPr>
                <w:rFonts w:eastAsia="Arial"/>
              </w:rPr>
              <w:tab/>
            </w:r>
            <w:r>
              <w:rPr>
                <w:rFonts w:eastAsia="Arial"/>
              </w:rPr>
              <w:tab/>
            </w:r>
            <w:r>
              <w:rPr>
                <w:rFonts w:eastAsia="Arial"/>
              </w:rPr>
              <w:tab/>
            </w:r>
            <w:r>
              <w:rPr>
                <w:rFonts w:eastAsia="Arial"/>
              </w:rPr>
              <w:tab/>
            </w:r>
            <w:r>
              <w:rPr>
                <w:rFonts w:eastAsia="Arial"/>
              </w:rPr>
              <w:tab/>
            </w:r>
            <w:r w:rsidR="00D72FC8">
              <w:rPr>
                <w:rFonts w:eastAsia="Arial"/>
              </w:rPr>
              <w:tab/>
            </w:r>
            <w:r w:rsidR="00247D56">
              <w:rPr>
                <w:rFonts w:eastAsia="Arial"/>
              </w:rPr>
              <w:t>INF.16 from the 104</w:t>
            </w:r>
            <w:r w:rsidR="00247D56">
              <w:rPr>
                <w:rFonts w:eastAsia="Arial"/>
                <w:vertAlign w:val="superscript"/>
              </w:rPr>
              <w:t>th</w:t>
            </w:r>
            <w:r w:rsidR="00247D56">
              <w:rPr>
                <w:rFonts w:eastAsia="Arial"/>
              </w:rPr>
              <w:t xml:space="preserve"> session</w:t>
            </w:r>
            <w:r>
              <w:rPr>
                <w:rFonts w:eastAsia="Arial"/>
              </w:rPr>
              <w:t>,</w:t>
            </w:r>
            <w:r>
              <w:rPr>
                <w:rFonts w:eastAsia="Arial"/>
              </w:rPr>
              <w:br/>
            </w:r>
            <w:r>
              <w:rPr>
                <w:rFonts w:eastAsia="Arial"/>
              </w:rPr>
              <w:tab/>
            </w:r>
            <w:r>
              <w:rPr>
                <w:rFonts w:eastAsia="Arial"/>
              </w:rPr>
              <w:tab/>
            </w:r>
            <w:r>
              <w:rPr>
                <w:rFonts w:eastAsia="Arial"/>
              </w:rPr>
              <w:tab/>
            </w:r>
            <w:r>
              <w:rPr>
                <w:rFonts w:eastAsia="Arial"/>
              </w:rPr>
              <w:tab/>
            </w:r>
            <w:r>
              <w:rPr>
                <w:rFonts w:eastAsia="Arial"/>
              </w:rPr>
              <w:tab/>
            </w:r>
            <w:r>
              <w:rPr>
                <w:rFonts w:eastAsia="Arial"/>
              </w:rPr>
              <w:tab/>
            </w:r>
            <w:r w:rsidR="00D72FC8">
              <w:rPr>
                <w:rFonts w:eastAsia="Arial"/>
              </w:rPr>
              <w:tab/>
            </w:r>
            <w:r w:rsidR="00247D56">
              <w:rPr>
                <w:rFonts w:eastAsia="Arial"/>
              </w:rPr>
              <w:t>ECE/TRANS/WP.15/242 (report from the 104</w:t>
            </w:r>
            <w:r w:rsidR="00247D56">
              <w:rPr>
                <w:rFonts w:eastAsia="Arial"/>
                <w:vertAlign w:val="superscript"/>
              </w:rPr>
              <w:t>th</w:t>
            </w:r>
            <w:r w:rsidR="00247D56">
              <w:rPr>
                <w:rFonts w:eastAsia="Arial"/>
              </w:rPr>
              <w:t xml:space="preserve"> session), para</w:t>
            </w:r>
            <w:r w:rsidR="00E65C84">
              <w:rPr>
                <w:rFonts w:eastAsia="Arial"/>
              </w:rPr>
              <w:t>s.</w:t>
            </w:r>
            <w:r w:rsidR="00247D56">
              <w:rPr>
                <w:rFonts w:eastAsia="Arial"/>
              </w:rPr>
              <w:t xml:space="preserve"> 55-57</w:t>
            </w:r>
            <w:r>
              <w:rPr>
                <w:rFonts w:eastAsia="Arial"/>
              </w:rPr>
              <w:t>,</w:t>
            </w:r>
            <w:r w:rsidR="00247D56">
              <w:rPr>
                <w:rFonts w:eastAsia="Arial"/>
              </w:rPr>
              <w:br/>
            </w:r>
            <w:r>
              <w:tab/>
            </w:r>
            <w:r>
              <w:tab/>
            </w:r>
            <w:r>
              <w:tab/>
            </w:r>
            <w:r>
              <w:tab/>
            </w:r>
            <w:r>
              <w:tab/>
            </w:r>
            <w:r>
              <w:tab/>
            </w:r>
            <w:r w:rsidR="00D72FC8">
              <w:tab/>
            </w:r>
            <w:r w:rsidR="00247D56">
              <w:t>INF.14 from the 105</w:t>
            </w:r>
            <w:r w:rsidR="00247D56" w:rsidRPr="00247D56">
              <w:rPr>
                <w:vertAlign w:val="superscript"/>
              </w:rPr>
              <w:t>th</w:t>
            </w:r>
            <w:r w:rsidR="00247D56">
              <w:t xml:space="preserve"> </w:t>
            </w:r>
            <w:r>
              <w:t>session of WP.15 and</w:t>
            </w:r>
            <w:r w:rsidR="00E65C84">
              <w:br/>
            </w:r>
            <w:r>
              <w:rPr>
                <w:rFonts w:eastAsia="Arial"/>
              </w:rPr>
              <w:tab/>
            </w:r>
            <w:r>
              <w:rPr>
                <w:rFonts w:eastAsia="Arial"/>
              </w:rPr>
              <w:tab/>
            </w:r>
            <w:r>
              <w:rPr>
                <w:rFonts w:eastAsia="Arial"/>
              </w:rPr>
              <w:tab/>
            </w:r>
            <w:r>
              <w:rPr>
                <w:rFonts w:eastAsia="Arial"/>
              </w:rPr>
              <w:tab/>
            </w:r>
            <w:r>
              <w:rPr>
                <w:rFonts w:eastAsia="Arial"/>
              </w:rPr>
              <w:tab/>
            </w:r>
            <w:r>
              <w:rPr>
                <w:rFonts w:eastAsia="Arial"/>
              </w:rPr>
              <w:tab/>
            </w:r>
            <w:r w:rsidR="00D72FC8">
              <w:rPr>
                <w:rFonts w:eastAsia="Arial"/>
              </w:rPr>
              <w:tab/>
            </w:r>
            <w:r w:rsidR="00E65C84">
              <w:rPr>
                <w:rFonts w:eastAsia="Arial"/>
              </w:rPr>
              <w:t>ECE/TRANS/WP.15/244 (report from the 10</w:t>
            </w:r>
            <w:r w:rsidR="0084394A">
              <w:rPr>
                <w:rFonts w:eastAsia="Arial"/>
              </w:rPr>
              <w:t>5</w:t>
            </w:r>
            <w:r w:rsidR="00E65C84" w:rsidRPr="00E65C84">
              <w:rPr>
                <w:rFonts w:eastAsia="Arial"/>
                <w:vertAlign w:val="superscript"/>
              </w:rPr>
              <w:t>th</w:t>
            </w:r>
            <w:r w:rsidR="00E65C84">
              <w:rPr>
                <w:rFonts w:eastAsia="Arial"/>
              </w:rPr>
              <w:t xml:space="preserve"> session), paras. 65-68</w:t>
            </w:r>
            <w:r>
              <w:rPr>
                <w:rFonts w:eastAsia="Arial"/>
              </w:rPr>
              <w:t>.</w:t>
            </w:r>
          </w:p>
        </w:tc>
      </w:tr>
      <w:tr w:rsidR="00A61895" w:rsidRPr="00B573A9" w:rsidTr="00943CBC">
        <w:trPr>
          <w:trHeight w:val="63"/>
          <w:jc w:val="center"/>
        </w:trPr>
        <w:tc>
          <w:tcPr>
            <w:tcW w:w="9629" w:type="dxa"/>
            <w:tcBorders>
              <w:top w:val="nil"/>
            </w:tcBorders>
            <w:shd w:val="clear" w:color="auto" w:fill="auto"/>
          </w:tcPr>
          <w:p w:rsidR="00A61895" w:rsidRDefault="00A61895" w:rsidP="00FE454B">
            <w:pPr>
              <w:suppressAutoHyphens w:val="0"/>
              <w:rPr>
                <w:b/>
              </w:rPr>
            </w:pPr>
          </w:p>
        </w:tc>
      </w:tr>
    </w:tbl>
    <w:p w:rsidR="009871A9" w:rsidRDefault="0049389C" w:rsidP="009871A9">
      <w:pPr>
        <w:pStyle w:val="HChG"/>
      </w:pPr>
      <w:r>
        <w:tab/>
      </w:r>
      <w:r>
        <w:tab/>
      </w:r>
      <w:r w:rsidR="009871A9" w:rsidRPr="001B08A2">
        <w:t>Introduction</w:t>
      </w:r>
    </w:p>
    <w:p w:rsidR="009871A9" w:rsidRDefault="008F5BDC" w:rsidP="009871A9">
      <w:pPr>
        <w:pStyle w:val="SingleTxtG"/>
        <w:rPr>
          <w:rStyle w:val="SingleTxtGChar"/>
        </w:rPr>
      </w:pPr>
      <w:r>
        <w:rPr>
          <w:rStyle w:val="SingleTxtGChar"/>
        </w:rPr>
        <w:t>1.</w:t>
      </w:r>
      <w:r>
        <w:rPr>
          <w:rStyle w:val="SingleTxtGChar"/>
        </w:rPr>
        <w:tab/>
      </w:r>
      <w:r w:rsidR="009871A9" w:rsidRPr="008B7CAF">
        <w:rPr>
          <w:rStyle w:val="SingleTxtGChar"/>
        </w:rPr>
        <w:t xml:space="preserve">During </w:t>
      </w:r>
      <w:r w:rsidR="009871A9">
        <w:rPr>
          <w:rStyle w:val="SingleTxtGChar"/>
        </w:rPr>
        <w:t>several</w:t>
      </w:r>
      <w:r>
        <w:rPr>
          <w:rStyle w:val="SingleTxtGChar"/>
        </w:rPr>
        <w:t xml:space="preserve"> sessions of the Working Party</w:t>
      </w:r>
      <w:r w:rsidR="009871A9" w:rsidRPr="008B7CAF">
        <w:rPr>
          <w:rStyle w:val="SingleTxtGChar"/>
        </w:rPr>
        <w:t xml:space="preserve">, </w:t>
      </w:r>
      <w:r w:rsidR="009871A9" w:rsidRPr="00D53946">
        <w:rPr>
          <w:rStyle w:val="SingleTxtGChar"/>
        </w:rPr>
        <w:t xml:space="preserve">Sweden </w:t>
      </w:r>
      <w:r w:rsidR="009871A9" w:rsidRPr="0024745E">
        <w:rPr>
          <w:rStyle w:val="SingleTxtGChar"/>
        </w:rPr>
        <w:t xml:space="preserve">has </w:t>
      </w:r>
      <w:r w:rsidR="009871A9" w:rsidRPr="00D53946">
        <w:rPr>
          <w:rStyle w:val="SingleTxtGChar"/>
        </w:rPr>
        <w:t>raised question</w:t>
      </w:r>
      <w:r w:rsidR="009871A9" w:rsidRPr="005F1822">
        <w:rPr>
          <w:rStyle w:val="SingleTxtGChar"/>
        </w:rPr>
        <w:t xml:space="preserve">s in relation to the </w:t>
      </w:r>
      <w:r w:rsidR="009871A9" w:rsidRPr="00D53946">
        <w:rPr>
          <w:rStyle w:val="SingleTxtGChar"/>
        </w:rPr>
        <w:t xml:space="preserve">supervision of vehicles. </w:t>
      </w:r>
      <w:r w:rsidR="009871A9" w:rsidRPr="008B7CAF">
        <w:rPr>
          <w:rStyle w:val="SingleTxtGChar"/>
        </w:rPr>
        <w:t>These ha</w:t>
      </w:r>
      <w:r w:rsidR="009871A9">
        <w:rPr>
          <w:rStyle w:val="SingleTxtGChar"/>
        </w:rPr>
        <w:t xml:space="preserve">ve </w:t>
      </w:r>
      <w:r w:rsidR="009871A9" w:rsidRPr="00320FDD">
        <w:rPr>
          <w:rStyle w:val="SingleTxtGChar"/>
        </w:rPr>
        <w:t xml:space="preserve">concerned </w:t>
      </w:r>
      <w:r w:rsidR="009871A9">
        <w:rPr>
          <w:rStyle w:val="SingleTxtGChar"/>
        </w:rPr>
        <w:t xml:space="preserve">Chapter 8.5 and what is intended </w:t>
      </w:r>
      <w:r w:rsidR="009871A9" w:rsidRPr="00320FDD">
        <w:rPr>
          <w:rStyle w:val="SingleTxtGChar"/>
        </w:rPr>
        <w:t>when</w:t>
      </w:r>
      <w:r w:rsidR="009871A9">
        <w:rPr>
          <w:rStyle w:val="SingleTxtGChar"/>
        </w:rPr>
        <w:t xml:space="preserve"> </w:t>
      </w:r>
      <w:r w:rsidR="009871A9" w:rsidRPr="00320FDD">
        <w:rPr>
          <w:rStyle w:val="SingleTxtGChar"/>
        </w:rPr>
        <w:t xml:space="preserve">the additional requirements </w:t>
      </w:r>
      <w:r w:rsidR="009871A9">
        <w:rPr>
          <w:rStyle w:val="SingleTxtGChar"/>
        </w:rPr>
        <w:t>in S</w:t>
      </w:r>
      <w:r w:rsidR="009871A9" w:rsidRPr="002820E6">
        <w:rPr>
          <w:szCs w:val="22"/>
        </w:rPr>
        <w:t>1</w:t>
      </w:r>
      <w:r w:rsidR="0074197E">
        <w:rPr>
          <w:szCs w:val="22"/>
        </w:rPr>
        <w:t>(6)</w:t>
      </w:r>
      <w:r w:rsidR="009871A9" w:rsidRPr="002820E6">
        <w:rPr>
          <w:szCs w:val="22"/>
        </w:rPr>
        <w:t xml:space="preserve">, S16 and S21 </w:t>
      </w:r>
      <w:r w:rsidR="009871A9" w:rsidRPr="005F1822">
        <w:rPr>
          <w:rStyle w:val="SingleTxtGChar"/>
        </w:rPr>
        <w:t xml:space="preserve">state that a vehicle shall be “supervised at all times”. </w:t>
      </w:r>
    </w:p>
    <w:p w:rsidR="009871A9" w:rsidRDefault="008F5BDC" w:rsidP="009871A9">
      <w:pPr>
        <w:pStyle w:val="SingleTxtG"/>
        <w:rPr>
          <w:rStyle w:val="SingleTxtGChar"/>
        </w:rPr>
      </w:pPr>
      <w:r>
        <w:rPr>
          <w:rStyle w:val="SingleTxtGChar"/>
        </w:rPr>
        <w:lastRenderedPageBreak/>
        <w:t>2.</w:t>
      </w:r>
      <w:r>
        <w:rPr>
          <w:rStyle w:val="SingleTxtGChar"/>
        </w:rPr>
        <w:tab/>
        <w:t>In Summer 2018</w:t>
      </w:r>
      <w:r w:rsidR="009871A9" w:rsidRPr="008B7CAF">
        <w:rPr>
          <w:rStyle w:val="SingleTxtGChar"/>
        </w:rPr>
        <w:t xml:space="preserve">, </w:t>
      </w:r>
      <w:r w:rsidR="009871A9">
        <w:rPr>
          <w:rStyle w:val="SingleTxtGChar"/>
        </w:rPr>
        <w:t>S</w:t>
      </w:r>
      <w:r w:rsidR="009871A9" w:rsidRPr="005F1822">
        <w:rPr>
          <w:rStyle w:val="SingleTxtGChar"/>
        </w:rPr>
        <w:t xml:space="preserve">weden </w:t>
      </w:r>
      <w:r w:rsidR="009871A9" w:rsidRPr="008B7CAF">
        <w:rPr>
          <w:rStyle w:val="SingleTxtGChar"/>
        </w:rPr>
        <w:t xml:space="preserve">sent out a questionnaire </w:t>
      </w:r>
      <w:r w:rsidR="009871A9" w:rsidRPr="005F1822">
        <w:rPr>
          <w:rStyle w:val="SingleTxtGChar"/>
        </w:rPr>
        <w:t xml:space="preserve">to gather information </w:t>
      </w:r>
      <w:r w:rsidR="009871A9" w:rsidRPr="00510E65">
        <w:rPr>
          <w:rStyle w:val="SingleTxtGChar"/>
        </w:rPr>
        <w:t xml:space="preserve">concerning the </w:t>
      </w:r>
      <w:r w:rsidR="009871A9">
        <w:rPr>
          <w:rStyle w:val="SingleTxtGChar"/>
        </w:rPr>
        <w:t xml:space="preserve">specific </w:t>
      </w:r>
      <w:r w:rsidR="009871A9" w:rsidRPr="00510E65">
        <w:rPr>
          <w:rStyle w:val="SingleTxtGChar"/>
        </w:rPr>
        <w:t xml:space="preserve">situation within </w:t>
      </w:r>
      <w:r w:rsidR="009871A9">
        <w:rPr>
          <w:rStyle w:val="SingleTxtGChar"/>
        </w:rPr>
        <w:t>each Contracting P</w:t>
      </w:r>
      <w:r w:rsidR="009871A9" w:rsidRPr="00510E65">
        <w:rPr>
          <w:rStyle w:val="SingleTxtGChar"/>
        </w:rPr>
        <w:t>art</w:t>
      </w:r>
      <w:r w:rsidR="009871A9">
        <w:rPr>
          <w:rStyle w:val="SingleTxtGChar"/>
        </w:rPr>
        <w:t>y</w:t>
      </w:r>
      <w:r w:rsidR="00077684">
        <w:rPr>
          <w:rStyle w:val="SingleTxtGChar"/>
        </w:rPr>
        <w:t>. The result</w:t>
      </w:r>
      <w:r w:rsidR="009871A9" w:rsidRPr="0068180F">
        <w:rPr>
          <w:rStyle w:val="SingleTxtGChar"/>
        </w:rPr>
        <w:t xml:space="preserve"> </w:t>
      </w:r>
      <w:r w:rsidR="00077684">
        <w:rPr>
          <w:rStyle w:val="SingleTxtGChar"/>
        </w:rPr>
        <w:t xml:space="preserve">served as </w:t>
      </w:r>
      <w:r w:rsidR="009871A9">
        <w:rPr>
          <w:rStyle w:val="SingleTxtGChar"/>
        </w:rPr>
        <w:t>a</w:t>
      </w:r>
      <w:r w:rsidR="009871A9" w:rsidRPr="0068180F">
        <w:rPr>
          <w:rStyle w:val="SingleTxtGChar"/>
        </w:rPr>
        <w:t xml:space="preserve"> base for </w:t>
      </w:r>
      <w:r w:rsidR="009871A9">
        <w:rPr>
          <w:rStyle w:val="SingleTxtGChar"/>
        </w:rPr>
        <w:t xml:space="preserve">the </w:t>
      </w:r>
      <w:r w:rsidR="009871A9" w:rsidRPr="0068180F">
        <w:rPr>
          <w:rStyle w:val="SingleTxtGChar"/>
        </w:rPr>
        <w:t>discussion</w:t>
      </w:r>
      <w:r w:rsidR="009871A9">
        <w:rPr>
          <w:rStyle w:val="SingleTxtGChar"/>
        </w:rPr>
        <w:t>s</w:t>
      </w:r>
      <w:r w:rsidR="009871A9" w:rsidRPr="008B7CAF">
        <w:rPr>
          <w:rStyle w:val="SingleTxtGChar"/>
        </w:rPr>
        <w:t xml:space="preserve"> </w:t>
      </w:r>
      <w:r w:rsidR="009871A9">
        <w:rPr>
          <w:rStyle w:val="SingleTxtGChar"/>
        </w:rPr>
        <w:t xml:space="preserve">at </w:t>
      </w:r>
      <w:r w:rsidR="00F840B5">
        <w:rPr>
          <w:rStyle w:val="SingleTxtGChar"/>
        </w:rPr>
        <w:t xml:space="preserve">the </w:t>
      </w:r>
      <w:r>
        <w:rPr>
          <w:rStyle w:val="SingleTxtGChar"/>
        </w:rPr>
        <w:t>105</w:t>
      </w:r>
      <w:r w:rsidRPr="008F5BDC">
        <w:rPr>
          <w:rStyle w:val="SingleTxtGChar"/>
          <w:vertAlign w:val="superscript"/>
        </w:rPr>
        <w:t>th</w:t>
      </w:r>
      <w:r>
        <w:rPr>
          <w:rStyle w:val="SingleTxtGChar"/>
        </w:rPr>
        <w:t xml:space="preserve"> session of the Working Party</w:t>
      </w:r>
      <w:r w:rsidR="009871A9">
        <w:rPr>
          <w:rStyle w:val="SingleTxtGChar"/>
        </w:rPr>
        <w:t xml:space="preserve">. Even though many countries has showed an interest in clarifying the provisions, the discussions have proven the matter to be </w:t>
      </w:r>
      <w:r w:rsidR="009940F0">
        <w:rPr>
          <w:rStyle w:val="SingleTxtGChar"/>
        </w:rPr>
        <w:t>difficult</w:t>
      </w:r>
      <w:r w:rsidR="009871A9">
        <w:rPr>
          <w:rStyle w:val="SingleTxtGChar"/>
        </w:rPr>
        <w:t>, probably due to the number of surrounding factors that must be taken into account, which also var</w:t>
      </w:r>
      <w:r w:rsidR="00077684">
        <w:rPr>
          <w:rStyle w:val="SingleTxtGChar"/>
        </w:rPr>
        <w:t>ies between</w:t>
      </w:r>
      <w:r w:rsidR="009871A9">
        <w:rPr>
          <w:rStyle w:val="SingleTxtGChar"/>
        </w:rPr>
        <w:t xml:space="preserve"> the countries.</w:t>
      </w:r>
    </w:p>
    <w:p w:rsidR="009871A9" w:rsidRDefault="008F5BDC" w:rsidP="009871A9">
      <w:pPr>
        <w:pStyle w:val="SingleTxtG"/>
        <w:rPr>
          <w:rStyle w:val="SingleTxtGChar"/>
        </w:rPr>
      </w:pPr>
      <w:r>
        <w:rPr>
          <w:rStyle w:val="SingleTxtGChar"/>
        </w:rPr>
        <w:t>3.</w:t>
      </w:r>
      <w:r>
        <w:rPr>
          <w:rStyle w:val="SingleTxtGChar"/>
        </w:rPr>
        <w:tab/>
      </w:r>
      <w:r w:rsidR="009940F0">
        <w:rPr>
          <w:rStyle w:val="SingleTxtGChar"/>
        </w:rPr>
        <w:t>Nevertheless</w:t>
      </w:r>
      <w:r w:rsidR="009871A9">
        <w:rPr>
          <w:rStyle w:val="SingleTxtGChar"/>
        </w:rPr>
        <w:t xml:space="preserve">, Sweden </w:t>
      </w:r>
      <w:proofErr w:type="gramStart"/>
      <w:r w:rsidR="009871A9">
        <w:rPr>
          <w:rStyle w:val="SingleTxtGChar"/>
        </w:rPr>
        <w:t>is of the opinion that</w:t>
      </w:r>
      <w:proofErr w:type="gramEnd"/>
      <w:r w:rsidR="009871A9">
        <w:rPr>
          <w:rStyle w:val="SingleTxtGChar"/>
        </w:rPr>
        <w:t xml:space="preserve"> it must be clear how the provisions in ADR should be applied. Unclear provisions will not only mean different applications between the Contracting Parties, but will in many cases result in no application at all. This is not an acceptable situation </w:t>
      </w:r>
      <w:r w:rsidR="00716183">
        <w:rPr>
          <w:rStyle w:val="SingleTxtGChar"/>
        </w:rPr>
        <w:t xml:space="preserve">and </w:t>
      </w:r>
      <w:r w:rsidR="009871A9">
        <w:rPr>
          <w:rStyle w:val="SingleTxtGChar"/>
        </w:rPr>
        <w:t xml:space="preserve">we should clarify what measures are expected to be taken in relation to the supervision of vehicles. </w:t>
      </w:r>
    </w:p>
    <w:p w:rsidR="009871A9" w:rsidRPr="006C7C55" w:rsidRDefault="009871A9" w:rsidP="009871A9">
      <w:pPr>
        <w:pStyle w:val="HChG"/>
      </w:pPr>
      <w:r>
        <w:tab/>
      </w:r>
      <w:r>
        <w:tab/>
      </w:r>
      <w:r w:rsidRPr="00C50913">
        <w:t xml:space="preserve">Background </w:t>
      </w:r>
    </w:p>
    <w:p w:rsidR="00A37C60" w:rsidRDefault="00A37C60" w:rsidP="00A37C60">
      <w:pPr>
        <w:pStyle w:val="H1G"/>
        <w:rPr>
          <w:rStyle w:val="SingleTxtGChar"/>
        </w:rPr>
      </w:pPr>
      <w:r>
        <w:rPr>
          <w:rStyle w:val="SingleTxtGChar"/>
        </w:rPr>
        <w:tab/>
      </w:r>
      <w:r>
        <w:rPr>
          <w:rStyle w:val="SingleTxtGChar"/>
        </w:rPr>
        <w:tab/>
      </w:r>
      <w:r w:rsidR="009871A9" w:rsidRPr="001F13FE">
        <w:rPr>
          <w:rStyle w:val="SingleTxtGChar"/>
        </w:rPr>
        <w:t>Chapter 8.4</w:t>
      </w:r>
    </w:p>
    <w:p w:rsidR="009871A9" w:rsidRPr="00A37C60" w:rsidRDefault="008F5BDC" w:rsidP="00A37C60">
      <w:pPr>
        <w:pStyle w:val="SingleTxtG"/>
        <w:rPr>
          <w:rStyle w:val="SingleTxtGChar"/>
        </w:rPr>
      </w:pPr>
      <w:r>
        <w:rPr>
          <w:rStyle w:val="SingleTxtGChar"/>
        </w:rPr>
        <w:t>4.</w:t>
      </w:r>
      <w:r>
        <w:rPr>
          <w:rStyle w:val="SingleTxtGChar"/>
        </w:rPr>
        <w:tab/>
      </w:r>
      <w:proofErr w:type="gramStart"/>
      <w:r w:rsidR="009871A9" w:rsidRPr="00A37C60">
        <w:rPr>
          <w:rStyle w:val="SingleTxtGChar"/>
        </w:rPr>
        <w:t>According to</w:t>
      </w:r>
      <w:proofErr w:type="gramEnd"/>
      <w:r w:rsidR="009871A9" w:rsidRPr="00A37C60">
        <w:rPr>
          <w:rStyle w:val="SingleTxtGChar"/>
        </w:rPr>
        <w:t xml:space="preserve"> our understanding, </w:t>
      </w:r>
      <w:r w:rsidR="00563FCE" w:rsidRPr="00A37C60">
        <w:rPr>
          <w:rStyle w:val="SingleTxtGChar"/>
        </w:rPr>
        <w:t>c</w:t>
      </w:r>
      <w:r w:rsidR="009871A9" w:rsidRPr="00A37C60">
        <w:rPr>
          <w:rStyle w:val="SingleTxtGChar"/>
        </w:rPr>
        <w:t xml:space="preserve">hapter 8.4 </w:t>
      </w:r>
      <w:r w:rsidR="00612285" w:rsidRPr="00A37C60">
        <w:rPr>
          <w:rStyle w:val="SingleTxtGChar"/>
        </w:rPr>
        <w:t xml:space="preserve">primarily </w:t>
      </w:r>
      <w:r w:rsidR="009871A9" w:rsidRPr="00A37C60">
        <w:rPr>
          <w:rStyle w:val="SingleTxtGChar"/>
        </w:rPr>
        <w:t xml:space="preserve">deals with supervision in relation to safety. The text </w:t>
      </w:r>
      <w:r w:rsidR="002E1C79" w:rsidRPr="00A37C60">
        <w:rPr>
          <w:rStyle w:val="SingleTxtGChar"/>
        </w:rPr>
        <w:t xml:space="preserve">generally describes measures that </w:t>
      </w:r>
      <w:r w:rsidR="009871A9" w:rsidRPr="00A37C60">
        <w:rPr>
          <w:rStyle w:val="SingleTxtGChar"/>
        </w:rPr>
        <w:t xml:space="preserve">aims to reduce the risk </w:t>
      </w:r>
      <w:r w:rsidR="00716183" w:rsidRPr="00A37C60">
        <w:rPr>
          <w:rStyle w:val="SingleTxtGChar"/>
        </w:rPr>
        <w:t xml:space="preserve">of </w:t>
      </w:r>
      <w:r w:rsidR="009871A9" w:rsidRPr="00A37C60">
        <w:rPr>
          <w:rStyle w:val="SingleTxtGChar"/>
        </w:rPr>
        <w:t xml:space="preserve">accidents. </w:t>
      </w:r>
      <w:r w:rsidR="00716183" w:rsidRPr="00A37C60">
        <w:rPr>
          <w:rStyle w:val="SingleTxtGChar"/>
        </w:rPr>
        <w:t>Even though w</w:t>
      </w:r>
      <w:r w:rsidR="009871A9" w:rsidRPr="00A37C60">
        <w:rPr>
          <w:rStyle w:val="SingleTxtGChar"/>
        </w:rPr>
        <w:t xml:space="preserve">e find these provisions quite vague, </w:t>
      </w:r>
      <w:r w:rsidR="00716183" w:rsidRPr="00A37C60">
        <w:rPr>
          <w:rStyle w:val="SingleTxtGChar"/>
        </w:rPr>
        <w:t>we</w:t>
      </w:r>
      <w:r w:rsidR="009871A9" w:rsidRPr="00A37C60">
        <w:rPr>
          <w:rStyle w:val="SingleTxtGChar"/>
        </w:rPr>
        <w:t xml:space="preserve"> cannot see how more precise or stringent requirements could be introduced. The reason is the current situation concerning the very limited number of safe and</w:t>
      </w:r>
      <w:r w:rsidR="00612285" w:rsidRPr="00A37C60">
        <w:rPr>
          <w:rStyle w:val="SingleTxtGChar"/>
        </w:rPr>
        <w:t>/or</w:t>
      </w:r>
      <w:r w:rsidR="009871A9" w:rsidRPr="00A37C60">
        <w:rPr>
          <w:rStyle w:val="SingleTxtGChar"/>
        </w:rPr>
        <w:t xml:space="preserve"> secure parking areas, which looks </w:t>
      </w:r>
      <w:proofErr w:type="gramStart"/>
      <w:r w:rsidR="009871A9" w:rsidRPr="00A37C60">
        <w:rPr>
          <w:rStyle w:val="SingleTxtGChar"/>
        </w:rPr>
        <w:t>more or less the</w:t>
      </w:r>
      <w:proofErr w:type="gramEnd"/>
      <w:r w:rsidR="009871A9" w:rsidRPr="00A37C60">
        <w:rPr>
          <w:rStyle w:val="SingleTxtGChar"/>
        </w:rPr>
        <w:t xml:space="preserve"> same in a majority of the Contracting Parties, Sweden included.</w:t>
      </w:r>
    </w:p>
    <w:p w:rsidR="00A37C60" w:rsidRDefault="00A37C60" w:rsidP="00A37C60">
      <w:pPr>
        <w:pStyle w:val="H1G"/>
        <w:rPr>
          <w:rStyle w:val="SingleTxtGChar"/>
          <w:b w:val="0"/>
        </w:rPr>
      </w:pPr>
      <w:r>
        <w:rPr>
          <w:rStyle w:val="SingleTxtGChar"/>
        </w:rPr>
        <w:tab/>
      </w:r>
      <w:r>
        <w:rPr>
          <w:rStyle w:val="SingleTxtGChar"/>
        </w:rPr>
        <w:tab/>
      </w:r>
      <w:r w:rsidR="009871A9" w:rsidRPr="001F13FE">
        <w:rPr>
          <w:rStyle w:val="SingleTxtGChar"/>
        </w:rPr>
        <w:t>Chapter 8.5</w:t>
      </w:r>
    </w:p>
    <w:p w:rsidR="008F5BDC" w:rsidRDefault="008F5BDC" w:rsidP="002E1C79">
      <w:pPr>
        <w:pStyle w:val="SingleTxtG"/>
        <w:tabs>
          <w:tab w:val="left" w:pos="1701"/>
        </w:tabs>
        <w:jc w:val="left"/>
        <w:rPr>
          <w:rStyle w:val="SingleTxtGChar"/>
        </w:rPr>
      </w:pPr>
      <w:r>
        <w:rPr>
          <w:rStyle w:val="SingleTxtGChar"/>
        </w:rPr>
        <w:t>5.</w:t>
      </w:r>
      <w:r>
        <w:rPr>
          <w:rStyle w:val="SingleTxtGChar"/>
        </w:rPr>
        <w:tab/>
      </w:r>
      <w:r w:rsidR="002E1C79">
        <w:rPr>
          <w:rStyle w:val="SingleTxtGChar"/>
        </w:rPr>
        <w:t xml:space="preserve">With the answers </w:t>
      </w:r>
      <w:r w:rsidR="000B3477">
        <w:rPr>
          <w:rStyle w:val="SingleTxtGChar"/>
        </w:rPr>
        <w:t>on</w:t>
      </w:r>
      <w:r w:rsidR="002E1C79">
        <w:rPr>
          <w:rStyle w:val="SingleTxtGChar"/>
        </w:rPr>
        <w:t xml:space="preserve"> the questionnaire and the discussion at the last meeting of WP.15 in mind, we have examined the text in S1</w:t>
      </w:r>
      <w:r w:rsidR="000B3477">
        <w:rPr>
          <w:rStyle w:val="SingleTxtGChar"/>
        </w:rPr>
        <w:t>(6)</w:t>
      </w:r>
      <w:r w:rsidR="002E1C79">
        <w:rPr>
          <w:rStyle w:val="SingleTxtGChar"/>
        </w:rPr>
        <w:t xml:space="preserve">, S16 and S21 further. </w:t>
      </w:r>
      <w:r w:rsidR="009871A9">
        <w:rPr>
          <w:rStyle w:val="SingleTxtGChar"/>
        </w:rPr>
        <w:t>The first sentence in the</w:t>
      </w:r>
      <w:r w:rsidR="000B3477">
        <w:rPr>
          <w:rStyle w:val="SingleTxtGChar"/>
        </w:rPr>
        <w:t>se</w:t>
      </w:r>
      <w:r w:rsidR="009871A9">
        <w:rPr>
          <w:rStyle w:val="SingleTxtGChar"/>
        </w:rPr>
        <w:t xml:space="preserve"> additional requirements make</w:t>
      </w:r>
      <w:r w:rsidR="00716183">
        <w:rPr>
          <w:rStyle w:val="SingleTxtGChar"/>
        </w:rPr>
        <w:t>s</w:t>
      </w:r>
      <w:r w:rsidR="009871A9">
        <w:rPr>
          <w:rStyle w:val="SingleTxtGChar"/>
        </w:rPr>
        <w:t xml:space="preserve"> a clear reference to </w:t>
      </w:r>
      <w:r w:rsidR="00563FCE">
        <w:rPr>
          <w:rStyle w:val="SingleTxtGChar"/>
        </w:rPr>
        <w:t>c</w:t>
      </w:r>
      <w:r w:rsidR="009871A9">
        <w:rPr>
          <w:rStyle w:val="SingleTxtGChar"/>
        </w:rPr>
        <w:t>hapter 8.4</w:t>
      </w:r>
      <w:r w:rsidR="002E1C79">
        <w:rPr>
          <w:rStyle w:val="SingleTxtGChar"/>
        </w:rPr>
        <w:t xml:space="preserve"> (see text reproduced below)</w:t>
      </w:r>
      <w:r w:rsidR="009A40AA">
        <w:rPr>
          <w:rStyle w:val="SingleTxtGChar"/>
        </w:rPr>
        <w:t xml:space="preserve"> – c</w:t>
      </w:r>
      <w:r w:rsidR="00716183">
        <w:rPr>
          <w:rStyle w:val="SingleTxtGChar"/>
        </w:rPr>
        <w:t>onsequently</w:t>
      </w:r>
      <w:r w:rsidR="002E1C79">
        <w:rPr>
          <w:rStyle w:val="SingleTxtGChar"/>
        </w:rPr>
        <w:t xml:space="preserve">, </w:t>
      </w:r>
      <w:r w:rsidR="009A40AA">
        <w:rPr>
          <w:rStyle w:val="SingleTxtGChar"/>
        </w:rPr>
        <w:t>this sentence</w:t>
      </w:r>
      <w:r w:rsidR="00716183">
        <w:rPr>
          <w:rStyle w:val="SingleTxtGChar"/>
        </w:rPr>
        <w:t xml:space="preserve"> </w:t>
      </w:r>
      <w:r w:rsidR="000B3477">
        <w:rPr>
          <w:rStyle w:val="SingleTxtGChar"/>
        </w:rPr>
        <w:t xml:space="preserve">mainly </w:t>
      </w:r>
      <w:r w:rsidR="002E1C79">
        <w:rPr>
          <w:rStyle w:val="SingleTxtGChar"/>
        </w:rPr>
        <w:t>relate</w:t>
      </w:r>
      <w:r w:rsidR="00716183">
        <w:rPr>
          <w:rStyle w:val="SingleTxtGChar"/>
        </w:rPr>
        <w:t>s</w:t>
      </w:r>
      <w:r w:rsidR="002E1C79">
        <w:rPr>
          <w:rStyle w:val="SingleTxtGChar"/>
        </w:rPr>
        <w:t xml:space="preserve"> to supervision in the context of safety.</w:t>
      </w:r>
    </w:p>
    <w:p w:rsidR="002B4B7E" w:rsidRDefault="008F5BDC" w:rsidP="002E1C79">
      <w:pPr>
        <w:pStyle w:val="SingleTxtG"/>
        <w:tabs>
          <w:tab w:val="left" w:pos="1701"/>
        </w:tabs>
        <w:jc w:val="left"/>
        <w:rPr>
          <w:rStyle w:val="SingleTxtGChar"/>
        </w:rPr>
      </w:pPr>
      <w:r>
        <w:rPr>
          <w:rStyle w:val="SingleTxtGChar"/>
        </w:rPr>
        <w:t>6.</w:t>
      </w:r>
      <w:r>
        <w:rPr>
          <w:rStyle w:val="SingleTxtGChar"/>
        </w:rPr>
        <w:tab/>
      </w:r>
      <w:r w:rsidR="002E1C79">
        <w:rPr>
          <w:rStyle w:val="SingleTxtGChar"/>
        </w:rPr>
        <w:t>T</w:t>
      </w:r>
      <w:r w:rsidR="009871A9">
        <w:rPr>
          <w:rStyle w:val="SingleTxtGChar"/>
        </w:rPr>
        <w:t xml:space="preserve">he </w:t>
      </w:r>
      <w:r w:rsidR="002E1C79">
        <w:rPr>
          <w:rStyle w:val="SingleTxtGChar"/>
        </w:rPr>
        <w:t xml:space="preserve">succeeding </w:t>
      </w:r>
      <w:r w:rsidR="002B4B7E">
        <w:rPr>
          <w:rStyle w:val="SingleTxtGChar"/>
        </w:rPr>
        <w:t>text</w:t>
      </w:r>
      <w:r w:rsidR="002E1C79">
        <w:rPr>
          <w:rStyle w:val="SingleTxtGChar"/>
        </w:rPr>
        <w:t xml:space="preserve"> in all three</w:t>
      </w:r>
      <w:r w:rsidR="002B4B7E">
        <w:rPr>
          <w:rStyle w:val="SingleTxtGChar"/>
        </w:rPr>
        <w:t xml:space="preserve"> S-provisions</w:t>
      </w:r>
      <w:r w:rsidR="002E1C79">
        <w:rPr>
          <w:rStyle w:val="SingleTxtGChar"/>
        </w:rPr>
        <w:t xml:space="preserve"> </w:t>
      </w:r>
      <w:r w:rsidR="00716183">
        <w:rPr>
          <w:rStyle w:val="SingleTxtGChar"/>
        </w:rPr>
        <w:t>contains supervision requirements primarily related to security</w:t>
      </w:r>
      <w:r w:rsidR="00C511AA">
        <w:rPr>
          <w:rStyle w:val="SingleTxtGChar"/>
        </w:rPr>
        <w:t>.</w:t>
      </w:r>
      <w:r w:rsidR="00557364">
        <w:rPr>
          <w:rStyle w:val="SingleTxtGChar"/>
        </w:rPr>
        <w:t xml:space="preserve"> </w:t>
      </w:r>
      <w:r w:rsidR="00716183">
        <w:rPr>
          <w:rStyle w:val="SingleTxtGChar"/>
        </w:rPr>
        <w:t xml:space="preserve">Below </w:t>
      </w:r>
      <w:r w:rsidR="00CC676A">
        <w:rPr>
          <w:rStyle w:val="SingleTxtGChar"/>
        </w:rPr>
        <w:t xml:space="preserve">is </w:t>
      </w:r>
      <w:r w:rsidR="00716183">
        <w:rPr>
          <w:rStyle w:val="SingleTxtGChar"/>
        </w:rPr>
        <w:t>an e</w:t>
      </w:r>
      <w:r w:rsidR="00651DD3">
        <w:rPr>
          <w:rStyle w:val="SingleTxtGChar"/>
        </w:rPr>
        <w:t>xtract</w:t>
      </w:r>
      <w:r w:rsidR="00557364">
        <w:rPr>
          <w:rStyle w:val="SingleTxtGChar"/>
        </w:rPr>
        <w:t xml:space="preserve"> from Chapter 8.5:</w:t>
      </w:r>
    </w:p>
    <w:p w:rsidR="00CF414C" w:rsidRDefault="002B4B7E" w:rsidP="00CF414C">
      <w:pPr>
        <w:tabs>
          <w:tab w:val="left" w:pos="-1227"/>
          <w:tab w:val="left" w:pos="-720"/>
          <w:tab w:val="left" w:pos="1134"/>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1985" w:right="1134" w:hanging="905"/>
        <w:rPr>
          <w:i/>
        </w:rPr>
      </w:pPr>
      <w:r>
        <w:rPr>
          <w:b/>
        </w:rPr>
        <w:tab/>
        <w:t>“S1</w:t>
      </w:r>
      <w:r w:rsidRPr="00041B7F">
        <w:rPr>
          <w:b/>
        </w:rPr>
        <w:t>(6)</w:t>
      </w:r>
      <w:r w:rsidRPr="00041B7F">
        <w:rPr>
          <w:b/>
        </w:rPr>
        <w:tab/>
      </w:r>
      <w:r w:rsidRPr="00DF0296">
        <w:rPr>
          <w:i/>
        </w:rPr>
        <w:t xml:space="preserve">The requirements of Chapter 8.4 shall be applicable only when substances and </w:t>
      </w:r>
      <w:r w:rsidR="00DF0296" w:rsidRPr="00DF0296">
        <w:rPr>
          <w:i/>
        </w:rPr>
        <w:tab/>
      </w:r>
      <w:r w:rsidR="00DF0296" w:rsidRPr="00DF0296">
        <w:rPr>
          <w:i/>
        </w:rPr>
        <w:br/>
      </w:r>
      <w:r w:rsidRPr="00DF0296">
        <w:rPr>
          <w:i/>
        </w:rPr>
        <w:t>articles of Class 1 having a total net mass of explosive substance above the limits set below are carried in a vehicle:</w:t>
      </w:r>
      <w:r w:rsidR="00DF0296" w:rsidRPr="00DF0296">
        <w:rPr>
          <w:i/>
        </w:rPr>
        <w:br/>
        <w:t>…</w:t>
      </w:r>
    </w:p>
    <w:p w:rsidR="002B4B7E" w:rsidRPr="00DF0296" w:rsidRDefault="00CF414C" w:rsidP="00CF414C">
      <w:pPr>
        <w:tabs>
          <w:tab w:val="left" w:pos="-1227"/>
          <w:tab w:val="left" w:pos="-720"/>
          <w:tab w:val="left" w:pos="1134"/>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1985" w:right="1134" w:hanging="905"/>
        <w:rPr>
          <w:i/>
        </w:rPr>
      </w:pPr>
      <w:r>
        <w:rPr>
          <w:b/>
        </w:rPr>
        <w:tab/>
      </w:r>
      <w:r w:rsidR="002B4B7E" w:rsidRPr="00DF0296">
        <w:rPr>
          <w:i/>
        </w:rPr>
        <w:tab/>
        <w:t>In addition, these substances and articles shall be supervised at all times in order to prevent any malicious act and to alert the driver and the competent authorities in the event of loss or fire.</w:t>
      </w:r>
    </w:p>
    <w:p w:rsidR="002B4B7E" w:rsidRDefault="002B4B7E" w:rsidP="00A37C60">
      <w:pPr>
        <w:tabs>
          <w:tab w:val="left" w:pos="-1227"/>
          <w:tab w:val="left" w:pos="-72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ind w:left="1987" w:right="1134" w:hanging="907"/>
      </w:pPr>
      <w:r w:rsidRPr="00DF0296">
        <w:rPr>
          <w:i/>
        </w:rPr>
        <w:tab/>
        <w:t xml:space="preserve">Empty uncleaned </w:t>
      </w:r>
      <w:proofErr w:type="spellStart"/>
      <w:r w:rsidRPr="00DF0296">
        <w:rPr>
          <w:i/>
        </w:rPr>
        <w:t>packagings</w:t>
      </w:r>
      <w:proofErr w:type="spellEnd"/>
      <w:r w:rsidRPr="00DF0296">
        <w:rPr>
          <w:i/>
        </w:rPr>
        <w:t xml:space="preserve"> are exempted.”</w:t>
      </w:r>
      <w:r>
        <w:br/>
      </w:r>
    </w:p>
    <w:p w:rsidR="002B4B7E" w:rsidRPr="00000657" w:rsidRDefault="00CF414C" w:rsidP="00A37C60">
      <w:pPr>
        <w:tabs>
          <w:tab w:val="left" w:pos="-1227"/>
          <w:tab w:val="left" w:pos="-720"/>
          <w:tab w:val="left" w:pos="1134"/>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10080"/>
          <w:tab w:val="left" w:pos="10800"/>
        </w:tabs>
        <w:spacing w:after="200"/>
        <w:ind w:left="1983" w:right="1134" w:hanging="1470"/>
        <w:jc w:val="both"/>
        <w:rPr>
          <w:i/>
        </w:rPr>
      </w:pPr>
      <w:r>
        <w:rPr>
          <w:b/>
        </w:rPr>
        <w:tab/>
      </w:r>
      <w:r w:rsidR="002B4B7E">
        <w:rPr>
          <w:b/>
        </w:rPr>
        <w:t>“</w:t>
      </w:r>
      <w:r w:rsidR="002B4B7E" w:rsidRPr="00041B7F">
        <w:rPr>
          <w:b/>
        </w:rPr>
        <w:t>S16:</w:t>
      </w:r>
      <w:r w:rsidR="002B4B7E" w:rsidRPr="00041B7F">
        <w:rPr>
          <w:b/>
        </w:rPr>
        <w:tab/>
      </w:r>
      <w:r w:rsidR="00A37C60">
        <w:rPr>
          <w:b/>
        </w:rPr>
        <w:tab/>
      </w:r>
      <w:r w:rsidR="002B4B7E" w:rsidRPr="00000657">
        <w:rPr>
          <w:i/>
        </w:rPr>
        <w:t xml:space="preserve">The provisions of Chapter 8.4 concerning the supervision of vehicles </w:t>
      </w:r>
      <w:r w:rsidR="00000657" w:rsidRPr="00000657">
        <w:rPr>
          <w:i/>
        </w:rPr>
        <w:t xml:space="preserve">shall apply when </w:t>
      </w:r>
      <w:r w:rsidR="00000657" w:rsidRPr="00000657">
        <w:rPr>
          <w:i/>
        </w:rPr>
        <w:tab/>
      </w:r>
      <w:r w:rsidR="002B4B7E" w:rsidRPr="00000657">
        <w:rPr>
          <w:i/>
        </w:rPr>
        <w:t>the total mass of these substances in the vehicle exceeds 500 kg.</w:t>
      </w:r>
    </w:p>
    <w:p w:rsidR="00CF414C" w:rsidRDefault="002B4B7E" w:rsidP="00A37C60">
      <w:pPr>
        <w:tabs>
          <w:tab w:val="left" w:pos="-1227"/>
          <w:tab w:val="left" w:pos="-72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ind w:left="1987" w:right="1134" w:hanging="907"/>
        <w:rPr>
          <w:b/>
        </w:rPr>
      </w:pPr>
      <w:r w:rsidRPr="00000657">
        <w:rPr>
          <w:i/>
        </w:rPr>
        <w:tab/>
      </w:r>
      <w:r w:rsidRPr="00000657">
        <w:rPr>
          <w:i/>
        </w:rPr>
        <w:tab/>
        <w:t>In addition, vehicles carrying more than 500 kg of these substances shall be subject at all times to supervision to prevent any malicious act and to alert the driver and competent authorities in the event of loss or fire.”</w:t>
      </w:r>
      <w:r w:rsidRPr="00000657">
        <w:rPr>
          <w:i/>
        </w:rPr>
        <w:br/>
      </w:r>
    </w:p>
    <w:p w:rsidR="00F63C2E" w:rsidRDefault="00CF414C" w:rsidP="00A37C60">
      <w:pPr>
        <w:tabs>
          <w:tab w:val="left" w:pos="-1227"/>
          <w:tab w:val="left" w:pos="-720"/>
          <w:tab w:val="left" w:pos="1134"/>
          <w:tab w:val="left" w:pos="1985"/>
          <w:tab w:val="left" w:pos="2552"/>
          <w:tab w:val="left" w:pos="2880"/>
          <w:tab w:val="left" w:pos="3174"/>
          <w:tab w:val="left" w:pos="3600"/>
          <w:tab w:val="left" w:pos="4320"/>
          <w:tab w:val="left" w:pos="5040"/>
          <w:tab w:val="left" w:pos="5760"/>
          <w:tab w:val="left" w:pos="6480"/>
          <w:tab w:val="left" w:pos="7200"/>
          <w:tab w:val="left" w:pos="7920"/>
        </w:tabs>
        <w:spacing w:after="200"/>
        <w:ind w:left="1701" w:right="1134" w:hanging="1188"/>
        <w:rPr>
          <w:i/>
        </w:rPr>
      </w:pPr>
      <w:r>
        <w:rPr>
          <w:b/>
        </w:rPr>
        <w:lastRenderedPageBreak/>
        <w:tab/>
      </w:r>
      <w:r w:rsidR="00943CBC">
        <w:rPr>
          <w:b/>
        </w:rPr>
        <w:t>“</w:t>
      </w:r>
      <w:r w:rsidR="002B4B7E" w:rsidRPr="00041B7F">
        <w:rPr>
          <w:b/>
        </w:rPr>
        <w:t>S21:</w:t>
      </w:r>
      <w:r w:rsidR="002B4B7E" w:rsidRPr="00041B7F">
        <w:tab/>
      </w:r>
      <w:r w:rsidR="002B4B7E" w:rsidRPr="0021131C">
        <w:rPr>
          <w:i/>
        </w:rPr>
        <w:t xml:space="preserve">The provisions of Chapter 8.4 concerning the supervision of vehicles shall apply to all </w:t>
      </w:r>
      <w:r>
        <w:rPr>
          <w:i/>
        </w:rPr>
        <w:tab/>
      </w:r>
      <w:r w:rsidR="002B4B7E" w:rsidRPr="0021131C">
        <w:rPr>
          <w:i/>
        </w:rPr>
        <w:t xml:space="preserve">material, in whatever mass. In addition, these goods shall be subject at all times to </w:t>
      </w:r>
      <w:r>
        <w:rPr>
          <w:i/>
        </w:rPr>
        <w:tab/>
      </w:r>
      <w:r w:rsidR="002B4B7E" w:rsidRPr="0021131C">
        <w:rPr>
          <w:i/>
        </w:rPr>
        <w:t xml:space="preserve">supervision to prevent any malicious act and to alert the driver and the competent </w:t>
      </w:r>
      <w:r>
        <w:rPr>
          <w:i/>
        </w:rPr>
        <w:tab/>
      </w:r>
      <w:r w:rsidR="002B4B7E" w:rsidRPr="0021131C">
        <w:rPr>
          <w:i/>
        </w:rPr>
        <w:t xml:space="preserve">authorities in the event of loss or fire. However, the provisions of Chapter 8.4 need not </w:t>
      </w:r>
      <w:r>
        <w:rPr>
          <w:i/>
        </w:rPr>
        <w:tab/>
      </w:r>
      <w:r w:rsidR="002B4B7E" w:rsidRPr="0021131C">
        <w:rPr>
          <w:i/>
        </w:rPr>
        <w:t>be applied where:</w:t>
      </w:r>
    </w:p>
    <w:p w:rsidR="00CF414C" w:rsidRDefault="002B4B7E" w:rsidP="00A37C60">
      <w:pPr>
        <w:tabs>
          <w:tab w:val="left" w:pos="-1227"/>
          <w:tab w:val="left" w:pos="-720"/>
          <w:tab w:val="left" w:pos="1134"/>
          <w:tab w:val="left" w:pos="1985"/>
          <w:tab w:val="left" w:pos="2552"/>
          <w:tab w:val="left" w:pos="2880"/>
          <w:tab w:val="left" w:pos="3174"/>
          <w:tab w:val="left" w:pos="3600"/>
          <w:tab w:val="left" w:pos="4320"/>
          <w:tab w:val="left" w:pos="5040"/>
          <w:tab w:val="left" w:pos="5760"/>
          <w:tab w:val="left" w:pos="6480"/>
          <w:tab w:val="left" w:pos="7200"/>
          <w:tab w:val="left" w:pos="7920"/>
        </w:tabs>
        <w:spacing w:after="200"/>
        <w:ind w:left="1701" w:right="1134" w:hanging="1188"/>
        <w:rPr>
          <w:i/>
        </w:rPr>
      </w:pPr>
      <w:r w:rsidRPr="0021131C">
        <w:rPr>
          <w:i/>
        </w:rPr>
        <w:br/>
        <w:t>(a)</w:t>
      </w:r>
      <w:r w:rsidRPr="0021131C">
        <w:rPr>
          <w:i/>
        </w:rPr>
        <w:tab/>
        <w:t xml:space="preserve">The loaded compartment is locked or the packages carried are otherwise </w:t>
      </w:r>
      <w:r w:rsidR="0021131C" w:rsidRPr="0021131C">
        <w:rPr>
          <w:i/>
        </w:rPr>
        <w:tab/>
      </w:r>
      <w:r w:rsidRPr="0021131C">
        <w:rPr>
          <w:i/>
        </w:rPr>
        <w:t>protected against illicit unloading; and</w:t>
      </w:r>
    </w:p>
    <w:p w:rsidR="002B4B7E" w:rsidRPr="0021131C" w:rsidRDefault="00CF414C" w:rsidP="00F63C2E">
      <w:pPr>
        <w:tabs>
          <w:tab w:val="left" w:pos="-1227"/>
          <w:tab w:val="left" w:pos="-720"/>
          <w:tab w:val="left" w:pos="1134"/>
          <w:tab w:val="left" w:pos="1985"/>
          <w:tab w:val="left" w:pos="2552"/>
          <w:tab w:val="left" w:pos="2880"/>
          <w:tab w:val="left" w:pos="3174"/>
          <w:tab w:val="left" w:pos="3600"/>
          <w:tab w:val="left" w:pos="4320"/>
          <w:tab w:val="left" w:pos="5040"/>
          <w:tab w:val="left" w:pos="5760"/>
          <w:tab w:val="left" w:pos="6480"/>
          <w:tab w:val="left" w:pos="7200"/>
          <w:tab w:val="left" w:pos="7920"/>
        </w:tabs>
        <w:spacing w:after="200"/>
        <w:ind w:left="1701" w:right="1134" w:hanging="1188"/>
        <w:rPr>
          <w:i/>
        </w:rPr>
      </w:pPr>
      <w:r>
        <w:rPr>
          <w:b/>
        </w:rPr>
        <w:tab/>
      </w:r>
      <w:r w:rsidR="003E5C18">
        <w:rPr>
          <w:i/>
        </w:rPr>
        <w:tab/>
      </w:r>
      <w:r w:rsidR="002B4B7E" w:rsidRPr="0021131C">
        <w:rPr>
          <w:i/>
        </w:rPr>
        <w:t>(b)</w:t>
      </w:r>
      <w:r w:rsidR="002B4B7E" w:rsidRPr="0021131C">
        <w:rPr>
          <w:i/>
        </w:rPr>
        <w:tab/>
        <w:t>The dose rate does not exceed 5</w:t>
      </w:r>
      <w:r w:rsidR="002B4B7E" w:rsidRPr="0021131C">
        <w:rPr>
          <w:i/>
        </w:rPr>
        <w:sym w:font="Symbol" w:char="F06D"/>
      </w:r>
      <w:proofErr w:type="spellStart"/>
      <w:r w:rsidR="002B4B7E" w:rsidRPr="0021131C">
        <w:rPr>
          <w:i/>
        </w:rPr>
        <w:t>Sv</w:t>
      </w:r>
      <w:proofErr w:type="spellEnd"/>
      <w:r w:rsidR="002B4B7E" w:rsidRPr="0021131C">
        <w:rPr>
          <w:i/>
        </w:rPr>
        <w:t xml:space="preserve">/h at any accessible point on the outer </w:t>
      </w:r>
      <w:r>
        <w:rPr>
          <w:i/>
        </w:rPr>
        <w:tab/>
      </w:r>
      <w:r w:rsidR="002B4B7E" w:rsidRPr="0021131C">
        <w:rPr>
          <w:i/>
        </w:rPr>
        <w:t>surface of the vehicle.”</w:t>
      </w:r>
    </w:p>
    <w:p w:rsidR="00C87420" w:rsidRDefault="008F5BDC" w:rsidP="00C87420">
      <w:pPr>
        <w:pStyle w:val="SingleTxtG"/>
        <w:rPr>
          <w:rStyle w:val="SingleTxtGChar"/>
        </w:rPr>
      </w:pPr>
      <w:r>
        <w:rPr>
          <w:rStyle w:val="SingleTxtGChar"/>
        </w:rPr>
        <w:t>7.</w:t>
      </w:r>
      <w:r>
        <w:rPr>
          <w:rStyle w:val="SingleTxtGChar"/>
        </w:rPr>
        <w:tab/>
      </w:r>
      <w:r w:rsidR="00292155">
        <w:rPr>
          <w:rStyle w:val="SingleTxtGChar"/>
        </w:rPr>
        <w:t>We n</w:t>
      </w:r>
      <w:r w:rsidR="00CB383C">
        <w:rPr>
          <w:rStyle w:val="SingleTxtGChar"/>
        </w:rPr>
        <w:t>ote</w:t>
      </w:r>
      <w:r w:rsidR="00292155">
        <w:rPr>
          <w:rStyle w:val="SingleTxtGChar"/>
        </w:rPr>
        <w:t xml:space="preserve"> that</w:t>
      </w:r>
      <w:r w:rsidR="00CB383C">
        <w:rPr>
          <w:rStyle w:val="SingleTxtGChar"/>
        </w:rPr>
        <w:t xml:space="preserve"> </w:t>
      </w:r>
      <w:r w:rsidR="00292155">
        <w:rPr>
          <w:rStyle w:val="SingleTxtGChar"/>
        </w:rPr>
        <w:t>t</w:t>
      </w:r>
      <w:r w:rsidR="009871A9">
        <w:rPr>
          <w:rStyle w:val="SingleTxtGChar"/>
        </w:rPr>
        <w:t>he text in S21 refer</w:t>
      </w:r>
      <w:r w:rsidR="0076145E">
        <w:rPr>
          <w:rStyle w:val="SingleTxtGChar"/>
        </w:rPr>
        <w:t>s</w:t>
      </w:r>
      <w:r w:rsidR="001F4084">
        <w:rPr>
          <w:rStyle w:val="SingleTxtGChar"/>
        </w:rPr>
        <w:t xml:space="preserve"> to </w:t>
      </w:r>
      <w:r w:rsidR="009871A9">
        <w:rPr>
          <w:rStyle w:val="SingleTxtGChar"/>
        </w:rPr>
        <w:t>Chapter 8.4</w:t>
      </w:r>
      <w:r w:rsidR="001F4084">
        <w:rPr>
          <w:rStyle w:val="SingleTxtGChar"/>
        </w:rPr>
        <w:t xml:space="preserve"> </w:t>
      </w:r>
      <w:r w:rsidR="00713BBF">
        <w:rPr>
          <w:rStyle w:val="SingleTxtGChar"/>
        </w:rPr>
        <w:t>twice</w:t>
      </w:r>
      <w:r w:rsidR="002C3D91">
        <w:rPr>
          <w:rStyle w:val="SingleTxtGChar"/>
        </w:rPr>
        <w:t>, which makes the provision quite confusing.</w:t>
      </w:r>
      <w:r w:rsidR="009871A9">
        <w:rPr>
          <w:rStyle w:val="SingleTxtGChar"/>
        </w:rPr>
        <w:t xml:space="preserve"> Sweden believes that </w:t>
      </w:r>
      <w:r w:rsidR="007C2B1C" w:rsidRPr="0051797B">
        <w:rPr>
          <w:rStyle w:val="SingleTxtGChar"/>
        </w:rPr>
        <w:t xml:space="preserve">the text </w:t>
      </w:r>
      <w:r w:rsidR="002C3D91" w:rsidRPr="0051797B">
        <w:rPr>
          <w:rStyle w:val="SingleTxtGChar"/>
        </w:rPr>
        <w:t>concerning</w:t>
      </w:r>
      <w:r w:rsidR="007C2B1C" w:rsidRPr="0051797B">
        <w:rPr>
          <w:rStyle w:val="SingleTxtGChar"/>
        </w:rPr>
        <w:t xml:space="preserve"> 8.4</w:t>
      </w:r>
      <w:r w:rsidR="009871A9" w:rsidRPr="0051797B">
        <w:rPr>
          <w:rStyle w:val="SingleTxtGChar"/>
        </w:rPr>
        <w:t xml:space="preserve"> should</w:t>
      </w:r>
      <w:r w:rsidR="009871A9">
        <w:rPr>
          <w:rStyle w:val="SingleTxtGChar"/>
        </w:rPr>
        <w:t xml:space="preserve"> be kept together</w:t>
      </w:r>
      <w:r w:rsidR="002C3D91">
        <w:rPr>
          <w:rStyle w:val="SingleTxtGChar"/>
        </w:rPr>
        <w:t xml:space="preserve"> to</w:t>
      </w:r>
      <w:r w:rsidR="009871A9">
        <w:rPr>
          <w:rStyle w:val="SingleTxtGChar"/>
        </w:rPr>
        <w:t xml:space="preserve"> make the reasoning in the S-provision eas</w:t>
      </w:r>
      <w:r w:rsidR="001E154D">
        <w:rPr>
          <w:rStyle w:val="SingleTxtGChar"/>
        </w:rPr>
        <w:t>ier</w:t>
      </w:r>
      <w:r w:rsidR="009871A9">
        <w:rPr>
          <w:rStyle w:val="SingleTxtGChar"/>
        </w:rPr>
        <w:t xml:space="preserve"> to follow (see </w:t>
      </w:r>
      <w:r w:rsidR="00F468E7">
        <w:rPr>
          <w:rStyle w:val="SingleTxtGChar"/>
        </w:rPr>
        <w:t>“</w:t>
      </w:r>
      <w:r w:rsidR="009871A9">
        <w:rPr>
          <w:rStyle w:val="SingleTxtGChar"/>
        </w:rPr>
        <w:t>Proposal</w:t>
      </w:r>
      <w:r w:rsidR="00292155">
        <w:rPr>
          <w:rStyle w:val="SingleTxtGChar"/>
        </w:rPr>
        <w:t>s</w:t>
      </w:r>
      <w:r w:rsidR="00F468E7">
        <w:rPr>
          <w:rStyle w:val="SingleTxtGChar"/>
        </w:rPr>
        <w:t>”</w:t>
      </w:r>
      <w:r w:rsidR="009871A9">
        <w:rPr>
          <w:rStyle w:val="SingleTxtGChar"/>
        </w:rPr>
        <w:t>).</w:t>
      </w:r>
    </w:p>
    <w:p w:rsidR="009871A9" w:rsidRPr="006C7EF6" w:rsidRDefault="00C87420" w:rsidP="00C87420">
      <w:pPr>
        <w:pStyle w:val="SingleTxtG"/>
        <w:rPr>
          <w:rStyle w:val="SingleTxtGChar"/>
          <w:b/>
        </w:rPr>
      </w:pPr>
      <w:r>
        <w:rPr>
          <w:rStyle w:val="SingleTxtGChar"/>
        </w:rPr>
        <w:tab/>
      </w:r>
      <w:r w:rsidR="009871A9" w:rsidRPr="006C7EF6">
        <w:rPr>
          <w:rStyle w:val="SingleTxtGChar"/>
          <w:b/>
        </w:rPr>
        <w:t>Chapter 8.5 in relation to Chapter 1.10</w:t>
      </w:r>
    </w:p>
    <w:p w:rsidR="008F5BDC" w:rsidRDefault="008F5BDC" w:rsidP="00345B02">
      <w:pPr>
        <w:pStyle w:val="SingleTxtG"/>
        <w:tabs>
          <w:tab w:val="left" w:pos="1530"/>
        </w:tabs>
        <w:jc w:val="left"/>
        <w:rPr>
          <w:rStyle w:val="SingleTxtGChar"/>
        </w:rPr>
      </w:pPr>
      <w:r>
        <w:rPr>
          <w:rStyle w:val="SingleTxtGChar"/>
        </w:rPr>
        <w:t>8.</w:t>
      </w:r>
      <w:r>
        <w:rPr>
          <w:rStyle w:val="SingleTxtGChar"/>
        </w:rPr>
        <w:tab/>
      </w:r>
      <w:r w:rsidR="009871A9">
        <w:rPr>
          <w:rStyle w:val="SingleTxtGChar"/>
        </w:rPr>
        <w:t>As explained</w:t>
      </w:r>
      <w:r w:rsidR="00C416C7">
        <w:rPr>
          <w:rStyle w:val="SingleTxtGChar"/>
        </w:rPr>
        <w:t xml:space="preserve"> above</w:t>
      </w:r>
      <w:r w:rsidR="009871A9">
        <w:rPr>
          <w:rStyle w:val="SingleTxtGChar"/>
        </w:rPr>
        <w:t>, Sweden interpret</w:t>
      </w:r>
      <w:r w:rsidR="00292155">
        <w:rPr>
          <w:rStyle w:val="SingleTxtGChar"/>
        </w:rPr>
        <w:t>s</w:t>
      </w:r>
      <w:r w:rsidR="009871A9">
        <w:rPr>
          <w:rStyle w:val="SingleTxtGChar"/>
        </w:rPr>
        <w:t xml:space="preserve"> the additional requirements S1</w:t>
      </w:r>
      <w:r w:rsidR="000B3477">
        <w:rPr>
          <w:rStyle w:val="SingleTxtGChar"/>
        </w:rPr>
        <w:t>(6)</w:t>
      </w:r>
      <w:r w:rsidR="009871A9">
        <w:rPr>
          <w:rStyle w:val="SingleTxtGChar"/>
        </w:rPr>
        <w:t>, S16 and S21 as to contain two “</w:t>
      </w:r>
      <w:r w:rsidR="009A40AA">
        <w:rPr>
          <w:rStyle w:val="SingleTxtGChar"/>
        </w:rPr>
        <w:t>separate</w:t>
      </w:r>
      <w:r w:rsidR="009871A9">
        <w:rPr>
          <w:rStyle w:val="SingleTxtGChar"/>
        </w:rPr>
        <w:t xml:space="preserve">” provisions concerning supervision; one </w:t>
      </w:r>
      <w:r w:rsidR="0069710E">
        <w:rPr>
          <w:rStyle w:val="SingleTxtGChar"/>
        </w:rPr>
        <w:t xml:space="preserve">mainly </w:t>
      </w:r>
      <w:r w:rsidR="009871A9">
        <w:rPr>
          <w:rStyle w:val="SingleTxtGChar"/>
        </w:rPr>
        <w:t xml:space="preserve">related to safety and one </w:t>
      </w:r>
      <w:r w:rsidR="0069710E">
        <w:rPr>
          <w:rStyle w:val="SingleTxtGChar"/>
        </w:rPr>
        <w:t xml:space="preserve">mainly </w:t>
      </w:r>
      <w:r w:rsidR="009871A9">
        <w:rPr>
          <w:rStyle w:val="SingleTxtGChar"/>
        </w:rPr>
        <w:t xml:space="preserve">related to security. </w:t>
      </w:r>
      <w:r w:rsidR="00163B0B">
        <w:rPr>
          <w:rStyle w:val="SingleTxtGChar"/>
        </w:rPr>
        <w:t>T</w:t>
      </w:r>
      <w:r w:rsidR="009871A9">
        <w:rPr>
          <w:rStyle w:val="SingleTxtGChar"/>
        </w:rPr>
        <w:t>his make</w:t>
      </w:r>
      <w:r w:rsidR="00163B0B">
        <w:rPr>
          <w:rStyle w:val="SingleTxtGChar"/>
        </w:rPr>
        <w:t>s</w:t>
      </w:r>
      <w:r w:rsidR="009871A9">
        <w:rPr>
          <w:rStyle w:val="SingleTxtGChar"/>
        </w:rPr>
        <w:t xml:space="preserve"> sense</w:t>
      </w:r>
      <w:r w:rsidR="0069710E">
        <w:rPr>
          <w:rStyle w:val="SingleTxtGChar"/>
        </w:rPr>
        <w:t>,</w:t>
      </w:r>
      <w:r w:rsidR="00163B0B">
        <w:rPr>
          <w:rStyle w:val="SingleTxtGChar"/>
        </w:rPr>
        <w:t xml:space="preserve"> in our view,</w:t>
      </w:r>
      <w:r w:rsidR="009871A9">
        <w:rPr>
          <w:rStyle w:val="SingleTxtGChar"/>
        </w:rPr>
        <w:t xml:space="preserve"> since ADR </w:t>
      </w:r>
      <w:r w:rsidR="00163B0B">
        <w:rPr>
          <w:rStyle w:val="SingleTxtGChar"/>
        </w:rPr>
        <w:t xml:space="preserve">originally </w:t>
      </w:r>
      <w:r w:rsidR="00E25C0A">
        <w:rPr>
          <w:rStyle w:val="SingleTxtGChar"/>
        </w:rPr>
        <w:t>has strived to achieve</w:t>
      </w:r>
      <w:r w:rsidR="009871A9">
        <w:rPr>
          <w:rStyle w:val="SingleTxtGChar"/>
        </w:rPr>
        <w:t xml:space="preserve"> safety during transport </w:t>
      </w:r>
      <w:r w:rsidR="00163B0B">
        <w:rPr>
          <w:rStyle w:val="SingleTxtGChar"/>
        </w:rPr>
        <w:t xml:space="preserve">and the </w:t>
      </w:r>
      <w:r w:rsidR="009871A9">
        <w:rPr>
          <w:rStyle w:val="SingleTxtGChar"/>
        </w:rPr>
        <w:t>security provisions were introduced much later.</w:t>
      </w:r>
    </w:p>
    <w:p w:rsidR="009871A9" w:rsidRDefault="008F5BDC" w:rsidP="00345B02">
      <w:pPr>
        <w:pStyle w:val="SingleTxtG"/>
        <w:tabs>
          <w:tab w:val="left" w:pos="1530"/>
        </w:tabs>
        <w:jc w:val="left"/>
        <w:rPr>
          <w:rStyle w:val="SingleTxtGChar"/>
        </w:rPr>
      </w:pPr>
      <w:r>
        <w:rPr>
          <w:rStyle w:val="SingleTxtGChar"/>
        </w:rPr>
        <w:t>9.</w:t>
      </w:r>
      <w:r>
        <w:rPr>
          <w:rStyle w:val="SingleTxtGChar"/>
        </w:rPr>
        <w:tab/>
      </w:r>
      <w:r w:rsidR="009871A9">
        <w:rPr>
          <w:rStyle w:val="SingleTxtGChar"/>
        </w:rPr>
        <w:t>When comparing the limits in S1</w:t>
      </w:r>
      <w:r w:rsidR="00F631DC">
        <w:rPr>
          <w:rStyle w:val="SingleTxtGChar"/>
        </w:rPr>
        <w:t>(6)</w:t>
      </w:r>
      <w:r w:rsidR="009871A9">
        <w:rPr>
          <w:rStyle w:val="SingleTxtGChar"/>
        </w:rPr>
        <w:t xml:space="preserve">, S16 and S21 with the limits in </w:t>
      </w:r>
      <w:r w:rsidR="0049244A">
        <w:rPr>
          <w:rStyle w:val="SingleTxtGChar"/>
        </w:rPr>
        <w:t xml:space="preserve">the table in </w:t>
      </w:r>
      <w:r w:rsidR="009871A9">
        <w:rPr>
          <w:rStyle w:val="SingleTxtGChar"/>
        </w:rPr>
        <w:t>1.10.3</w:t>
      </w:r>
      <w:r w:rsidR="0049244A">
        <w:rPr>
          <w:rStyle w:val="SingleTxtGChar"/>
        </w:rPr>
        <w:t>.1.2</w:t>
      </w:r>
      <w:r w:rsidR="00100E09">
        <w:rPr>
          <w:rStyle w:val="SingleTxtGChar"/>
        </w:rPr>
        <w:t>,</w:t>
      </w:r>
      <w:r w:rsidR="009871A9">
        <w:rPr>
          <w:rStyle w:val="SingleTxtGChar"/>
        </w:rPr>
        <w:t xml:space="preserve"> these are </w:t>
      </w:r>
      <w:r w:rsidR="00903DEC">
        <w:rPr>
          <w:rStyle w:val="SingleTxtGChar"/>
        </w:rPr>
        <w:t>in many cases</w:t>
      </w:r>
      <w:r w:rsidR="00615713" w:rsidRPr="00615713">
        <w:rPr>
          <w:rStyle w:val="SingleTxtGChar"/>
        </w:rPr>
        <w:t xml:space="preserve"> </w:t>
      </w:r>
      <w:r w:rsidR="00615713">
        <w:rPr>
          <w:rStyle w:val="SingleTxtGChar"/>
        </w:rPr>
        <w:t>harmonized</w:t>
      </w:r>
      <w:r w:rsidR="00903DEC">
        <w:rPr>
          <w:rStyle w:val="SingleTxtGChar"/>
        </w:rPr>
        <w:t xml:space="preserve">, but not </w:t>
      </w:r>
      <w:r w:rsidR="000B3477">
        <w:rPr>
          <w:rStyle w:val="SingleTxtGChar"/>
        </w:rPr>
        <w:t>completely</w:t>
      </w:r>
      <w:r w:rsidR="00A670AB">
        <w:rPr>
          <w:rStyle w:val="SingleTxtGChar"/>
        </w:rPr>
        <w:t>:</w:t>
      </w:r>
    </w:p>
    <w:tbl>
      <w:tblPr>
        <w:tblStyle w:val="TableGrid"/>
        <w:tblW w:w="7083" w:type="dxa"/>
        <w:tblInd w:w="1134" w:type="dxa"/>
        <w:tblLayout w:type="fixed"/>
        <w:tblLook w:val="04A0" w:firstRow="1" w:lastRow="0" w:firstColumn="1" w:lastColumn="0" w:noHBand="0" w:noVBand="1"/>
      </w:tblPr>
      <w:tblGrid>
        <w:gridCol w:w="2821"/>
        <w:gridCol w:w="1710"/>
        <w:gridCol w:w="2552"/>
      </w:tblGrid>
      <w:tr w:rsidR="006266FE" w:rsidTr="006266FE">
        <w:tc>
          <w:tcPr>
            <w:tcW w:w="2821" w:type="dxa"/>
            <w:tcBorders>
              <w:right w:val="nil"/>
            </w:tcBorders>
            <w:shd w:val="clear" w:color="auto" w:fill="auto"/>
          </w:tcPr>
          <w:p w:rsidR="006266FE" w:rsidRPr="006266FE" w:rsidRDefault="006266FE" w:rsidP="00DC061F">
            <w:pPr>
              <w:pStyle w:val="SingleTxtG"/>
              <w:tabs>
                <w:tab w:val="left" w:pos="1701"/>
              </w:tabs>
              <w:ind w:left="0" w:right="320"/>
              <w:jc w:val="left"/>
              <w:rPr>
                <w:rStyle w:val="SingleTxtGChar"/>
              </w:rPr>
            </w:pPr>
          </w:p>
        </w:tc>
        <w:tc>
          <w:tcPr>
            <w:tcW w:w="1710" w:type="dxa"/>
            <w:tcBorders>
              <w:left w:val="nil"/>
            </w:tcBorders>
            <w:shd w:val="clear" w:color="auto" w:fill="auto"/>
          </w:tcPr>
          <w:p w:rsidR="006266FE" w:rsidRPr="006266FE" w:rsidRDefault="006266FE" w:rsidP="001A4E27">
            <w:pPr>
              <w:pStyle w:val="SingleTxtG"/>
              <w:tabs>
                <w:tab w:val="left" w:pos="1701"/>
              </w:tabs>
              <w:ind w:left="-58" w:right="-101"/>
              <w:rPr>
                <w:rStyle w:val="SingleTxtGChar"/>
              </w:rPr>
            </w:pPr>
            <w:r w:rsidRPr="006266FE">
              <w:rPr>
                <w:rStyle w:val="SingleTxtGChar"/>
                <w:b/>
              </w:rPr>
              <w:t>S1(6) applies from</w:t>
            </w:r>
          </w:p>
        </w:tc>
        <w:tc>
          <w:tcPr>
            <w:tcW w:w="2552" w:type="dxa"/>
            <w:shd w:val="clear" w:color="auto" w:fill="auto"/>
          </w:tcPr>
          <w:p w:rsidR="006266FE" w:rsidRPr="006266FE" w:rsidRDefault="006266FE" w:rsidP="006266FE">
            <w:pPr>
              <w:pStyle w:val="SingleTxtG"/>
              <w:tabs>
                <w:tab w:val="left" w:pos="1701"/>
              </w:tabs>
              <w:ind w:left="0" w:right="194"/>
              <w:jc w:val="left"/>
              <w:rPr>
                <w:rStyle w:val="SingleTxtGChar"/>
              </w:rPr>
            </w:pPr>
            <w:r w:rsidRPr="006266FE">
              <w:rPr>
                <w:rStyle w:val="SingleTxtGChar"/>
                <w:b/>
              </w:rPr>
              <w:t>1.10.3 applies from</w:t>
            </w:r>
          </w:p>
        </w:tc>
      </w:tr>
      <w:tr w:rsidR="009871A9" w:rsidTr="00100E09">
        <w:tc>
          <w:tcPr>
            <w:tcW w:w="2821" w:type="dxa"/>
          </w:tcPr>
          <w:p w:rsidR="009871A9" w:rsidRDefault="009871A9" w:rsidP="00DC061F">
            <w:pPr>
              <w:pStyle w:val="SingleTxtG"/>
              <w:tabs>
                <w:tab w:val="left" w:pos="1701"/>
              </w:tabs>
              <w:ind w:left="0" w:right="320"/>
              <w:jc w:val="left"/>
              <w:rPr>
                <w:rStyle w:val="SingleTxtGChar"/>
              </w:rPr>
            </w:pPr>
            <w:r>
              <w:rPr>
                <w:rStyle w:val="SingleTxtGChar"/>
              </w:rPr>
              <w:t>Division 1.1</w:t>
            </w:r>
          </w:p>
        </w:tc>
        <w:tc>
          <w:tcPr>
            <w:tcW w:w="1710" w:type="dxa"/>
            <w:shd w:val="clear" w:color="auto" w:fill="auto"/>
          </w:tcPr>
          <w:p w:rsidR="009871A9" w:rsidRDefault="009871A9" w:rsidP="00DC061F">
            <w:pPr>
              <w:pStyle w:val="SingleTxtG"/>
              <w:tabs>
                <w:tab w:val="left" w:pos="1701"/>
              </w:tabs>
              <w:ind w:left="0" w:right="315"/>
              <w:jc w:val="left"/>
              <w:rPr>
                <w:rStyle w:val="SingleTxtGChar"/>
              </w:rPr>
            </w:pPr>
            <w:r>
              <w:rPr>
                <w:rStyle w:val="SingleTxtGChar"/>
              </w:rPr>
              <w:t>0 kg</w:t>
            </w:r>
          </w:p>
        </w:tc>
        <w:tc>
          <w:tcPr>
            <w:tcW w:w="2552" w:type="dxa"/>
            <w:shd w:val="clear" w:color="auto" w:fill="auto"/>
          </w:tcPr>
          <w:p w:rsidR="009871A9" w:rsidRDefault="009871A9" w:rsidP="00DC061F">
            <w:pPr>
              <w:pStyle w:val="SingleTxtG"/>
              <w:tabs>
                <w:tab w:val="left" w:pos="1701"/>
              </w:tabs>
              <w:ind w:left="0"/>
              <w:jc w:val="left"/>
              <w:rPr>
                <w:rStyle w:val="SingleTxtGChar"/>
              </w:rPr>
            </w:pPr>
            <w:r>
              <w:rPr>
                <w:rStyle w:val="SingleTxtGChar"/>
              </w:rPr>
              <w:t>0 kg</w:t>
            </w:r>
          </w:p>
        </w:tc>
      </w:tr>
      <w:tr w:rsidR="009871A9" w:rsidTr="00100E09">
        <w:tc>
          <w:tcPr>
            <w:tcW w:w="2821" w:type="dxa"/>
          </w:tcPr>
          <w:p w:rsidR="009871A9" w:rsidRDefault="009871A9" w:rsidP="00DC061F">
            <w:pPr>
              <w:pStyle w:val="SingleTxtG"/>
              <w:tabs>
                <w:tab w:val="left" w:pos="1701"/>
              </w:tabs>
              <w:ind w:left="0" w:right="36"/>
              <w:jc w:val="left"/>
              <w:rPr>
                <w:rStyle w:val="SingleTxtGChar"/>
              </w:rPr>
            </w:pPr>
            <w:r>
              <w:rPr>
                <w:rStyle w:val="SingleTxtGChar"/>
              </w:rPr>
              <w:t>Division 1.2</w:t>
            </w:r>
          </w:p>
        </w:tc>
        <w:tc>
          <w:tcPr>
            <w:tcW w:w="1710" w:type="dxa"/>
            <w:shd w:val="clear" w:color="auto" w:fill="auto"/>
          </w:tcPr>
          <w:p w:rsidR="009871A9" w:rsidRDefault="009871A9" w:rsidP="00DC061F">
            <w:pPr>
              <w:pStyle w:val="SingleTxtG"/>
              <w:tabs>
                <w:tab w:val="left" w:pos="1701"/>
              </w:tabs>
              <w:ind w:left="0" w:right="598"/>
              <w:jc w:val="left"/>
              <w:rPr>
                <w:rStyle w:val="SingleTxtGChar"/>
              </w:rPr>
            </w:pPr>
            <w:r>
              <w:rPr>
                <w:rStyle w:val="SingleTxtGChar"/>
              </w:rPr>
              <w:t>0 kg</w:t>
            </w:r>
          </w:p>
        </w:tc>
        <w:tc>
          <w:tcPr>
            <w:tcW w:w="2552" w:type="dxa"/>
            <w:shd w:val="clear" w:color="auto" w:fill="auto"/>
          </w:tcPr>
          <w:p w:rsidR="009871A9" w:rsidRDefault="009871A9" w:rsidP="00DC061F">
            <w:pPr>
              <w:pStyle w:val="SingleTxtG"/>
              <w:tabs>
                <w:tab w:val="left" w:pos="1701"/>
              </w:tabs>
              <w:ind w:left="0"/>
              <w:jc w:val="left"/>
              <w:rPr>
                <w:rStyle w:val="SingleTxtGChar"/>
              </w:rPr>
            </w:pPr>
            <w:r>
              <w:rPr>
                <w:rStyle w:val="SingleTxtGChar"/>
              </w:rPr>
              <w:t>0 kg</w:t>
            </w:r>
          </w:p>
        </w:tc>
      </w:tr>
      <w:tr w:rsidR="009871A9" w:rsidTr="00100E09">
        <w:tc>
          <w:tcPr>
            <w:tcW w:w="2821" w:type="dxa"/>
          </w:tcPr>
          <w:p w:rsidR="009871A9" w:rsidRDefault="009871A9" w:rsidP="00DC061F">
            <w:pPr>
              <w:pStyle w:val="SingleTxtG"/>
              <w:tabs>
                <w:tab w:val="left" w:pos="1701"/>
              </w:tabs>
              <w:ind w:left="0" w:right="178"/>
              <w:jc w:val="left"/>
              <w:rPr>
                <w:rStyle w:val="SingleTxtGChar"/>
              </w:rPr>
            </w:pPr>
            <w:r>
              <w:rPr>
                <w:rStyle w:val="SingleTxtGChar"/>
              </w:rPr>
              <w:t>Division 1.3</w:t>
            </w:r>
          </w:p>
        </w:tc>
        <w:tc>
          <w:tcPr>
            <w:tcW w:w="1710" w:type="dxa"/>
            <w:shd w:val="clear" w:color="auto" w:fill="auto"/>
          </w:tcPr>
          <w:p w:rsidR="009871A9" w:rsidRDefault="009871A9" w:rsidP="00DC061F">
            <w:pPr>
              <w:pStyle w:val="SingleTxtG"/>
              <w:tabs>
                <w:tab w:val="left" w:pos="1701"/>
              </w:tabs>
              <w:ind w:left="0" w:right="598"/>
              <w:jc w:val="left"/>
              <w:rPr>
                <w:rStyle w:val="SingleTxtGChar"/>
              </w:rPr>
            </w:pPr>
            <w:r>
              <w:rPr>
                <w:rStyle w:val="SingleTxtGChar"/>
              </w:rPr>
              <w:t>50 kg</w:t>
            </w:r>
          </w:p>
        </w:tc>
        <w:tc>
          <w:tcPr>
            <w:tcW w:w="2552" w:type="dxa"/>
            <w:shd w:val="clear" w:color="auto" w:fill="auto"/>
          </w:tcPr>
          <w:p w:rsidR="009871A9" w:rsidRPr="00C220C2" w:rsidRDefault="009871A9" w:rsidP="006B2B54">
            <w:pPr>
              <w:autoSpaceDE w:val="0"/>
              <w:autoSpaceDN w:val="0"/>
              <w:rPr>
                <w:rStyle w:val="SingleTxtGChar"/>
                <w:rFonts w:asciiTheme="minorHAnsi" w:eastAsiaTheme="minorHAnsi" w:hAnsiTheme="minorHAnsi" w:cstheme="minorBidi"/>
                <w:sz w:val="22"/>
                <w:szCs w:val="22"/>
              </w:rPr>
            </w:pPr>
            <w:r>
              <w:rPr>
                <w:rStyle w:val="SingleTxtGChar"/>
                <w:rFonts w:eastAsiaTheme="minorHAnsi"/>
              </w:rPr>
              <w:t xml:space="preserve">Not </w:t>
            </w:r>
            <w:r w:rsidR="006B2B54">
              <w:rPr>
                <w:rStyle w:val="SingleTxtGChar"/>
                <w:rFonts w:eastAsiaTheme="minorHAnsi"/>
              </w:rPr>
              <w:t>valid</w:t>
            </w:r>
            <w:r>
              <w:rPr>
                <w:rStyle w:val="SingleTxtGChar"/>
                <w:rFonts w:eastAsiaTheme="minorHAnsi"/>
              </w:rPr>
              <w:t xml:space="preserve">* </w:t>
            </w:r>
          </w:p>
        </w:tc>
      </w:tr>
      <w:tr w:rsidR="009871A9" w:rsidTr="00100E09">
        <w:tc>
          <w:tcPr>
            <w:tcW w:w="2821" w:type="dxa"/>
          </w:tcPr>
          <w:p w:rsidR="009871A9" w:rsidRDefault="009871A9" w:rsidP="00DC061F">
            <w:pPr>
              <w:pStyle w:val="SingleTxtG"/>
              <w:tabs>
                <w:tab w:val="left" w:pos="1701"/>
              </w:tabs>
              <w:ind w:left="0" w:right="178"/>
              <w:jc w:val="left"/>
              <w:rPr>
                <w:rStyle w:val="SingleTxtGChar"/>
              </w:rPr>
            </w:pPr>
            <w:r>
              <w:rPr>
                <w:rStyle w:val="SingleTxtGChar"/>
              </w:rPr>
              <w:t>Division 1.4</w:t>
            </w:r>
          </w:p>
        </w:tc>
        <w:tc>
          <w:tcPr>
            <w:tcW w:w="1710" w:type="dxa"/>
            <w:shd w:val="clear" w:color="auto" w:fill="auto"/>
          </w:tcPr>
          <w:p w:rsidR="009871A9" w:rsidRDefault="009871A9" w:rsidP="00DC061F">
            <w:pPr>
              <w:pStyle w:val="SingleTxtG"/>
              <w:tabs>
                <w:tab w:val="left" w:pos="1701"/>
              </w:tabs>
              <w:ind w:left="0" w:right="457"/>
              <w:jc w:val="left"/>
              <w:rPr>
                <w:rStyle w:val="SingleTxtGChar"/>
              </w:rPr>
            </w:pPr>
            <w:r>
              <w:rPr>
                <w:rStyle w:val="SingleTxtGChar"/>
              </w:rPr>
              <w:t>50 kg</w:t>
            </w:r>
          </w:p>
        </w:tc>
        <w:tc>
          <w:tcPr>
            <w:tcW w:w="2552" w:type="dxa"/>
            <w:shd w:val="clear" w:color="auto" w:fill="auto"/>
          </w:tcPr>
          <w:p w:rsidR="009871A9" w:rsidRDefault="009871A9" w:rsidP="006B2B54">
            <w:pPr>
              <w:autoSpaceDE w:val="0"/>
              <w:autoSpaceDN w:val="0"/>
              <w:rPr>
                <w:rStyle w:val="SingleTxtGChar"/>
                <w:rFonts w:eastAsiaTheme="minorHAnsi"/>
              </w:rPr>
            </w:pPr>
            <w:r>
              <w:rPr>
                <w:rStyle w:val="SingleTxtGChar"/>
                <w:rFonts w:eastAsiaTheme="minorHAnsi"/>
              </w:rPr>
              <w:t xml:space="preserve">Not </w:t>
            </w:r>
            <w:r w:rsidR="006B2B54">
              <w:rPr>
                <w:rStyle w:val="SingleTxtGChar"/>
                <w:rFonts w:eastAsiaTheme="minorHAnsi"/>
              </w:rPr>
              <w:t>valid</w:t>
            </w:r>
            <w:r>
              <w:rPr>
                <w:rStyle w:val="SingleTxtGChar"/>
                <w:rFonts w:eastAsiaTheme="minorHAnsi"/>
              </w:rPr>
              <w:t>*</w:t>
            </w:r>
          </w:p>
        </w:tc>
      </w:tr>
      <w:tr w:rsidR="009871A9" w:rsidTr="00100E09">
        <w:tc>
          <w:tcPr>
            <w:tcW w:w="2821" w:type="dxa"/>
          </w:tcPr>
          <w:p w:rsidR="009871A9" w:rsidRDefault="009871A9" w:rsidP="00DC061F">
            <w:pPr>
              <w:pStyle w:val="SingleTxtG"/>
              <w:tabs>
                <w:tab w:val="left" w:pos="1701"/>
              </w:tabs>
              <w:ind w:left="0" w:right="178"/>
              <w:jc w:val="left"/>
              <w:rPr>
                <w:rStyle w:val="SingleTxtGChar"/>
              </w:rPr>
            </w:pPr>
            <w:r>
              <w:rPr>
                <w:rStyle w:val="SingleTxtGChar"/>
              </w:rPr>
              <w:t>Division 1.5</w:t>
            </w:r>
          </w:p>
        </w:tc>
        <w:tc>
          <w:tcPr>
            <w:tcW w:w="1710" w:type="dxa"/>
            <w:shd w:val="clear" w:color="auto" w:fill="auto"/>
          </w:tcPr>
          <w:p w:rsidR="009871A9" w:rsidRDefault="009871A9" w:rsidP="00DC061F">
            <w:pPr>
              <w:pStyle w:val="SingleTxtG"/>
              <w:tabs>
                <w:tab w:val="left" w:pos="1701"/>
              </w:tabs>
              <w:ind w:left="0" w:right="315"/>
              <w:jc w:val="left"/>
              <w:rPr>
                <w:rStyle w:val="SingleTxtGChar"/>
              </w:rPr>
            </w:pPr>
            <w:r>
              <w:rPr>
                <w:rStyle w:val="SingleTxtGChar"/>
              </w:rPr>
              <w:t>0 kg</w:t>
            </w:r>
          </w:p>
        </w:tc>
        <w:tc>
          <w:tcPr>
            <w:tcW w:w="2552" w:type="dxa"/>
            <w:shd w:val="clear" w:color="auto" w:fill="auto"/>
          </w:tcPr>
          <w:p w:rsidR="009871A9" w:rsidRDefault="009871A9" w:rsidP="00DC061F">
            <w:pPr>
              <w:pStyle w:val="SingleTxtG"/>
              <w:tabs>
                <w:tab w:val="left" w:pos="1701"/>
              </w:tabs>
              <w:ind w:left="0"/>
              <w:jc w:val="left"/>
              <w:rPr>
                <w:rStyle w:val="SingleTxtGChar"/>
              </w:rPr>
            </w:pPr>
            <w:r>
              <w:rPr>
                <w:rStyle w:val="SingleTxtGChar"/>
              </w:rPr>
              <w:t>0 kg</w:t>
            </w:r>
          </w:p>
        </w:tc>
      </w:tr>
      <w:tr w:rsidR="009871A9" w:rsidRPr="0060470B" w:rsidTr="00100E09">
        <w:tc>
          <w:tcPr>
            <w:tcW w:w="2821" w:type="dxa"/>
          </w:tcPr>
          <w:p w:rsidR="009871A9" w:rsidRDefault="009871A9" w:rsidP="00DC061F">
            <w:pPr>
              <w:pStyle w:val="SingleTxtG"/>
              <w:tabs>
                <w:tab w:val="left" w:pos="1701"/>
              </w:tabs>
              <w:ind w:left="0" w:right="178"/>
              <w:jc w:val="left"/>
              <w:rPr>
                <w:rStyle w:val="SingleTxtGChar"/>
              </w:rPr>
            </w:pPr>
            <w:r>
              <w:rPr>
                <w:rStyle w:val="SingleTxtGChar"/>
              </w:rPr>
              <w:t>Division 1.6</w:t>
            </w:r>
          </w:p>
        </w:tc>
        <w:tc>
          <w:tcPr>
            <w:tcW w:w="1710" w:type="dxa"/>
            <w:shd w:val="clear" w:color="auto" w:fill="auto"/>
          </w:tcPr>
          <w:p w:rsidR="009871A9" w:rsidRDefault="009871A9" w:rsidP="00DC061F">
            <w:pPr>
              <w:pStyle w:val="SingleTxtG"/>
              <w:tabs>
                <w:tab w:val="left" w:pos="1701"/>
              </w:tabs>
              <w:ind w:left="0" w:right="457"/>
              <w:jc w:val="left"/>
              <w:rPr>
                <w:rStyle w:val="SingleTxtGChar"/>
              </w:rPr>
            </w:pPr>
            <w:r>
              <w:rPr>
                <w:rStyle w:val="SingleTxtGChar"/>
              </w:rPr>
              <w:t>50 kg</w:t>
            </w:r>
          </w:p>
        </w:tc>
        <w:tc>
          <w:tcPr>
            <w:tcW w:w="2552" w:type="dxa"/>
            <w:shd w:val="clear" w:color="auto" w:fill="auto"/>
          </w:tcPr>
          <w:p w:rsidR="009871A9" w:rsidRDefault="009871A9" w:rsidP="00615713">
            <w:pPr>
              <w:pStyle w:val="SingleTxtG"/>
              <w:tabs>
                <w:tab w:val="left" w:pos="1701"/>
              </w:tabs>
              <w:ind w:left="0" w:right="319"/>
              <w:jc w:val="left"/>
              <w:rPr>
                <w:rStyle w:val="SingleTxtGChar"/>
              </w:rPr>
            </w:pPr>
            <w:r>
              <w:rPr>
                <w:rStyle w:val="SingleTxtGChar"/>
              </w:rPr>
              <w:t>0 kg as from 2021</w:t>
            </w:r>
            <w:r w:rsidR="00615713">
              <w:rPr>
                <w:rStyle w:val="SingleTxtGChar"/>
              </w:rPr>
              <w:t>**</w:t>
            </w:r>
            <w:r>
              <w:rPr>
                <w:rStyle w:val="SingleTxtGChar"/>
              </w:rPr>
              <w:t xml:space="preserve"> </w:t>
            </w:r>
            <w:r>
              <w:rPr>
                <w:rStyle w:val="SingleTxtGChar"/>
              </w:rPr>
              <w:br/>
            </w:r>
          </w:p>
        </w:tc>
      </w:tr>
      <w:tr w:rsidR="009871A9" w:rsidTr="00100E09">
        <w:tc>
          <w:tcPr>
            <w:tcW w:w="2821" w:type="dxa"/>
          </w:tcPr>
          <w:p w:rsidR="009871A9" w:rsidRDefault="009871A9" w:rsidP="00DC061F">
            <w:pPr>
              <w:pStyle w:val="SingleTxtG"/>
              <w:tabs>
                <w:tab w:val="left" w:pos="1701"/>
              </w:tabs>
              <w:ind w:left="0" w:right="178"/>
              <w:jc w:val="left"/>
              <w:rPr>
                <w:rStyle w:val="SingleTxtGChar"/>
              </w:rPr>
            </w:pPr>
            <w:r>
              <w:rPr>
                <w:rStyle w:val="SingleTxtGChar"/>
              </w:rPr>
              <w:t>Substances and articles of Division 1.4 belonging to UN numbers 0104, 0237, 0255, 0267, 0289, 0361, 0365, 0366, 0440, 0441, 0455 and 0500</w:t>
            </w:r>
          </w:p>
        </w:tc>
        <w:tc>
          <w:tcPr>
            <w:tcW w:w="1710" w:type="dxa"/>
            <w:shd w:val="clear" w:color="auto" w:fill="auto"/>
          </w:tcPr>
          <w:p w:rsidR="009871A9" w:rsidRDefault="009871A9" w:rsidP="00DC061F">
            <w:pPr>
              <w:pStyle w:val="SingleTxtG"/>
              <w:tabs>
                <w:tab w:val="left" w:pos="1701"/>
              </w:tabs>
              <w:ind w:left="0" w:right="457"/>
              <w:jc w:val="left"/>
              <w:rPr>
                <w:rStyle w:val="SingleTxtGChar"/>
              </w:rPr>
            </w:pPr>
            <w:r>
              <w:rPr>
                <w:rStyle w:val="SingleTxtGChar"/>
              </w:rPr>
              <w:t>0 kg</w:t>
            </w:r>
          </w:p>
        </w:tc>
        <w:tc>
          <w:tcPr>
            <w:tcW w:w="2552" w:type="dxa"/>
            <w:shd w:val="clear" w:color="auto" w:fill="auto"/>
          </w:tcPr>
          <w:p w:rsidR="009871A9" w:rsidRDefault="009871A9" w:rsidP="009871A9">
            <w:pPr>
              <w:pStyle w:val="SingleTxtG"/>
              <w:numPr>
                <w:ilvl w:val="0"/>
                <w:numId w:val="22"/>
              </w:numPr>
              <w:tabs>
                <w:tab w:val="left" w:pos="1701"/>
              </w:tabs>
              <w:ind w:left="178" w:right="319" w:hanging="153"/>
              <w:rPr>
                <w:rStyle w:val="SingleTxtGChar"/>
              </w:rPr>
            </w:pPr>
            <w:r>
              <w:rPr>
                <w:rStyle w:val="SingleTxtGChar"/>
              </w:rPr>
              <w:t>kg</w:t>
            </w:r>
          </w:p>
        </w:tc>
      </w:tr>
    </w:tbl>
    <w:p w:rsidR="009871A9" w:rsidRDefault="009871A9" w:rsidP="00AD6511">
      <w:pPr>
        <w:pStyle w:val="SingleTxtG"/>
        <w:tabs>
          <w:tab w:val="left" w:pos="1701"/>
        </w:tabs>
        <w:jc w:val="left"/>
        <w:rPr>
          <w:rStyle w:val="SingleTxtGChar"/>
          <w:rFonts w:eastAsiaTheme="minorHAnsi"/>
        </w:rPr>
      </w:pPr>
      <w:r w:rsidRPr="00EB7E66">
        <w:rPr>
          <w:rStyle w:val="SingleTxtGChar"/>
          <w:rFonts w:eastAsiaTheme="minorHAnsi"/>
        </w:rPr>
        <w:t>*</w:t>
      </w:r>
      <w:r w:rsidR="00EB7E66">
        <w:rPr>
          <w:rStyle w:val="SingleTxtGChar"/>
          <w:rFonts w:eastAsiaTheme="minorHAnsi"/>
        </w:rPr>
        <w:t>Including the divisions/specific UN number in the high consequence dg list h</w:t>
      </w:r>
      <w:r w:rsidRPr="00EB7E66">
        <w:rPr>
          <w:rStyle w:val="SingleTxtGChar"/>
          <w:rFonts w:eastAsiaTheme="minorHAnsi"/>
        </w:rPr>
        <w:t>ave been discussed by the TDG Sub-Committee</w:t>
      </w:r>
      <w:r w:rsidR="00EB7E66" w:rsidRPr="00EB7E66">
        <w:rPr>
          <w:rStyle w:val="SingleTxtGChar"/>
          <w:rFonts w:eastAsiaTheme="minorHAnsi"/>
        </w:rPr>
        <w:t xml:space="preserve">. </w:t>
      </w:r>
      <w:r w:rsidR="00EB7E66" w:rsidRPr="00BE1913">
        <w:rPr>
          <w:rStyle w:val="SingleTxtGChar"/>
          <w:rFonts w:eastAsiaTheme="minorHAnsi"/>
        </w:rPr>
        <w:t>No decision taken</w:t>
      </w:r>
      <w:r w:rsidR="00E4227D">
        <w:rPr>
          <w:rStyle w:val="SingleTxtGChar"/>
          <w:rFonts w:eastAsiaTheme="minorHAnsi"/>
        </w:rPr>
        <w:t xml:space="preserve"> </w:t>
      </w:r>
      <w:r w:rsidR="0052076D">
        <w:rPr>
          <w:rStyle w:val="SingleTxtGChar"/>
          <w:rFonts w:eastAsiaTheme="minorHAnsi"/>
        </w:rPr>
        <w:t>so far</w:t>
      </w:r>
      <w:r w:rsidR="00EB7E66" w:rsidRPr="00BE1913">
        <w:rPr>
          <w:rStyle w:val="SingleTxtGChar"/>
          <w:rFonts w:eastAsiaTheme="minorHAnsi"/>
        </w:rPr>
        <w:t>.</w:t>
      </w:r>
    </w:p>
    <w:p w:rsidR="00AD6511" w:rsidRDefault="00615713" w:rsidP="001A4E27">
      <w:pPr>
        <w:pStyle w:val="SingleTxtG"/>
        <w:tabs>
          <w:tab w:val="left" w:pos="1701"/>
        </w:tabs>
        <w:jc w:val="left"/>
        <w:rPr>
          <w:rStyle w:val="SingleTxtGChar"/>
        </w:rPr>
      </w:pPr>
      <w:r>
        <w:rPr>
          <w:rStyle w:val="SingleTxtGChar"/>
        </w:rPr>
        <w:t xml:space="preserve">**See report from the </w:t>
      </w:r>
      <w:r w:rsidR="000A18DB">
        <w:rPr>
          <w:rStyle w:val="SingleTxtGChar"/>
        </w:rPr>
        <w:t>T</w:t>
      </w:r>
      <w:r>
        <w:rPr>
          <w:rStyle w:val="SingleTxtGChar"/>
        </w:rPr>
        <w:t>DG</w:t>
      </w:r>
      <w:r w:rsidR="000A18DB">
        <w:rPr>
          <w:rStyle w:val="SingleTxtGChar"/>
        </w:rPr>
        <w:t xml:space="preserve"> Sub-Committee:</w:t>
      </w:r>
      <w:r>
        <w:rPr>
          <w:rStyle w:val="SingleTxtGChar"/>
        </w:rPr>
        <w:t xml:space="preserve"> </w:t>
      </w:r>
      <w:hyperlink r:id="rId9" w:history="1">
        <w:r w:rsidRPr="00E0267A">
          <w:rPr>
            <w:rStyle w:val="Hyperlink"/>
          </w:rPr>
          <w:t>https://www.unece.org/fileadmin/DAM/trans/doc/2017/dgac10c3/ST-SG-AC10-C3-104e.pdf</w:t>
        </w:r>
      </w:hyperlink>
      <w:r w:rsidRPr="00E11201">
        <w:rPr>
          <w:rStyle w:val="Hyperlink"/>
          <w:u w:val="none"/>
        </w:rPr>
        <w:t xml:space="preserve"> </w:t>
      </w:r>
      <w:r w:rsidRPr="00E11201">
        <w:rPr>
          <w:rStyle w:val="Hyperlink"/>
          <w:color w:val="auto"/>
          <w:u w:val="none"/>
        </w:rPr>
        <w:t>under</w:t>
      </w:r>
      <w:r w:rsidRPr="00E11201">
        <w:rPr>
          <w:rStyle w:val="SingleTxtGChar"/>
        </w:rPr>
        <w:t xml:space="preserve"> point</w:t>
      </w:r>
      <w:r>
        <w:rPr>
          <w:rStyle w:val="SingleTxtGChar"/>
        </w:rPr>
        <w:t xml:space="preserve"> IV F.</w:t>
      </w:r>
    </w:p>
    <w:p w:rsidR="00C87420" w:rsidRDefault="00C87420" w:rsidP="001A4E27">
      <w:pPr>
        <w:pStyle w:val="SingleTxtG"/>
        <w:tabs>
          <w:tab w:val="left" w:pos="1701"/>
        </w:tabs>
        <w:jc w:val="left"/>
        <w:rPr>
          <w:rStyle w:val="SingleTxtGChar"/>
          <w:rFonts w:eastAsiaTheme="minorHAnsi"/>
        </w:rPr>
      </w:pPr>
    </w:p>
    <w:p w:rsidR="00F840B5" w:rsidRPr="002E1FDE" w:rsidRDefault="00F840B5" w:rsidP="001A4E27">
      <w:pPr>
        <w:pStyle w:val="SingleTxtG"/>
        <w:tabs>
          <w:tab w:val="left" w:pos="1701"/>
        </w:tabs>
        <w:jc w:val="left"/>
        <w:rPr>
          <w:rStyle w:val="SingleTxtGChar"/>
          <w:rFonts w:eastAsiaTheme="minorHAnsi"/>
        </w:rPr>
      </w:pPr>
    </w:p>
    <w:tbl>
      <w:tblPr>
        <w:tblStyle w:val="TableGrid"/>
        <w:tblW w:w="0" w:type="auto"/>
        <w:tblInd w:w="1139" w:type="dxa"/>
        <w:tblLook w:val="04A0" w:firstRow="1" w:lastRow="0" w:firstColumn="1" w:lastColumn="0" w:noHBand="0" w:noVBand="1"/>
      </w:tblPr>
      <w:tblGrid>
        <w:gridCol w:w="3189"/>
        <w:gridCol w:w="1704"/>
        <w:gridCol w:w="2552"/>
      </w:tblGrid>
      <w:tr w:rsidR="006266FE" w:rsidTr="006266FE">
        <w:tc>
          <w:tcPr>
            <w:tcW w:w="3189" w:type="dxa"/>
            <w:tcBorders>
              <w:right w:val="nil"/>
            </w:tcBorders>
            <w:shd w:val="clear" w:color="auto" w:fill="auto"/>
          </w:tcPr>
          <w:p w:rsidR="006266FE" w:rsidRDefault="006266FE" w:rsidP="00DC061F">
            <w:pPr>
              <w:pStyle w:val="SingleTxtG"/>
              <w:ind w:left="0" w:right="0"/>
              <w:jc w:val="left"/>
              <w:rPr>
                <w:rStyle w:val="SingleTxtGChar"/>
              </w:rPr>
            </w:pPr>
          </w:p>
        </w:tc>
        <w:tc>
          <w:tcPr>
            <w:tcW w:w="1704" w:type="dxa"/>
            <w:tcBorders>
              <w:left w:val="nil"/>
            </w:tcBorders>
            <w:shd w:val="clear" w:color="auto" w:fill="auto"/>
          </w:tcPr>
          <w:p w:rsidR="006266FE" w:rsidRDefault="006266FE" w:rsidP="006266FE">
            <w:pPr>
              <w:pStyle w:val="SingleTxtG"/>
              <w:ind w:left="0" w:right="31"/>
              <w:jc w:val="left"/>
              <w:rPr>
                <w:rStyle w:val="SingleTxtGChar"/>
              </w:rPr>
            </w:pPr>
            <w:r w:rsidRPr="0056725F">
              <w:rPr>
                <w:rStyle w:val="SingleTxtGChar"/>
                <w:b/>
              </w:rPr>
              <w:t>S16</w:t>
            </w:r>
            <w:r>
              <w:rPr>
                <w:rStyle w:val="SingleTxtGChar"/>
                <w:b/>
              </w:rPr>
              <w:t xml:space="preserve"> </w:t>
            </w:r>
            <w:r w:rsidRPr="00907205">
              <w:rPr>
                <w:rStyle w:val="SingleTxtGChar"/>
                <w:b/>
              </w:rPr>
              <w:t>a</w:t>
            </w:r>
            <w:r w:rsidRPr="00DD2423">
              <w:rPr>
                <w:rStyle w:val="SingleTxtGChar"/>
                <w:b/>
              </w:rPr>
              <w:t>ppli</w:t>
            </w:r>
            <w:r>
              <w:rPr>
                <w:rStyle w:val="SingleTxtGChar"/>
                <w:b/>
              </w:rPr>
              <w:t>es</w:t>
            </w:r>
            <w:r w:rsidRPr="00DD2423">
              <w:rPr>
                <w:rStyle w:val="SingleTxtGChar"/>
                <w:b/>
              </w:rPr>
              <w:t xml:space="preserve"> from</w:t>
            </w:r>
          </w:p>
        </w:tc>
        <w:tc>
          <w:tcPr>
            <w:tcW w:w="2552" w:type="dxa"/>
            <w:shd w:val="clear" w:color="auto" w:fill="auto"/>
          </w:tcPr>
          <w:p w:rsidR="006266FE" w:rsidRDefault="006266FE" w:rsidP="006266FE">
            <w:pPr>
              <w:pStyle w:val="SingleTxtG"/>
              <w:tabs>
                <w:tab w:val="left" w:pos="1954"/>
              </w:tabs>
              <w:ind w:left="0" w:right="109"/>
              <w:jc w:val="left"/>
              <w:rPr>
                <w:rStyle w:val="SingleTxtGChar"/>
              </w:rPr>
            </w:pPr>
            <w:r w:rsidRPr="003C10EC">
              <w:rPr>
                <w:rStyle w:val="SingleTxtGChar"/>
                <w:b/>
              </w:rPr>
              <w:t>1.10.3</w:t>
            </w:r>
            <w:r>
              <w:rPr>
                <w:rStyle w:val="SingleTxtGChar"/>
                <w:b/>
              </w:rPr>
              <w:t xml:space="preserve"> applies from</w:t>
            </w:r>
          </w:p>
        </w:tc>
      </w:tr>
      <w:tr w:rsidR="009871A9" w:rsidTr="00100E09">
        <w:tc>
          <w:tcPr>
            <w:tcW w:w="3189" w:type="dxa"/>
          </w:tcPr>
          <w:p w:rsidR="009871A9" w:rsidRDefault="009871A9" w:rsidP="00DC061F">
            <w:pPr>
              <w:pStyle w:val="SingleTxtG"/>
              <w:ind w:left="0" w:right="0"/>
              <w:jc w:val="left"/>
              <w:rPr>
                <w:rStyle w:val="SingleTxtGChar"/>
              </w:rPr>
            </w:pPr>
            <w:r>
              <w:rPr>
                <w:rStyle w:val="SingleTxtGChar"/>
              </w:rPr>
              <w:t>UN 3111 and UN 3112 (Class 5.2)</w:t>
            </w:r>
          </w:p>
        </w:tc>
        <w:tc>
          <w:tcPr>
            <w:tcW w:w="1704" w:type="dxa"/>
            <w:shd w:val="clear" w:color="auto" w:fill="auto"/>
          </w:tcPr>
          <w:p w:rsidR="009871A9" w:rsidRDefault="009871A9" w:rsidP="00DC061F">
            <w:pPr>
              <w:pStyle w:val="SingleTxtG"/>
              <w:tabs>
                <w:tab w:val="left" w:pos="1701"/>
              </w:tabs>
              <w:ind w:left="0" w:right="181"/>
              <w:jc w:val="left"/>
              <w:rPr>
                <w:rStyle w:val="SingleTxtGChar"/>
              </w:rPr>
            </w:pPr>
            <w:r>
              <w:rPr>
                <w:rStyle w:val="SingleTxtGChar"/>
              </w:rPr>
              <w:t>500 kg</w:t>
            </w:r>
          </w:p>
        </w:tc>
        <w:tc>
          <w:tcPr>
            <w:tcW w:w="2552" w:type="dxa"/>
            <w:shd w:val="clear" w:color="auto" w:fill="auto"/>
          </w:tcPr>
          <w:p w:rsidR="009871A9" w:rsidRDefault="009871A9" w:rsidP="003B093A">
            <w:pPr>
              <w:pStyle w:val="SingleTxtG"/>
              <w:tabs>
                <w:tab w:val="left" w:pos="1701"/>
              </w:tabs>
              <w:ind w:left="0"/>
              <w:jc w:val="left"/>
              <w:rPr>
                <w:rStyle w:val="SingleTxtGChar"/>
              </w:rPr>
            </w:pPr>
            <w:r>
              <w:rPr>
                <w:rStyle w:val="SingleTxtGChar"/>
              </w:rPr>
              <w:t xml:space="preserve">Not </w:t>
            </w:r>
            <w:r w:rsidR="003B093A">
              <w:rPr>
                <w:rStyle w:val="SingleTxtGChar"/>
              </w:rPr>
              <w:t>valid</w:t>
            </w:r>
          </w:p>
        </w:tc>
      </w:tr>
      <w:tr w:rsidR="009871A9" w:rsidTr="00100E09">
        <w:tc>
          <w:tcPr>
            <w:tcW w:w="3189" w:type="dxa"/>
          </w:tcPr>
          <w:p w:rsidR="009871A9" w:rsidRDefault="009871A9" w:rsidP="00DC061F">
            <w:pPr>
              <w:pStyle w:val="SingleTxtG"/>
              <w:ind w:left="0" w:right="0"/>
              <w:jc w:val="left"/>
              <w:rPr>
                <w:rStyle w:val="SingleTxtGChar"/>
              </w:rPr>
            </w:pPr>
            <w:r>
              <w:rPr>
                <w:rStyle w:val="SingleTxtGChar"/>
              </w:rPr>
              <w:t>UN 3231 and UN 3232 (Class 4.1)</w:t>
            </w:r>
          </w:p>
        </w:tc>
        <w:tc>
          <w:tcPr>
            <w:tcW w:w="1704" w:type="dxa"/>
            <w:shd w:val="clear" w:color="auto" w:fill="auto"/>
          </w:tcPr>
          <w:p w:rsidR="009871A9" w:rsidRDefault="009871A9" w:rsidP="00DC061F">
            <w:pPr>
              <w:pStyle w:val="SingleTxtG"/>
              <w:tabs>
                <w:tab w:val="left" w:pos="1701"/>
              </w:tabs>
              <w:ind w:left="0" w:right="181"/>
              <w:jc w:val="left"/>
              <w:rPr>
                <w:rStyle w:val="SingleTxtGChar"/>
              </w:rPr>
            </w:pPr>
            <w:r>
              <w:rPr>
                <w:rStyle w:val="SingleTxtGChar"/>
              </w:rPr>
              <w:t>500 kg</w:t>
            </w:r>
          </w:p>
        </w:tc>
        <w:tc>
          <w:tcPr>
            <w:tcW w:w="2552" w:type="dxa"/>
            <w:shd w:val="clear" w:color="auto" w:fill="auto"/>
          </w:tcPr>
          <w:p w:rsidR="009871A9" w:rsidRDefault="009871A9" w:rsidP="009E56B9">
            <w:pPr>
              <w:pStyle w:val="SingleTxtG"/>
              <w:tabs>
                <w:tab w:val="left" w:pos="1701"/>
              </w:tabs>
              <w:ind w:left="0"/>
              <w:jc w:val="left"/>
              <w:rPr>
                <w:rStyle w:val="SingleTxtGChar"/>
              </w:rPr>
            </w:pPr>
            <w:r>
              <w:rPr>
                <w:rStyle w:val="SingleTxtGChar"/>
              </w:rPr>
              <w:t xml:space="preserve">Not </w:t>
            </w:r>
            <w:r w:rsidR="009E56B9">
              <w:rPr>
                <w:rStyle w:val="SingleTxtGChar"/>
              </w:rPr>
              <w:t>valid</w:t>
            </w:r>
          </w:p>
        </w:tc>
      </w:tr>
      <w:tr w:rsidR="00E11201" w:rsidTr="00BD79D5">
        <w:tc>
          <w:tcPr>
            <w:tcW w:w="7445" w:type="dxa"/>
            <w:gridSpan w:val="3"/>
          </w:tcPr>
          <w:p w:rsidR="00E11201" w:rsidRDefault="00E11201" w:rsidP="00E11201">
            <w:pPr>
              <w:pStyle w:val="SingleTxtG"/>
              <w:tabs>
                <w:tab w:val="left" w:pos="1701"/>
              </w:tabs>
              <w:ind w:left="0" w:right="-23"/>
              <w:jc w:val="left"/>
              <w:rPr>
                <w:rStyle w:val="SingleTxtGChar"/>
              </w:rPr>
            </w:pPr>
            <w:r w:rsidRPr="00E11201">
              <w:rPr>
                <w:rStyle w:val="SingleTxtGChar"/>
                <w:i/>
              </w:rPr>
              <w:t>Note</w:t>
            </w:r>
            <w:r>
              <w:rPr>
                <w:rStyle w:val="SingleTxtGChar"/>
              </w:rPr>
              <w:t>: The provisions differ. A separate proposal could deal with this if deemed necessary.</w:t>
            </w:r>
          </w:p>
        </w:tc>
      </w:tr>
    </w:tbl>
    <w:p w:rsidR="00F2190B" w:rsidRDefault="00F2190B" w:rsidP="006266FE">
      <w:pPr>
        <w:pStyle w:val="SingleTxtG"/>
        <w:keepNext/>
        <w:keepLines/>
        <w:tabs>
          <w:tab w:val="left" w:pos="1701"/>
        </w:tabs>
        <w:spacing w:after="200"/>
        <w:ind w:left="0" w:right="1138"/>
        <w:jc w:val="left"/>
        <w:rPr>
          <w:rStyle w:val="SingleTxtGChar"/>
          <w:b/>
        </w:rPr>
      </w:pPr>
    </w:p>
    <w:tbl>
      <w:tblPr>
        <w:tblStyle w:val="TableGrid"/>
        <w:tblW w:w="0" w:type="auto"/>
        <w:tblInd w:w="1134" w:type="dxa"/>
        <w:tblLook w:val="04A0" w:firstRow="1" w:lastRow="0" w:firstColumn="1" w:lastColumn="0" w:noHBand="0" w:noVBand="1"/>
      </w:tblPr>
      <w:tblGrid>
        <w:gridCol w:w="3181"/>
        <w:gridCol w:w="4327"/>
      </w:tblGrid>
      <w:tr w:rsidR="00F2190B" w:rsidTr="00100E09">
        <w:tc>
          <w:tcPr>
            <w:tcW w:w="7508" w:type="dxa"/>
            <w:gridSpan w:val="2"/>
          </w:tcPr>
          <w:p w:rsidR="00F2190B" w:rsidRDefault="00F2190B" w:rsidP="00943CBC">
            <w:pPr>
              <w:pStyle w:val="SingleTxtG"/>
              <w:tabs>
                <w:tab w:val="left" w:pos="1701"/>
              </w:tabs>
              <w:ind w:left="0"/>
              <w:jc w:val="center"/>
              <w:rPr>
                <w:rStyle w:val="SingleTxtGChar"/>
                <w:b/>
              </w:rPr>
            </w:pPr>
            <w:r w:rsidRPr="00F2190B">
              <w:rPr>
                <w:rStyle w:val="SingleTxtGChar"/>
                <w:b/>
              </w:rPr>
              <w:t xml:space="preserve">S21 </w:t>
            </w:r>
            <w:r>
              <w:rPr>
                <w:rStyle w:val="SingleTxtGChar"/>
                <w:b/>
              </w:rPr>
              <w:t>versus 1.10.3</w:t>
            </w:r>
          </w:p>
        </w:tc>
      </w:tr>
      <w:tr w:rsidR="00345B02" w:rsidTr="00100E09">
        <w:tc>
          <w:tcPr>
            <w:tcW w:w="3181" w:type="dxa"/>
            <w:shd w:val="clear" w:color="auto" w:fill="auto"/>
          </w:tcPr>
          <w:p w:rsidR="00345B02" w:rsidRDefault="00345B02" w:rsidP="00E11201">
            <w:pPr>
              <w:pStyle w:val="SingleTxtG"/>
              <w:tabs>
                <w:tab w:val="left" w:pos="1701"/>
              </w:tabs>
              <w:ind w:left="0"/>
              <w:jc w:val="left"/>
              <w:rPr>
                <w:rStyle w:val="SingleTxtGChar"/>
                <w:b/>
              </w:rPr>
            </w:pPr>
            <w:r>
              <w:rPr>
                <w:rStyle w:val="SingleTxtGChar"/>
              </w:rPr>
              <w:t>S21 a</w:t>
            </w:r>
            <w:r w:rsidRPr="00F2190B">
              <w:rPr>
                <w:rStyle w:val="SingleTxtGChar"/>
              </w:rPr>
              <w:t>pplies</w:t>
            </w:r>
            <w:r>
              <w:rPr>
                <w:rStyle w:val="SingleTxtGChar"/>
              </w:rPr>
              <w:t xml:space="preserve"> to all Class 7</w:t>
            </w:r>
            <w:r w:rsidR="00943CBC">
              <w:rPr>
                <w:rStyle w:val="SingleTxtGChar"/>
              </w:rPr>
              <w:t xml:space="preserve"> </w:t>
            </w:r>
            <w:r>
              <w:rPr>
                <w:rStyle w:val="SingleTxtGChar"/>
              </w:rPr>
              <w:t xml:space="preserve">material in whatever mass. </w:t>
            </w:r>
          </w:p>
        </w:tc>
        <w:tc>
          <w:tcPr>
            <w:tcW w:w="4327" w:type="dxa"/>
            <w:shd w:val="clear" w:color="auto" w:fill="auto"/>
          </w:tcPr>
          <w:p w:rsidR="00345B02" w:rsidRDefault="00345B02" w:rsidP="00100E09">
            <w:pPr>
              <w:pStyle w:val="SingleTxtG"/>
              <w:tabs>
                <w:tab w:val="left" w:pos="1701"/>
              </w:tabs>
              <w:ind w:left="0" w:right="0"/>
              <w:jc w:val="left"/>
              <w:rPr>
                <w:rStyle w:val="SingleTxtGChar"/>
                <w:b/>
              </w:rPr>
            </w:pPr>
            <w:r>
              <w:rPr>
                <w:rStyle w:val="SingleTxtGChar"/>
              </w:rPr>
              <w:t>The provisions on high consequence dg in section 1.10.3 apply to</w:t>
            </w:r>
            <w:r w:rsidRPr="00F2190B">
              <w:rPr>
                <w:rStyle w:val="SingleTxtGChar"/>
              </w:rPr>
              <w:t xml:space="preserve"> radioactive material that exceeds a specific activity given in 1.10.3</w:t>
            </w:r>
            <w:r>
              <w:rPr>
                <w:rStyle w:val="SingleTxtGChar"/>
              </w:rPr>
              <w:t>.</w:t>
            </w:r>
          </w:p>
        </w:tc>
      </w:tr>
      <w:tr w:rsidR="00345B02" w:rsidTr="00100E09">
        <w:tc>
          <w:tcPr>
            <w:tcW w:w="7508" w:type="dxa"/>
            <w:gridSpan w:val="2"/>
            <w:shd w:val="clear" w:color="auto" w:fill="auto"/>
          </w:tcPr>
          <w:p w:rsidR="00345B02" w:rsidRDefault="006266FE" w:rsidP="00345B02">
            <w:pPr>
              <w:pStyle w:val="SingleTxtG"/>
              <w:tabs>
                <w:tab w:val="left" w:pos="1701"/>
              </w:tabs>
              <w:ind w:left="0"/>
              <w:jc w:val="left"/>
              <w:rPr>
                <w:rStyle w:val="SingleTxtGChar"/>
              </w:rPr>
            </w:pPr>
            <w:r w:rsidRPr="00785AD4">
              <w:rPr>
                <w:rStyle w:val="SingleTxtGChar"/>
                <w:i/>
              </w:rPr>
              <w:t>Note</w:t>
            </w:r>
            <w:r>
              <w:rPr>
                <w:rStyle w:val="SingleTxtGChar"/>
              </w:rPr>
              <w:t xml:space="preserve">: </w:t>
            </w:r>
            <w:r w:rsidR="00345B02">
              <w:rPr>
                <w:rStyle w:val="SingleTxtGChar"/>
              </w:rPr>
              <w:t>We cannot see any real disharmony between these two provisions.</w:t>
            </w:r>
          </w:p>
        </w:tc>
      </w:tr>
    </w:tbl>
    <w:p w:rsidR="00F2190B" w:rsidRDefault="00F2190B" w:rsidP="00F2190B">
      <w:pPr>
        <w:pStyle w:val="SingleTxtG"/>
        <w:tabs>
          <w:tab w:val="left" w:pos="1701"/>
        </w:tabs>
        <w:jc w:val="left"/>
        <w:rPr>
          <w:rStyle w:val="SingleTxtGChar"/>
          <w:b/>
        </w:rPr>
      </w:pPr>
    </w:p>
    <w:p w:rsidR="009D43FE" w:rsidRDefault="008F5BDC" w:rsidP="00364864">
      <w:pPr>
        <w:pStyle w:val="SingleTxtG"/>
        <w:tabs>
          <w:tab w:val="left" w:pos="1701"/>
        </w:tabs>
        <w:jc w:val="left"/>
        <w:rPr>
          <w:rStyle w:val="SingleTxtGChar"/>
        </w:rPr>
      </w:pPr>
      <w:r>
        <w:rPr>
          <w:rStyle w:val="SingleTxtGChar"/>
        </w:rPr>
        <w:t>10.</w:t>
      </w:r>
      <w:r>
        <w:rPr>
          <w:rStyle w:val="SingleTxtGChar"/>
        </w:rPr>
        <w:tab/>
      </w:r>
      <w:r w:rsidR="009D43FE">
        <w:rPr>
          <w:rStyle w:val="SingleTxtGChar"/>
        </w:rPr>
        <w:t xml:space="preserve">As illustrated above there are some differences </w:t>
      </w:r>
      <w:r w:rsidR="006266FE">
        <w:rPr>
          <w:rStyle w:val="SingleTxtGChar"/>
        </w:rPr>
        <w:t xml:space="preserve">between </w:t>
      </w:r>
      <w:r w:rsidR="009D43FE">
        <w:rPr>
          <w:rStyle w:val="SingleTxtGChar"/>
        </w:rPr>
        <w:t xml:space="preserve">the limits in chapter 8.5 and the ones in </w:t>
      </w:r>
      <w:r w:rsidR="002740A1">
        <w:rPr>
          <w:rStyle w:val="SingleTxtGChar"/>
        </w:rPr>
        <w:t>section 1.10.3</w:t>
      </w:r>
      <w:r w:rsidR="009D43FE">
        <w:rPr>
          <w:rStyle w:val="SingleTxtGChar"/>
        </w:rPr>
        <w:t>. Th</w:t>
      </w:r>
      <w:r w:rsidR="00366C3F">
        <w:rPr>
          <w:rStyle w:val="SingleTxtGChar"/>
        </w:rPr>
        <w:t>is</w:t>
      </w:r>
      <w:r w:rsidR="009D43FE">
        <w:rPr>
          <w:rStyle w:val="SingleTxtGChar"/>
        </w:rPr>
        <w:t xml:space="preserve"> could</w:t>
      </w:r>
      <w:r w:rsidR="00366C3F">
        <w:rPr>
          <w:rStyle w:val="SingleTxtGChar"/>
        </w:rPr>
        <w:t xml:space="preserve"> of course</w:t>
      </w:r>
      <w:r w:rsidR="009D43FE">
        <w:rPr>
          <w:rStyle w:val="SingleTxtGChar"/>
        </w:rPr>
        <w:t xml:space="preserve"> be </w:t>
      </w:r>
      <w:r w:rsidR="00C416C7">
        <w:rPr>
          <w:rStyle w:val="SingleTxtGChar"/>
        </w:rPr>
        <w:t>discussed</w:t>
      </w:r>
      <w:r w:rsidR="00034918">
        <w:rPr>
          <w:rStyle w:val="SingleTxtGChar"/>
        </w:rPr>
        <w:t xml:space="preserve">, but </w:t>
      </w:r>
      <w:r w:rsidR="009D43FE">
        <w:rPr>
          <w:rStyle w:val="SingleTxtGChar"/>
        </w:rPr>
        <w:t xml:space="preserve">we would prefer </w:t>
      </w:r>
      <w:r w:rsidR="00364864">
        <w:rPr>
          <w:rStyle w:val="SingleTxtGChar"/>
        </w:rPr>
        <w:t>s</w:t>
      </w:r>
      <w:r w:rsidR="009D43FE">
        <w:rPr>
          <w:rStyle w:val="SingleTxtGChar"/>
        </w:rPr>
        <w:t xml:space="preserve">uch a </w:t>
      </w:r>
      <w:r w:rsidR="00364864">
        <w:rPr>
          <w:rStyle w:val="SingleTxtGChar"/>
        </w:rPr>
        <w:t xml:space="preserve">matter to be </w:t>
      </w:r>
      <w:r w:rsidR="00C416C7">
        <w:rPr>
          <w:rStyle w:val="SingleTxtGChar"/>
        </w:rPr>
        <w:t>dealt with</w:t>
      </w:r>
      <w:r w:rsidR="00364864">
        <w:rPr>
          <w:rStyle w:val="SingleTxtGChar"/>
        </w:rPr>
        <w:t xml:space="preserve"> separately</w:t>
      </w:r>
      <w:r w:rsidR="006266FE">
        <w:rPr>
          <w:rStyle w:val="SingleTxtGChar"/>
        </w:rPr>
        <w:t>;</w:t>
      </w:r>
      <w:r w:rsidR="00364864">
        <w:rPr>
          <w:rStyle w:val="SingleTxtGChar"/>
        </w:rPr>
        <w:t xml:space="preserve"> </w:t>
      </w:r>
      <w:r w:rsidR="006266FE">
        <w:rPr>
          <w:rStyle w:val="SingleTxtGChar"/>
        </w:rPr>
        <w:t>p</w:t>
      </w:r>
      <w:r w:rsidR="00364864">
        <w:rPr>
          <w:rStyle w:val="SingleTxtGChar"/>
        </w:rPr>
        <w:t xml:space="preserve">artly to </w:t>
      </w:r>
      <w:r w:rsidR="00366C3F">
        <w:rPr>
          <w:rStyle w:val="SingleTxtGChar"/>
        </w:rPr>
        <w:t xml:space="preserve">enable </w:t>
      </w:r>
      <w:r w:rsidR="00C416C7">
        <w:rPr>
          <w:rStyle w:val="SingleTxtGChar"/>
        </w:rPr>
        <w:t xml:space="preserve">this </w:t>
      </w:r>
      <w:r w:rsidR="00366C3F">
        <w:rPr>
          <w:rStyle w:val="SingleTxtGChar"/>
        </w:rPr>
        <w:t xml:space="preserve">already </w:t>
      </w:r>
      <w:r w:rsidR="006266FE">
        <w:rPr>
          <w:rStyle w:val="SingleTxtGChar"/>
        </w:rPr>
        <w:t xml:space="preserve">ongoing </w:t>
      </w:r>
      <w:r w:rsidR="00034918">
        <w:rPr>
          <w:rStyle w:val="SingleTxtGChar"/>
        </w:rPr>
        <w:t xml:space="preserve">work </w:t>
      </w:r>
      <w:r w:rsidR="00364864">
        <w:rPr>
          <w:rStyle w:val="SingleTxtGChar"/>
        </w:rPr>
        <w:t>to move forward</w:t>
      </w:r>
      <w:r w:rsidR="00366C3F">
        <w:rPr>
          <w:rStyle w:val="SingleTxtGChar"/>
        </w:rPr>
        <w:t>,</w:t>
      </w:r>
      <w:r w:rsidR="00364864">
        <w:rPr>
          <w:rStyle w:val="SingleTxtGChar"/>
        </w:rPr>
        <w:t xml:space="preserve"> and partly </w:t>
      </w:r>
      <w:r w:rsidR="00034918">
        <w:rPr>
          <w:rStyle w:val="SingleTxtGChar"/>
        </w:rPr>
        <w:t>since</w:t>
      </w:r>
      <w:r w:rsidR="00366C3F">
        <w:rPr>
          <w:rStyle w:val="SingleTxtGChar"/>
        </w:rPr>
        <w:t xml:space="preserve"> </w:t>
      </w:r>
      <w:r w:rsidR="00CD3737">
        <w:rPr>
          <w:rStyle w:val="SingleTxtGChar"/>
        </w:rPr>
        <w:t>c</w:t>
      </w:r>
      <w:r w:rsidR="00366C3F">
        <w:rPr>
          <w:rStyle w:val="SingleTxtGChar"/>
        </w:rPr>
        <w:t>hapter 1.10</w:t>
      </w:r>
      <w:r w:rsidR="00B8006A">
        <w:rPr>
          <w:rStyle w:val="SingleTxtGChar"/>
        </w:rPr>
        <w:t xml:space="preserve"> is </w:t>
      </w:r>
      <w:r w:rsidR="00E82D01">
        <w:rPr>
          <w:rStyle w:val="SingleTxtGChar"/>
        </w:rPr>
        <w:t>concerned</w:t>
      </w:r>
      <w:r w:rsidR="00CD3737">
        <w:rPr>
          <w:rStyle w:val="SingleTxtGChar"/>
        </w:rPr>
        <w:t>,</w:t>
      </w:r>
      <w:r w:rsidR="00366C3F">
        <w:rPr>
          <w:rStyle w:val="SingleTxtGChar"/>
        </w:rPr>
        <w:t xml:space="preserve"> </w:t>
      </w:r>
      <w:r w:rsidR="006266FE">
        <w:rPr>
          <w:rStyle w:val="SingleTxtGChar"/>
        </w:rPr>
        <w:t xml:space="preserve">about </w:t>
      </w:r>
      <w:r w:rsidR="00BD435E">
        <w:rPr>
          <w:rStyle w:val="SingleTxtGChar"/>
        </w:rPr>
        <w:t xml:space="preserve">which a discussion </w:t>
      </w:r>
      <w:r w:rsidR="00AC7729">
        <w:rPr>
          <w:rStyle w:val="SingleTxtGChar"/>
        </w:rPr>
        <w:t xml:space="preserve">initially </w:t>
      </w:r>
      <w:r w:rsidR="00366C3F">
        <w:rPr>
          <w:rStyle w:val="SingleTxtGChar"/>
        </w:rPr>
        <w:t xml:space="preserve">should </w:t>
      </w:r>
      <w:r w:rsidR="00B8006A">
        <w:rPr>
          <w:rStyle w:val="SingleTxtGChar"/>
        </w:rPr>
        <w:t xml:space="preserve">take place at </w:t>
      </w:r>
      <w:r w:rsidR="00366C3F">
        <w:rPr>
          <w:rStyle w:val="SingleTxtGChar"/>
        </w:rPr>
        <w:t xml:space="preserve">the TDG Sub-committee. </w:t>
      </w:r>
      <w:r w:rsidR="00364864">
        <w:rPr>
          <w:rStyle w:val="SingleTxtGChar"/>
        </w:rPr>
        <w:t>Instead</w:t>
      </w:r>
      <w:r w:rsidR="00E703E3">
        <w:rPr>
          <w:rStyle w:val="SingleTxtGChar"/>
        </w:rPr>
        <w:t xml:space="preserve">, we suggest to </w:t>
      </w:r>
      <w:r w:rsidR="00B42845">
        <w:rPr>
          <w:rStyle w:val="SingleTxtGChar"/>
        </w:rPr>
        <w:t xml:space="preserve">introduce </w:t>
      </w:r>
      <w:r w:rsidR="00364864">
        <w:rPr>
          <w:rStyle w:val="SingleTxtGChar"/>
        </w:rPr>
        <w:t>amendment</w:t>
      </w:r>
      <w:r w:rsidR="00B42845">
        <w:rPr>
          <w:rStyle w:val="SingleTxtGChar"/>
        </w:rPr>
        <w:t xml:space="preserve">s that </w:t>
      </w:r>
      <w:r w:rsidR="00E703E3">
        <w:rPr>
          <w:rStyle w:val="SingleTxtGChar"/>
        </w:rPr>
        <w:t>would not be</w:t>
      </w:r>
      <w:r w:rsidR="00364864">
        <w:rPr>
          <w:rStyle w:val="SingleTxtGChar"/>
        </w:rPr>
        <w:t xml:space="preserve"> dependent on </w:t>
      </w:r>
      <w:r w:rsidR="00B42845">
        <w:rPr>
          <w:rStyle w:val="SingleTxtGChar"/>
        </w:rPr>
        <w:t xml:space="preserve">any </w:t>
      </w:r>
      <w:r w:rsidR="00364864">
        <w:rPr>
          <w:rStyle w:val="SingleTxtGChar"/>
        </w:rPr>
        <w:t xml:space="preserve">future amendments in </w:t>
      </w:r>
      <w:r w:rsidR="00E703E3">
        <w:rPr>
          <w:rStyle w:val="SingleTxtGChar"/>
        </w:rPr>
        <w:t>the l</w:t>
      </w:r>
      <w:r w:rsidR="00364864">
        <w:rPr>
          <w:rStyle w:val="SingleTxtGChar"/>
        </w:rPr>
        <w:t>ist</w:t>
      </w:r>
      <w:r w:rsidR="007809E9">
        <w:rPr>
          <w:rStyle w:val="SingleTxtGChar"/>
        </w:rPr>
        <w:t xml:space="preserve"> in 1.10.3</w:t>
      </w:r>
      <w:r w:rsidR="006751BC">
        <w:rPr>
          <w:rStyle w:val="SingleTxtGChar"/>
        </w:rPr>
        <w:t>.</w:t>
      </w:r>
      <w:r w:rsidR="00364864">
        <w:rPr>
          <w:rStyle w:val="SingleTxtGChar"/>
        </w:rPr>
        <w:t xml:space="preserve"> </w:t>
      </w:r>
    </w:p>
    <w:p w:rsidR="009871A9" w:rsidRPr="00F111D5" w:rsidRDefault="00C87420" w:rsidP="00C87420">
      <w:pPr>
        <w:pStyle w:val="H1G"/>
        <w:rPr>
          <w:rStyle w:val="SingleTxtGChar"/>
          <w:b w:val="0"/>
        </w:rPr>
      </w:pPr>
      <w:r>
        <w:rPr>
          <w:rStyle w:val="SingleTxtGChar"/>
        </w:rPr>
        <w:tab/>
      </w:r>
      <w:r>
        <w:rPr>
          <w:rStyle w:val="SingleTxtGChar"/>
        </w:rPr>
        <w:tab/>
      </w:r>
      <w:r w:rsidR="009871A9" w:rsidRPr="00F111D5">
        <w:rPr>
          <w:rStyle w:val="SingleTxtGChar"/>
        </w:rPr>
        <w:t>Summary</w:t>
      </w:r>
    </w:p>
    <w:p w:rsidR="00B63C62" w:rsidRDefault="008F5BDC" w:rsidP="00B63C62">
      <w:pPr>
        <w:pStyle w:val="SingleTxtG"/>
        <w:tabs>
          <w:tab w:val="left" w:pos="1701"/>
        </w:tabs>
        <w:jc w:val="left"/>
        <w:rPr>
          <w:rStyle w:val="SingleTxtGChar"/>
        </w:rPr>
      </w:pPr>
      <w:r>
        <w:rPr>
          <w:rStyle w:val="SingleTxtGChar"/>
        </w:rPr>
        <w:t>11.</w:t>
      </w:r>
      <w:r>
        <w:rPr>
          <w:rStyle w:val="SingleTxtGChar"/>
        </w:rPr>
        <w:tab/>
      </w:r>
      <w:r w:rsidR="00F111D5">
        <w:rPr>
          <w:rStyle w:val="SingleTxtGChar"/>
        </w:rPr>
        <w:t>P</w:t>
      </w:r>
      <w:r w:rsidR="009871A9">
        <w:rPr>
          <w:rStyle w:val="SingleTxtGChar"/>
        </w:rPr>
        <w:t>revious discussions together with the result from the questionnaire</w:t>
      </w:r>
      <w:r w:rsidR="00A4560D">
        <w:rPr>
          <w:rStyle w:val="SingleTxtGChar"/>
        </w:rPr>
        <w:t>,</w:t>
      </w:r>
      <w:r w:rsidR="009871A9">
        <w:rPr>
          <w:rStyle w:val="SingleTxtGChar"/>
        </w:rPr>
        <w:t xml:space="preserve"> indicates that </w:t>
      </w:r>
      <w:r w:rsidR="00F111D5">
        <w:rPr>
          <w:rStyle w:val="SingleTxtGChar"/>
        </w:rPr>
        <w:t xml:space="preserve">it </w:t>
      </w:r>
      <w:r w:rsidR="00286416">
        <w:rPr>
          <w:rStyle w:val="SingleTxtGChar"/>
        </w:rPr>
        <w:t>would</w:t>
      </w:r>
      <w:r w:rsidR="00F111D5">
        <w:rPr>
          <w:rStyle w:val="SingleTxtGChar"/>
        </w:rPr>
        <w:t xml:space="preserve"> be problematic to define what is meant with “supervision” by specifying fixed measures in S1</w:t>
      </w:r>
      <w:r w:rsidR="0074197E">
        <w:rPr>
          <w:rStyle w:val="SingleTxtGChar"/>
        </w:rPr>
        <w:t>(6)</w:t>
      </w:r>
      <w:r w:rsidR="00F111D5">
        <w:rPr>
          <w:rStyle w:val="SingleTxtGChar"/>
        </w:rPr>
        <w:t xml:space="preserve">, S16 and S21. </w:t>
      </w:r>
      <w:r w:rsidR="00B63C62">
        <w:rPr>
          <w:rStyle w:val="SingleTxtGChar"/>
        </w:rPr>
        <w:t xml:space="preserve">For this reason, we believe that a provision that </w:t>
      </w:r>
      <w:r w:rsidR="00FD035A">
        <w:rPr>
          <w:rStyle w:val="SingleTxtGChar"/>
        </w:rPr>
        <w:t>c</w:t>
      </w:r>
      <w:r w:rsidR="00B63C62">
        <w:rPr>
          <w:rStyle w:val="SingleTxtGChar"/>
        </w:rPr>
        <w:t xml:space="preserve">ould be adapted to </w:t>
      </w:r>
      <w:r w:rsidR="00A4560D">
        <w:rPr>
          <w:rStyle w:val="SingleTxtGChar"/>
        </w:rPr>
        <w:t xml:space="preserve">the unique </w:t>
      </w:r>
      <w:r w:rsidR="00B63C62">
        <w:rPr>
          <w:rStyle w:val="SingleTxtGChar"/>
        </w:rPr>
        <w:t xml:space="preserve">circumstances </w:t>
      </w:r>
      <w:r w:rsidR="00A4560D">
        <w:rPr>
          <w:rStyle w:val="SingleTxtGChar"/>
        </w:rPr>
        <w:t xml:space="preserve">of a </w:t>
      </w:r>
      <w:r w:rsidR="00B63C62">
        <w:rPr>
          <w:rStyle w:val="SingleTxtGChar"/>
        </w:rPr>
        <w:t xml:space="preserve">transport would be a </w:t>
      </w:r>
      <w:r w:rsidR="000F1E9B">
        <w:rPr>
          <w:rStyle w:val="SingleTxtGChar"/>
        </w:rPr>
        <w:t xml:space="preserve">more </w:t>
      </w:r>
      <w:r w:rsidR="009871A9">
        <w:rPr>
          <w:rStyle w:val="SingleTxtGChar"/>
        </w:rPr>
        <w:t xml:space="preserve">suitable solution. </w:t>
      </w:r>
    </w:p>
    <w:p w:rsidR="00B63C62" w:rsidRDefault="008F5BDC" w:rsidP="00B63C62">
      <w:pPr>
        <w:pStyle w:val="SingleTxtG"/>
        <w:tabs>
          <w:tab w:val="left" w:pos="1701"/>
        </w:tabs>
        <w:jc w:val="left"/>
        <w:rPr>
          <w:rStyle w:val="SingleTxtGChar"/>
        </w:rPr>
      </w:pPr>
      <w:r>
        <w:rPr>
          <w:rStyle w:val="SingleTxtGChar"/>
        </w:rPr>
        <w:t>12.</w:t>
      </w:r>
      <w:r>
        <w:rPr>
          <w:rStyle w:val="SingleTxtGChar"/>
        </w:rPr>
        <w:tab/>
      </w:r>
      <w:r w:rsidR="00286416">
        <w:rPr>
          <w:rStyle w:val="SingleTxtGChar"/>
        </w:rPr>
        <w:t xml:space="preserve">The purpose </w:t>
      </w:r>
      <w:r w:rsidR="006266FE">
        <w:rPr>
          <w:rStyle w:val="SingleTxtGChar"/>
        </w:rPr>
        <w:t xml:space="preserve">of </w:t>
      </w:r>
      <w:r w:rsidR="00286416">
        <w:rPr>
          <w:rStyle w:val="SingleTxtGChar"/>
        </w:rPr>
        <w:t xml:space="preserve">the provisions in </w:t>
      </w:r>
      <w:r w:rsidR="00284F4D">
        <w:rPr>
          <w:rStyle w:val="SingleTxtGChar"/>
        </w:rPr>
        <w:t>c</w:t>
      </w:r>
      <w:r w:rsidR="00286416">
        <w:rPr>
          <w:rStyle w:val="SingleTxtGChar"/>
        </w:rPr>
        <w:t xml:space="preserve">hapter 1.10 is to </w:t>
      </w:r>
      <w:r w:rsidR="00284F4D">
        <w:rPr>
          <w:rStyle w:val="SingleTxtGChar"/>
        </w:rPr>
        <w:t xml:space="preserve">require </w:t>
      </w:r>
      <w:r w:rsidR="00284F4D" w:rsidRPr="00284F4D">
        <w:rPr>
          <w:rStyle w:val="SingleTxtGChar"/>
        </w:rPr>
        <w:t>s</w:t>
      </w:r>
      <w:r w:rsidR="00286416" w:rsidRPr="00284F4D">
        <w:rPr>
          <w:rStyle w:val="SingleTxtGChar"/>
        </w:rPr>
        <w:t xml:space="preserve">ecurity </w:t>
      </w:r>
      <w:r w:rsidR="00286416" w:rsidRPr="00284F4D">
        <w:t xml:space="preserve">measures </w:t>
      </w:r>
      <w:r w:rsidR="00284F4D">
        <w:t>and</w:t>
      </w:r>
      <w:r w:rsidR="00286416" w:rsidRPr="00284F4D">
        <w:t xml:space="preserve"> </w:t>
      </w:r>
      <w:r w:rsidR="00284F4D">
        <w:rPr>
          <w:rStyle w:val="SingleTxtGChar"/>
        </w:rPr>
        <w:t xml:space="preserve">that </w:t>
      </w:r>
      <w:r w:rsidR="00286416" w:rsidRPr="00284F4D">
        <w:t xml:space="preserve">precautions </w:t>
      </w:r>
      <w:r w:rsidR="00284F4D" w:rsidRPr="00284F4D">
        <w:t>are</w:t>
      </w:r>
      <w:r w:rsidR="00286416" w:rsidRPr="00284F4D">
        <w:t xml:space="preserve"> taken to minimise theft or misuse of dangerous goods that may endanger persons, property or the environment.</w:t>
      </w:r>
      <w:r w:rsidR="00286416">
        <w:rPr>
          <w:i/>
        </w:rPr>
        <w:t xml:space="preserve"> </w:t>
      </w:r>
      <w:r w:rsidR="00E60B11">
        <w:rPr>
          <w:rStyle w:val="SingleTxtGChar"/>
        </w:rPr>
        <w:t>T</w:t>
      </w:r>
      <w:r w:rsidR="00B63C62">
        <w:rPr>
          <w:rStyle w:val="SingleTxtGChar"/>
        </w:rPr>
        <w:t>he provision concerning security plans specif</w:t>
      </w:r>
      <w:r w:rsidR="004970F6">
        <w:rPr>
          <w:rStyle w:val="SingleTxtGChar"/>
        </w:rPr>
        <w:t>ies</w:t>
      </w:r>
      <w:r w:rsidR="00816FCB">
        <w:rPr>
          <w:rStyle w:val="SingleTxtGChar"/>
        </w:rPr>
        <w:t>, among other things,</w:t>
      </w:r>
      <w:r w:rsidR="00B63C62">
        <w:rPr>
          <w:rStyle w:val="SingleTxtGChar"/>
        </w:rPr>
        <w:t xml:space="preserve"> the following:</w:t>
      </w:r>
    </w:p>
    <w:p w:rsidR="00B63C62" w:rsidRDefault="00286416" w:rsidP="00B63C62">
      <w:pPr>
        <w:pStyle w:val="SingleTxtG"/>
        <w:tabs>
          <w:tab w:val="left" w:pos="1701"/>
        </w:tabs>
        <w:jc w:val="left"/>
        <w:rPr>
          <w:rStyle w:val="SingleTxtGChar"/>
        </w:rPr>
      </w:pPr>
      <w:r>
        <w:rPr>
          <w:rStyle w:val="SingleTxtGChar"/>
        </w:rPr>
        <w:t>“</w:t>
      </w:r>
      <w:r w:rsidR="00B63C62">
        <w:rPr>
          <w:rStyle w:val="SingleTxtGChar"/>
        </w:rPr>
        <w:t xml:space="preserve">1.10.3.2 </w:t>
      </w:r>
      <w:r w:rsidR="00B63C62" w:rsidRPr="00475DA9">
        <w:rPr>
          <w:rStyle w:val="SingleTxtGChar"/>
          <w:i/>
        </w:rPr>
        <w:t>The security plan shall comprise a</w:t>
      </w:r>
      <w:r w:rsidRPr="00475DA9">
        <w:rPr>
          <w:rStyle w:val="SingleTxtGChar"/>
          <w:i/>
        </w:rPr>
        <w:t>t least the following elements</w:t>
      </w:r>
      <w:r>
        <w:rPr>
          <w:rStyle w:val="SingleTxtGChar"/>
        </w:rPr>
        <w:t>:</w:t>
      </w:r>
      <w:r w:rsidR="00B63C62">
        <w:rPr>
          <w:rStyle w:val="SingleTxtGChar"/>
        </w:rPr>
        <w:t xml:space="preserve"> </w:t>
      </w:r>
    </w:p>
    <w:p w:rsidR="00B63C62" w:rsidRDefault="00286416" w:rsidP="00B63C62">
      <w:pPr>
        <w:pStyle w:val="SingleTxtG"/>
        <w:tabs>
          <w:tab w:val="left" w:pos="1701"/>
        </w:tabs>
        <w:jc w:val="left"/>
      </w:pPr>
      <w:r>
        <w:rPr>
          <w:rStyle w:val="SingleTxtGChar"/>
        </w:rPr>
        <w:t xml:space="preserve">(c) </w:t>
      </w:r>
      <w:r w:rsidR="00C43A9F">
        <w:rPr>
          <w:rStyle w:val="SingleTxtGChar"/>
        </w:rPr>
        <w:tab/>
      </w:r>
      <w:r w:rsidR="00B63C62" w:rsidRPr="00475DA9">
        <w:rPr>
          <w:i/>
        </w:rPr>
        <w:t xml:space="preserve">Review of current operations and assessment of security risks, </w:t>
      </w:r>
      <w:r w:rsidR="00B63C62" w:rsidRPr="00475DA9">
        <w:rPr>
          <w:i/>
          <w:u w:val="single"/>
        </w:rPr>
        <w:t xml:space="preserve">including any stops </w:t>
      </w:r>
      <w:r w:rsidR="00C43A9F" w:rsidRPr="00475DA9">
        <w:rPr>
          <w:i/>
        </w:rPr>
        <w:tab/>
      </w:r>
      <w:r w:rsidR="00B63C62" w:rsidRPr="00475DA9">
        <w:rPr>
          <w:i/>
          <w:u w:val="single"/>
        </w:rPr>
        <w:t>necessary to the transport operation,</w:t>
      </w:r>
      <w:r w:rsidR="00B63C62" w:rsidRPr="00475DA9">
        <w:rPr>
          <w:i/>
        </w:rPr>
        <w:t xml:space="preserve"> the keeping of dangerous goods in the vehicle, </w:t>
      </w:r>
      <w:r w:rsidR="00C43A9F" w:rsidRPr="00475DA9">
        <w:rPr>
          <w:i/>
        </w:rPr>
        <w:tab/>
      </w:r>
      <w:r w:rsidR="00B63C62" w:rsidRPr="00475DA9">
        <w:rPr>
          <w:i/>
        </w:rPr>
        <w:t xml:space="preserve">tank or container before, during and after the journey and the intermediate </w:t>
      </w:r>
      <w:r w:rsidR="00475DA9">
        <w:rPr>
          <w:i/>
        </w:rPr>
        <w:tab/>
      </w:r>
      <w:r w:rsidR="00B63C62" w:rsidRPr="00475DA9">
        <w:rPr>
          <w:i/>
        </w:rPr>
        <w:t xml:space="preserve">temporary storage of dangerous goods during the course of intermodal transfer or </w:t>
      </w:r>
      <w:r w:rsidR="00475DA9">
        <w:rPr>
          <w:i/>
        </w:rPr>
        <w:tab/>
      </w:r>
      <w:r w:rsidR="00B63C62" w:rsidRPr="00475DA9">
        <w:rPr>
          <w:i/>
        </w:rPr>
        <w:t xml:space="preserve">transhipment </w:t>
      </w:r>
      <w:r w:rsidR="00C43A9F" w:rsidRPr="00475DA9">
        <w:rPr>
          <w:i/>
        </w:rPr>
        <w:tab/>
      </w:r>
      <w:r w:rsidR="00B63C62" w:rsidRPr="00475DA9">
        <w:rPr>
          <w:i/>
        </w:rPr>
        <w:t>between units as appropriate;</w:t>
      </w:r>
      <w:r w:rsidR="00B90585">
        <w:t>”</w:t>
      </w:r>
    </w:p>
    <w:p w:rsidR="009871A9" w:rsidRPr="004660EA" w:rsidRDefault="008F5BDC" w:rsidP="00B63C62">
      <w:pPr>
        <w:pStyle w:val="SingleTxtG"/>
        <w:tabs>
          <w:tab w:val="left" w:pos="1701"/>
        </w:tabs>
        <w:jc w:val="left"/>
        <w:rPr>
          <w:rStyle w:val="SingleTxtGChar"/>
        </w:rPr>
      </w:pPr>
      <w:r>
        <w:t>13.</w:t>
      </w:r>
      <w:r>
        <w:tab/>
      </w:r>
      <w:r w:rsidR="00A87569">
        <w:t>Based on</w:t>
      </w:r>
      <w:r w:rsidR="006266FE">
        <w:t xml:space="preserve"> </w:t>
      </w:r>
      <w:r w:rsidR="00B90585">
        <w:t xml:space="preserve">the discussions and </w:t>
      </w:r>
      <w:r w:rsidR="007D49DB">
        <w:t xml:space="preserve">the </w:t>
      </w:r>
      <w:r w:rsidR="00B90585">
        <w:t xml:space="preserve">facts </w:t>
      </w:r>
      <w:r w:rsidR="007D49DB">
        <w:t xml:space="preserve">that have </w:t>
      </w:r>
      <w:r w:rsidR="00B90585">
        <w:t>emerged during this work</w:t>
      </w:r>
      <w:r w:rsidR="006266FE">
        <w:t xml:space="preserve"> together </w:t>
      </w:r>
      <w:r w:rsidR="002E1FDE">
        <w:t>with the</w:t>
      </w:r>
      <w:r w:rsidR="007D49DB">
        <w:t xml:space="preserve"> </w:t>
      </w:r>
      <w:proofErr w:type="gramStart"/>
      <w:r w:rsidR="007D49DB">
        <w:t xml:space="preserve">aforementioned </w:t>
      </w:r>
      <w:r w:rsidR="00B90585">
        <w:t>reasoning</w:t>
      </w:r>
      <w:proofErr w:type="gramEnd"/>
      <w:r w:rsidR="007D49DB">
        <w:t>, Sweden suggest</w:t>
      </w:r>
      <w:r w:rsidR="00AD1A73">
        <w:t>s</w:t>
      </w:r>
      <w:r w:rsidR="007D49DB">
        <w:t xml:space="preserve"> that a reference to the security plans in sub-section 1.10.3.2 is inserted in</w:t>
      </w:r>
      <w:r w:rsidR="00B90585">
        <w:t xml:space="preserve"> </w:t>
      </w:r>
      <w:r w:rsidR="007D49DB">
        <w:t>relevant parts of</w:t>
      </w:r>
      <w:r w:rsidR="00A87569">
        <w:t xml:space="preserve"> the S-provisions in</w:t>
      </w:r>
      <w:r w:rsidR="007D49DB">
        <w:t xml:space="preserve"> Chapter 8.5.</w:t>
      </w:r>
      <w:r w:rsidR="00B90585">
        <w:t xml:space="preserve"> </w:t>
      </w:r>
    </w:p>
    <w:p w:rsidR="00943CBC" w:rsidRDefault="00943CBC" w:rsidP="00A87569">
      <w:pPr>
        <w:pStyle w:val="HChG"/>
        <w:ind w:left="0" w:firstLine="0"/>
      </w:pPr>
      <w:r>
        <w:br w:type="page"/>
      </w:r>
    </w:p>
    <w:p w:rsidR="009871A9" w:rsidRDefault="00C87420" w:rsidP="00C87420">
      <w:pPr>
        <w:pStyle w:val="HChG"/>
      </w:pPr>
      <w:r>
        <w:lastRenderedPageBreak/>
        <w:tab/>
      </w:r>
      <w:r>
        <w:tab/>
      </w:r>
      <w:r w:rsidR="009871A9" w:rsidRPr="004660EA">
        <w:t>Proposal</w:t>
      </w:r>
      <w:r w:rsidR="000B3A89">
        <w:t>s</w:t>
      </w:r>
    </w:p>
    <w:p w:rsidR="008C57F1" w:rsidRDefault="008F5BDC" w:rsidP="00C87420">
      <w:pPr>
        <w:ind w:left="1134"/>
      </w:pPr>
      <w:r>
        <w:t>14.</w:t>
      </w:r>
      <w:r>
        <w:tab/>
      </w:r>
      <w:r w:rsidR="00093EA1">
        <w:t xml:space="preserve">Amend the text in </w:t>
      </w:r>
      <w:r w:rsidR="00B316E7">
        <w:t>the additional provision S1(6) in chapter 8.5</w:t>
      </w:r>
      <w:r w:rsidR="00093EA1">
        <w:t xml:space="preserve"> as follows (changes underlined):</w:t>
      </w:r>
    </w:p>
    <w:p w:rsidR="009871A9" w:rsidRDefault="008F5BDC" w:rsidP="008F5BDC">
      <w:pPr>
        <w:spacing w:before="120" w:after="120"/>
        <w:ind w:left="1134"/>
        <w:rPr>
          <w:b/>
          <w:i/>
        </w:rPr>
      </w:pPr>
      <w:r>
        <w:rPr>
          <w:b/>
        </w:rPr>
        <w:t>“</w:t>
      </w:r>
      <w:r w:rsidR="00105C84">
        <w:rPr>
          <w:b/>
        </w:rPr>
        <w:t>S1</w:t>
      </w:r>
      <w:r w:rsidR="000B04BB">
        <w:rPr>
          <w:b/>
        </w:rPr>
        <w:t>(6</w:t>
      </w:r>
      <w:proofErr w:type="gramStart"/>
      <w:r w:rsidR="000B04BB">
        <w:rPr>
          <w:b/>
        </w:rPr>
        <w:t xml:space="preserve">)  </w:t>
      </w:r>
      <w:r w:rsidR="000B04BB">
        <w:rPr>
          <w:b/>
        </w:rPr>
        <w:tab/>
      </w:r>
      <w:proofErr w:type="gramEnd"/>
      <w:r w:rsidR="000B04BB">
        <w:rPr>
          <w:b/>
        </w:rPr>
        <w:t xml:space="preserve">      </w:t>
      </w:r>
      <w:r w:rsidR="009871A9" w:rsidRPr="00316A1D">
        <w:rPr>
          <w:b/>
          <w:i/>
        </w:rPr>
        <w:t>Supervision of vehicles</w:t>
      </w:r>
    </w:p>
    <w:p w:rsidR="00077684" w:rsidRPr="00381334" w:rsidRDefault="00377B03" w:rsidP="00C87420">
      <w:pPr>
        <w:tabs>
          <w:tab w:val="left" w:pos="-1227"/>
          <w:tab w:val="left" w:pos="-72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1985" w:right="1134" w:hanging="1985"/>
        <w:jc w:val="both"/>
      </w:pPr>
      <w:r>
        <w:tab/>
      </w:r>
      <w:r w:rsidR="009871A9" w:rsidRPr="00381334">
        <w:t>The requirements of Chapter 8.4 shall be applicable only when substances and articles of Class 1 having a total net mass of explosive substance above the limits set below are carried in a vehicle:</w:t>
      </w:r>
    </w:p>
    <w:tbl>
      <w:tblPr>
        <w:tblW w:w="7654" w:type="dxa"/>
        <w:tblInd w:w="2055" w:type="dxa"/>
        <w:tblLayout w:type="fixed"/>
        <w:tblCellMar>
          <w:left w:w="70" w:type="dxa"/>
          <w:right w:w="70" w:type="dxa"/>
        </w:tblCellMar>
        <w:tblLook w:val="0000" w:firstRow="0" w:lastRow="0" w:firstColumn="0" w:lastColumn="0" w:noHBand="0" w:noVBand="0"/>
      </w:tblPr>
      <w:tblGrid>
        <w:gridCol w:w="6309"/>
        <w:gridCol w:w="1345"/>
      </w:tblGrid>
      <w:tr w:rsidR="009871A9" w:rsidRPr="00041B7F" w:rsidTr="00AB71DC">
        <w:trPr>
          <w:cantSplit/>
        </w:trPr>
        <w:tc>
          <w:tcPr>
            <w:tcW w:w="6309" w:type="dxa"/>
          </w:tcPr>
          <w:p w:rsidR="009871A9" w:rsidRPr="00041B7F" w:rsidRDefault="009871A9" w:rsidP="00DC061F">
            <w:pPr>
              <w:keepNext/>
              <w:keepLines/>
              <w:tabs>
                <w:tab w:val="left" w:pos="1418"/>
              </w:tabs>
              <w:jc w:val="both"/>
            </w:pPr>
            <w:r w:rsidRPr="00041B7F">
              <w:t>Division 1.1:</w:t>
            </w:r>
          </w:p>
        </w:tc>
        <w:tc>
          <w:tcPr>
            <w:tcW w:w="1345" w:type="dxa"/>
          </w:tcPr>
          <w:p w:rsidR="009871A9" w:rsidRPr="00041B7F" w:rsidRDefault="009871A9" w:rsidP="00DC061F">
            <w:pPr>
              <w:keepNext/>
              <w:keepLines/>
              <w:tabs>
                <w:tab w:val="left" w:pos="1418"/>
              </w:tabs>
              <w:jc w:val="center"/>
            </w:pPr>
            <w:r w:rsidRPr="00041B7F">
              <w:t>0 kg</w:t>
            </w:r>
          </w:p>
        </w:tc>
      </w:tr>
      <w:tr w:rsidR="009871A9" w:rsidRPr="00041B7F" w:rsidTr="00AB71DC">
        <w:trPr>
          <w:cantSplit/>
        </w:trPr>
        <w:tc>
          <w:tcPr>
            <w:tcW w:w="6309" w:type="dxa"/>
          </w:tcPr>
          <w:p w:rsidR="009871A9" w:rsidRPr="00041B7F" w:rsidRDefault="009871A9" w:rsidP="00DC061F">
            <w:pPr>
              <w:keepNext/>
              <w:keepLines/>
              <w:tabs>
                <w:tab w:val="left" w:pos="1418"/>
              </w:tabs>
              <w:jc w:val="both"/>
            </w:pPr>
            <w:r w:rsidRPr="00041B7F">
              <w:t>Division 1.2:</w:t>
            </w:r>
          </w:p>
        </w:tc>
        <w:tc>
          <w:tcPr>
            <w:tcW w:w="1345" w:type="dxa"/>
          </w:tcPr>
          <w:p w:rsidR="009871A9" w:rsidRPr="00041B7F" w:rsidRDefault="009871A9" w:rsidP="00DC061F">
            <w:pPr>
              <w:keepNext/>
              <w:keepLines/>
              <w:tabs>
                <w:tab w:val="left" w:pos="1418"/>
              </w:tabs>
              <w:jc w:val="center"/>
            </w:pPr>
            <w:r w:rsidRPr="00041B7F">
              <w:t>0 kg</w:t>
            </w:r>
          </w:p>
        </w:tc>
      </w:tr>
      <w:tr w:rsidR="009871A9" w:rsidRPr="00041B7F" w:rsidTr="00AB71DC">
        <w:trPr>
          <w:cantSplit/>
        </w:trPr>
        <w:tc>
          <w:tcPr>
            <w:tcW w:w="6309" w:type="dxa"/>
          </w:tcPr>
          <w:p w:rsidR="009871A9" w:rsidRPr="00041B7F" w:rsidRDefault="009871A9" w:rsidP="00DC061F">
            <w:pPr>
              <w:keepNext/>
              <w:keepLines/>
              <w:tabs>
                <w:tab w:val="left" w:pos="1418"/>
              </w:tabs>
              <w:jc w:val="both"/>
            </w:pPr>
            <w:r w:rsidRPr="00041B7F">
              <w:t>Division 1.3, compatibility group C:</w:t>
            </w:r>
          </w:p>
        </w:tc>
        <w:tc>
          <w:tcPr>
            <w:tcW w:w="1345" w:type="dxa"/>
          </w:tcPr>
          <w:p w:rsidR="009871A9" w:rsidRPr="00041B7F" w:rsidRDefault="009871A9" w:rsidP="00DC061F">
            <w:pPr>
              <w:keepNext/>
              <w:keepLines/>
              <w:tabs>
                <w:tab w:val="left" w:pos="1418"/>
              </w:tabs>
              <w:jc w:val="center"/>
              <w:rPr>
                <w:bCs/>
              </w:rPr>
            </w:pPr>
            <w:r w:rsidRPr="00041B7F">
              <w:rPr>
                <w:bCs/>
              </w:rPr>
              <w:t>0 kg</w:t>
            </w:r>
          </w:p>
        </w:tc>
      </w:tr>
      <w:tr w:rsidR="009871A9" w:rsidRPr="00981F8E" w:rsidTr="00AB71DC">
        <w:trPr>
          <w:cantSplit/>
        </w:trPr>
        <w:tc>
          <w:tcPr>
            <w:tcW w:w="6309" w:type="dxa"/>
          </w:tcPr>
          <w:p w:rsidR="009871A9" w:rsidRPr="00981F8E" w:rsidRDefault="009871A9" w:rsidP="00DC061F">
            <w:pPr>
              <w:keepNext/>
              <w:keepLines/>
              <w:tabs>
                <w:tab w:val="left" w:pos="1418"/>
              </w:tabs>
              <w:jc w:val="both"/>
            </w:pPr>
            <w:r w:rsidRPr="00981F8E">
              <w:t>Division 1.3, other than compatibility group C:</w:t>
            </w:r>
          </w:p>
        </w:tc>
        <w:tc>
          <w:tcPr>
            <w:tcW w:w="1345" w:type="dxa"/>
            <w:vAlign w:val="bottom"/>
          </w:tcPr>
          <w:p w:rsidR="009871A9" w:rsidRPr="00981F8E" w:rsidRDefault="009871A9" w:rsidP="00DC061F">
            <w:pPr>
              <w:keepNext/>
              <w:keepLines/>
              <w:tabs>
                <w:tab w:val="left" w:pos="1418"/>
              </w:tabs>
              <w:jc w:val="center"/>
              <w:rPr>
                <w:bCs/>
              </w:rPr>
            </w:pPr>
            <w:r w:rsidRPr="00981F8E">
              <w:t>50 kg</w:t>
            </w:r>
          </w:p>
        </w:tc>
      </w:tr>
      <w:tr w:rsidR="009871A9" w:rsidRPr="00981F8E" w:rsidTr="00AB71DC">
        <w:trPr>
          <w:cantSplit/>
        </w:trPr>
        <w:tc>
          <w:tcPr>
            <w:tcW w:w="6309" w:type="dxa"/>
          </w:tcPr>
          <w:p w:rsidR="009871A9" w:rsidRPr="00981F8E" w:rsidRDefault="009871A9" w:rsidP="00DC061F">
            <w:pPr>
              <w:keepNext/>
              <w:keepLines/>
              <w:tabs>
                <w:tab w:val="left" w:pos="1418"/>
              </w:tabs>
              <w:jc w:val="both"/>
            </w:pPr>
            <w:r w:rsidRPr="00981F8E">
              <w:t>Division 1.4, other than those listed below:</w:t>
            </w:r>
          </w:p>
        </w:tc>
        <w:tc>
          <w:tcPr>
            <w:tcW w:w="1345" w:type="dxa"/>
          </w:tcPr>
          <w:p w:rsidR="009871A9" w:rsidRPr="00981F8E" w:rsidRDefault="009871A9" w:rsidP="00DC061F">
            <w:pPr>
              <w:keepNext/>
              <w:keepLines/>
              <w:tabs>
                <w:tab w:val="left" w:pos="1418"/>
              </w:tabs>
              <w:jc w:val="center"/>
            </w:pPr>
            <w:r w:rsidRPr="00981F8E">
              <w:t>50 kg</w:t>
            </w:r>
          </w:p>
        </w:tc>
      </w:tr>
      <w:tr w:rsidR="009871A9" w:rsidRPr="00981F8E" w:rsidTr="00AB71DC">
        <w:trPr>
          <w:cantSplit/>
        </w:trPr>
        <w:tc>
          <w:tcPr>
            <w:tcW w:w="6309" w:type="dxa"/>
          </w:tcPr>
          <w:p w:rsidR="009871A9" w:rsidRPr="00981F8E" w:rsidRDefault="009871A9" w:rsidP="00DC061F">
            <w:pPr>
              <w:keepNext/>
              <w:keepLines/>
              <w:tabs>
                <w:tab w:val="left" w:pos="1418"/>
              </w:tabs>
              <w:jc w:val="both"/>
            </w:pPr>
            <w:r w:rsidRPr="00981F8E">
              <w:t>Division 1.5:</w:t>
            </w:r>
          </w:p>
        </w:tc>
        <w:tc>
          <w:tcPr>
            <w:tcW w:w="1345" w:type="dxa"/>
          </w:tcPr>
          <w:p w:rsidR="009871A9" w:rsidRPr="00981F8E" w:rsidRDefault="009871A9" w:rsidP="00DC061F">
            <w:pPr>
              <w:keepNext/>
              <w:keepLines/>
              <w:tabs>
                <w:tab w:val="left" w:pos="1418"/>
              </w:tabs>
              <w:jc w:val="center"/>
            </w:pPr>
            <w:r w:rsidRPr="00981F8E">
              <w:t>0 kg</w:t>
            </w:r>
          </w:p>
        </w:tc>
      </w:tr>
      <w:tr w:rsidR="009871A9" w:rsidRPr="00041B7F" w:rsidTr="00AB71DC">
        <w:trPr>
          <w:cantSplit/>
        </w:trPr>
        <w:tc>
          <w:tcPr>
            <w:tcW w:w="6309" w:type="dxa"/>
          </w:tcPr>
          <w:p w:rsidR="009871A9" w:rsidRPr="00981F8E" w:rsidRDefault="009871A9" w:rsidP="00DC061F">
            <w:pPr>
              <w:keepNext/>
              <w:keepLines/>
              <w:tabs>
                <w:tab w:val="left" w:pos="1418"/>
              </w:tabs>
              <w:jc w:val="both"/>
            </w:pPr>
            <w:r w:rsidRPr="00981F8E">
              <w:t>Division 1.6:</w:t>
            </w:r>
          </w:p>
        </w:tc>
        <w:tc>
          <w:tcPr>
            <w:tcW w:w="1345" w:type="dxa"/>
          </w:tcPr>
          <w:p w:rsidR="009871A9" w:rsidRPr="00981F8E" w:rsidRDefault="009871A9" w:rsidP="00DC061F">
            <w:pPr>
              <w:keepNext/>
              <w:keepLines/>
              <w:tabs>
                <w:tab w:val="left" w:pos="1418"/>
              </w:tabs>
              <w:jc w:val="center"/>
            </w:pPr>
            <w:r w:rsidRPr="00981F8E">
              <w:t>50 kg</w:t>
            </w:r>
          </w:p>
        </w:tc>
      </w:tr>
      <w:tr w:rsidR="009871A9" w:rsidRPr="00041B7F" w:rsidTr="00AB71DC">
        <w:trPr>
          <w:cantSplit/>
        </w:trPr>
        <w:tc>
          <w:tcPr>
            <w:tcW w:w="6309" w:type="dxa"/>
          </w:tcPr>
          <w:p w:rsidR="009871A9" w:rsidRPr="00381334" w:rsidRDefault="009871A9" w:rsidP="00DC061F">
            <w:pPr>
              <w:keepNext/>
              <w:keepLines/>
              <w:tabs>
                <w:tab w:val="left" w:pos="1418"/>
              </w:tabs>
              <w:jc w:val="both"/>
            </w:pPr>
            <w:r w:rsidRPr="00381334">
              <w:t>Substances and articles of Division 1.4 belonging to UN numbers 0104, 0237,0255, 0267, 0289, 0361, 0365, 0366, 0440, 0441, 0455, 0456 and 0500:</w:t>
            </w:r>
            <w:r w:rsidRPr="00381334">
              <w:tab/>
            </w:r>
          </w:p>
        </w:tc>
        <w:tc>
          <w:tcPr>
            <w:tcW w:w="1345" w:type="dxa"/>
            <w:vAlign w:val="bottom"/>
          </w:tcPr>
          <w:p w:rsidR="009871A9" w:rsidRPr="00041B7F" w:rsidRDefault="009871A9" w:rsidP="00DC061F">
            <w:pPr>
              <w:keepNext/>
              <w:keepLines/>
              <w:tabs>
                <w:tab w:val="left" w:pos="1418"/>
              </w:tabs>
              <w:jc w:val="center"/>
            </w:pPr>
            <w:r w:rsidRPr="00041B7F">
              <w:t>0 kg</w:t>
            </w:r>
          </w:p>
        </w:tc>
      </w:tr>
    </w:tbl>
    <w:p w:rsidR="009871A9" w:rsidRPr="00381334" w:rsidRDefault="009871A9" w:rsidP="00AB71DC">
      <w:pPr>
        <w:tabs>
          <w:tab w:val="left" w:pos="-1227"/>
          <w:tab w:val="left" w:pos="-72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80"/>
        <w:ind w:left="1985" w:right="1134" w:hanging="1985"/>
        <w:jc w:val="both"/>
      </w:pPr>
      <w:r w:rsidRPr="00381334">
        <w:tab/>
        <w:t xml:space="preserve">For mixed </w:t>
      </w:r>
      <w:proofErr w:type="gramStart"/>
      <w:r w:rsidRPr="00381334">
        <w:t>loads</w:t>
      </w:r>
      <w:proofErr w:type="gramEnd"/>
      <w:r w:rsidRPr="00381334">
        <w:t xml:space="preserve"> the lowest limit applicable to any of the substances or articles carried shall be used for the load as a whole.</w:t>
      </w:r>
    </w:p>
    <w:p w:rsidR="009871A9" w:rsidRPr="00381334" w:rsidRDefault="009871A9" w:rsidP="00AB71DC">
      <w:pPr>
        <w:tabs>
          <w:tab w:val="left" w:pos="-1227"/>
          <w:tab w:val="left" w:pos="-72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180"/>
        <w:ind w:left="1985" w:right="1134" w:hanging="1985"/>
        <w:jc w:val="both"/>
      </w:pPr>
      <w:r w:rsidRPr="00381334">
        <w:tab/>
        <w:t>In addition, these substances and articles</w:t>
      </w:r>
      <w:r w:rsidRPr="00316A1D">
        <w:rPr>
          <w:u w:val="single"/>
        </w:rPr>
        <w:t>, when subject to the provisions in Section 1.10.3,</w:t>
      </w:r>
      <w:r>
        <w:rPr>
          <w:u w:val="single"/>
        </w:rPr>
        <w:t xml:space="preserve"> </w:t>
      </w:r>
      <w:r w:rsidRPr="00381334">
        <w:t xml:space="preserve">shall be supervised </w:t>
      </w:r>
      <w:r w:rsidRPr="00316A1D">
        <w:rPr>
          <w:u w:val="single"/>
        </w:rPr>
        <w:t xml:space="preserve">in accordance with the security plan 1.10.3.2 </w:t>
      </w:r>
      <w:r w:rsidRPr="00381334">
        <w:t>at all times</w:t>
      </w:r>
      <w:r>
        <w:t xml:space="preserve"> </w:t>
      </w:r>
      <w:r w:rsidRPr="00381334">
        <w:t>in order to prevent any malicious act and to alert the driver and the competent authorities in the event of loss or fire.</w:t>
      </w:r>
    </w:p>
    <w:p w:rsidR="009871A9" w:rsidRDefault="009871A9" w:rsidP="00AB71DC">
      <w:pPr>
        <w:tabs>
          <w:tab w:val="left" w:pos="-1227"/>
          <w:tab w:val="left" w:pos="-72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180"/>
        <w:ind w:left="1985" w:right="1134" w:hanging="1985"/>
        <w:jc w:val="both"/>
      </w:pPr>
      <w:r w:rsidRPr="00381334">
        <w:tab/>
        <w:t xml:space="preserve">Empty uncleaned </w:t>
      </w:r>
      <w:proofErr w:type="spellStart"/>
      <w:r w:rsidRPr="00381334">
        <w:t>packagings</w:t>
      </w:r>
      <w:proofErr w:type="spellEnd"/>
      <w:r w:rsidRPr="00381334">
        <w:t xml:space="preserve"> are exempted.</w:t>
      </w:r>
      <w:r w:rsidR="008F5BDC">
        <w:t>”</w:t>
      </w:r>
    </w:p>
    <w:p w:rsidR="009871A9" w:rsidRDefault="008F5BDC" w:rsidP="00AB71DC">
      <w:pPr>
        <w:ind w:left="1134" w:right="1134"/>
      </w:pPr>
      <w:r>
        <w:t>15.</w:t>
      </w:r>
      <w:r>
        <w:tab/>
      </w:r>
      <w:r w:rsidR="00093EA1">
        <w:t xml:space="preserve">Amend the text in </w:t>
      </w:r>
      <w:r w:rsidR="00105C84">
        <w:t>the additional provision S16 in chapter 8.5</w:t>
      </w:r>
      <w:r w:rsidR="00093EA1">
        <w:t xml:space="preserve"> as follows (changes stricken through/underlined):</w:t>
      </w:r>
    </w:p>
    <w:p w:rsidR="008F5BDC" w:rsidRDefault="008F5BDC" w:rsidP="008F5BDC">
      <w:pPr>
        <w:spacing w:before="120" w:after="120"/>
        <w:ind w:left="1689" w:hanging="555"/>
      </w:pPr>
      <w:r>
        <w:rPr>
          <w:b/>
        </w:rPr>
        <w:t>“</w:t>
      </w:r>
      <w:r w:rsidR="009871A9" w:rsidRPr="00316A1D">
        <w:rPr>
          <w:b/>
        </w:rPr>
        <w:t>S16:</w:t>
      </w:r>
      <w:r w:rsidR="009871A9" w:rsidRPr="00316A1D">
        <w:rPr>
          <w:b/>
        </w:rPr>
        <w:tab/>
      </w:r>
      <w:r w:rsidR="009871A9" w:rsidRPr="00316A1D">
        <w:t>The provisions of Chapter 8.4 concerning the supervision of vehicles shall apply when the total mass of these substances in the vehicle exceeds 500 kg.</w:t>
      </w:r>
      <w:r w:rsidR="00105C84">
        <w:t xml:space="preserve"> </w:t>
      </w:r>
    </w:p>
    <w:p w:rsidR="009871A9" w:rsidRDefault="009871A9" w:rsidP="008F5BDC">
      <w:pPr>
        <w:spacing w:before="120" w:after="120"/>
        <w:ind w:left="1701" w:right="1134"/>
        <w:jc w:val="both"/>
      </w:pPr>
      <w:r w:rsidRPr="00316A1D">
        <w:t xml:space="preserve">In addition, vehicles carrying more than </w:t>
      </w:r>
      <w:r w:rsidRPr="00316A1D">
        <w:rPr>
          <w:rFonts w:cstheme="minorHAnsi"/>
          <w:u w:val="single"/>
        </w:rPr>
        <w:t>[</w:t>
      </w:r>
      <w:r w:rsidRPr="00316A1D">
        <w:t>500</w:t>
      </w:r>
      <w:r w:rsidRPr="00316A1D">
        <w:rPr>
          <w:rFonts w:cstheme="minorHAnsi"/>
          <w:u w:val="single"/>
        </w:rPr>
        <w:t>]</w:t>
      </w:r>
      <w:r w:rsidRPr="00316A1D">
        <w:t> kg of these substances shall</w:t>
      </w:r>
      <w:r w:rsidRPr="00316A1D">
        <w:rPr>
          <w:u w:val="single"/>
        </w:rPr>
        <w:t xml:space="preserve">, when </w:t>
      </w:r>
      <w:proofErr w:type="gramStart"/>
      <w:r w:rsidRPr="00316A1D">
        <w:rPr>
          <w:u w:val="single"/>
        </w:rPr>
        <w:t>subject</w:t>
      </w:r>
      <w:r>
        <w:rPr>
          <w:u w:val="single"/>
        </w:rPr>
        <w:t xml:space="preserve"> </w:t>
      </w:r>
      <w:r w:rsidRPr="00316A1D">
        <w:rPr>
          <w:u w:val="single"/>
        </w:rPr>
        <w:t xml:space="preserve"> to</w:t>
      </w:r>
      <w:proofErr w:type="gramEnd"/>
      <w:r w:rsidRPr="00316A1D">
        <w:rPr>
          <w:u w:val="single"/>
        </w:rPr>
        <w:t xml:space="preserve"> the provisions in Section 1.10.3,</w:t>
      </w:r>
      <w:r>
        <w:rPr>
          <w:u w:val="single"/>
        </w:rPr>
        <w:t xml:space="preserve"> </w:t>
      </w:r>
      <w:r w:rsidRPr="00316A1D">
        <w:t xml:space="preserve"> be </w:t>
      </w:r>
      <w:r w:rsidRPr="00316A1D">
        <w:rPr>
          <w:strike/>
        </w:rPr>
        <w:t xml:space="preserve">subject </w:t>
      </w:r>
      <w:r w:rsidRPr="00316A1D">
        <w:rPr>
          <w:u w:val="single"/>
        </w:rPr>
        <w:t xml:space="preserve">supervised in accordance with the security plan 1.10.3.2 </w:t>
      </w:r>
      <w:r w:rsidRPr="00316A1D">
        <w:t xml:space="preserve">at all times </w:t>
      </w:r>
      <w:r w:rsidRPr="00316A1D">
        <w:rPr>
          <w:strike/>
        </w:rPr>
        <w:t>to supervision</w:t>
      </w:r>
      <w:r w:rsidRPr="00316A1D">
        <w:t xml:space="preserve"> to prevent any malicious act and to alert the driver and competent authorities in the event of loss or fire.</w:t>
      </w:r>
      <w:r w:rsidR="008F5BDC">
        <w:t>”</w:t>
      </w:r>
    </w:p>
    <w:p w:rsidR="00105C84" w:rsidRDefault="008F5BDC" w:rsidP="008F5BDC">
      <w:pPr>
        <w:spacing w:before="120" w:after="120"/>
        <w:ind w:left="1134" w:right="1134"/>
      </w:pPr>
      <w:r>
        <w:t>16.</w:t>
      </w:r>
      <w:r>
        <w:tab/>
      </w:r>
      <w:r w:rsidR="005B246A">
        <w:t xml:space="preserve">Amend the text in </w:t>
      </w:r>
      <w:r w:rsidR="00105C84">
        <w:t>the additional provision S21 in c</w:t>
      </w:r>
      <w:r w:rsidR="005B246A">
        <w:t xml:space="preserve">hapter 8.5 as follows (changes stricken </w:t>
      </w:r>
      <w:r w:rsidR="000B3A89">
        <w:t>through</w:t>
      </w:r>
      <w:r w:rsidR="00105C84">
        <w:t>/underlined):</w:t>
      </w:r>
    </w:p>
    <w:p w:rsidR="009871A9" w:rsidRDefault="008F5BDC" w:rsidP="008F5BDC">
      <w:pPr>
        <w:spacing w:before="120" w:after="120"/>
        <w:ind w:left="1689" w:right="992" w:hanging="555"/>
      </w:pPr>
      <w:r>
        <w:rPr>
          <w:b/>
        </w:rPr>
        <w:t>“</w:t>
      </w:r>
      <w:r w:rsidR="009871A9" w:rsidRPr="00316A1D">
        <w:rPr>
          <w:b/>
        </w:rPr>
        <w:t>S21:</w:t>
      </w:r>
      <w:r w:rsidR="009871A9" w:rsidRPr="00316A1D">
        <w:tab/>
        <w:t xml:space="preserve">The provisions of Chapter 8.4 concerning the supervision of vehicles shall apply to all material, in whatever mass. </w:t>
      </w:r>
      <w:r w:rsidR="009871A9" w:rsidRPr="00316A1D">
        <w:rPr>
          <w:strike/>
        </w:rPr>
        <w:t xml:space="preserve">In addition, these goods shall be subject at all times to supervision to prevent any malicious act and to alert the driver and the competent authorities in the event of loss or fire. </w:t>
      </w:r>
      <w:r w:rsidR="009871A9" w:rsidRPr="00316A1D">
        <w:t>However, the provisions of Chapter 8.4 need not be applied where:</w:t>
      </w:r>
    </w:p>
    <w:p w:rsidR="00952522" w:rsidRDefault="00AB71DC" w:rsidP="00AB71DC">
      <w:pPr>
        <w:tabs>
          <w:tab w:val="left" w:pos="-1227"/>
          <w:tab w:val="left" w:pos="-720"/>
          <w:tab w:val="left" w:pos="0"/>
          <w:tab w:val="left" w:pos="1440"/>
          <w:tab w:val="left" w:pos="156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1985" w:right="1134" w:hanging="567"/>
        <w:jc w:val="both"/>
      </w:pPr>
      <w:r>
        <w:tab/>
      </w:r>
      <w:r>
        <w:tab/>
      </w:r>
      <w:r>
        <w:tab/>
      </w:r>
      <w:r w:rsidR="009871A9" w:rsidRPr="00316A1D">
        <w:t>(a)</w:t>
      </w:r>
      <w:r w:rsidR="009871A9" w:rsidRPr="00316A1D">
        <w:tab/>
        <w:t xml:space="preserve">The loaded compartment is locked or the packages carried are otherwise protected </w:t>
      </w:r>
      <w:r w:rsidR="009871A9">
        <w:tab/>
      </w:r>
      <w:r w:rsidR="009871A9" w:rsidRPr="00316A1D">
        <w:t>against illicit unloading; and</w:t>
      </w:r>
    </w:p>
    <w:p w:rsidR="00952522" w:rsidRDefault="009871A9" w:rsidP="00AB71DC">
      <w:pPr>
        <w:tabs>
          <w:tab w:val="left" w:pos="-1227"/>
          <w:tab w:val="left" w:pos="-720"/>
          <w:tab w:val="left" w:pos="0"/>
          <w:tab w:val="left" w:pos="1985"/>
          <w:tab w:val="left" w:pos="2552"/>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1985" w:right="1134" w:hanging="567"/>
        <w:jc w:val="both"/>
      </w:pPr>
      <w:r w:rsidRPr="00316A1D">
        <w:tab/>
        <w:t>(b)</w:t>
      </w:r>
      <w:r w:rsidRPr="00316A1D">
        <w:tab/>
        <w:t>The dose rate does not exceed 5</w:t>
      </w:r>
      <w:r w:rsidRPr="00041B7F">
        <w:sym w:font="Symbol" w:char="F06D"/>
      </w:r>
      <w:proofErr w:type="spellStart"/>
      <w:r w:rsidRPr="00316A1D">
        <w:t>Sv</w:t>
      </w:r>
      <w:proofErr w:type="spellEnd"/>
      <w:r w:rsidRPr="00316A1D">
        <w:t>/h at any accessible point on the outer surface of the vehicle.</w:t>
      </w:r>
      <w:r w:rsidR="00952522">
        <w:t xml:space="preserve"> </w:t>
      </w:r>
    </w:p>
    <w:p w:rsidR="009871A9" w:rsidRPr="00C90DAA" w:rsidRDefault="009871A9" w:rsidP="00C90DAA">
      <w:pPr>
        <w:pStyle w:val="SingleTxtG"/>
        <w:rPr>
          <w:u w:val="single"/>
        </w:rPr>
      </w:pPr>
      <w:r>
        <w:lastRenderedPageBreak/>
        <w:tab/>
      </w:r>
      <w:r w:rsidRPr="00C90DAA">
        <w:rPr>
          <w:u w:val="single"/>
        </w:rPr>
        <w:t>In addition, these goods shall, when subject to the provisions in Section 1.10.3, be supervised</w:t>
      </w:r>
      <w:r w:rsidRPr="00C90DAA">
        <w:rPr>
          <w:u w:val="single"/>
        </w:rPr>
        <w:br/>
        <w:t>in accordance with the security plan in sub-section 1.10.3.2 at all times to prevent any malicious act and to alert the driver and the competent authorities in the event of loss or fire.</w:t>
      </w:r>
      <w:r w:rsidR="00986A51">
        <w:rPr>
          <w:u w:val="single"/>
        </w:rPr>
        <w:t>”</w:t>
      </w:r>
      <w:bookmarkStart w:id="0" w:name="_GoBack"/>
      <w:bookmarkEnd w:id="0"/>
    </w:p>
    <w:p w:rsidR="00942920" w:rsidRPr="001A4E27" w:rsidRDefault="00942920" w:rsidP="00AB71DC">
      <w:pPr>
        <w:pStyle w:val="HChG"/>
      </w:pPr>
      <w:r>
        <w:tab/>
      </w:r>
      <w:r>
        <w:tab/>
      </w:r>
      <w:r w:rsidRPr="001A4E27">
        <w:t xml:space="preserve">Justification </w:t>
      </w:r>
    </w:p>
    <w:p w:rsidR="000001BC" w:rsidRDefault="00144DA2" w:rsidP="00AB71DC">
      <w:pPr>
        <w:pStyle w:val="SingleTxtG"/>
        <w:rPr>
          <w:rStyle w:val="SingleTxtGChar"/>
          <w:rFonts w:eastAsiaTheme="minorHAnsi"/>
        </w:rPr>
      </w:pPr>
      <w:r w:rsidRPr="001A4E27">
        <w:rPr>
          <w:rStyle w:val="SingleTxtGChar"/>
          <w:rFonts w:eastAsiaTheme="minorHAnsi"/>
        </w:rPr>
        <w:tab/>
      </w:r>
      <w:r w:rsidR="00F840B5">
        <w:rPr>
          <w:rStyle w:val="SingleTxtGChar"/>
          <w:rFonts w:eastAsiaTheme="minorHAnsi"/>
        </w:rPr>
        <w:t>17.</w:t>
      </w:r>
      <w:r w:rsidR="00F840B5">
        <w:rPr>
          <w:rStyle w:val="SingleTxtGChar"/>
          <w:rFonts w:eastAsiaTheme="minorHAnsi"/>
        </w:rPr>
        <w:tab/>
      </w:r>
      <w:r w:rsidRPr="00144DA2">
        <w:rPr>
          <w:rStyle w:val="SingleTxtGChar"/>
          <w:rFonts w:eastAsiaTheme="minorHAnsi"/>
        </w:rPr>
        <w:t xml:space="preserve">Chapter 1.10 deals with provisions concerning security. </w:t>
      </w:r>
      <w:r>
        <w:rPr>
          <w:rStyle w:val="SingleTxtGChar"/>
          <w:rFonts w:eastAsiaTheme="minorHAnsi"/>
        </w:rPr>
        <w:t xml:space="preserve">Work has been carried out, and is </w:t>
      </w:r>
      <w:r w:rsidR="00FB752A">
        <w:rPr>
          <w:rStyle w:val="SingleTxtGChar"/>
          <w:rFonts w:eastAsiaTheme="minorHAnsi"/>
        </w:rPr>
        <w:t xml:space="preserve">continuously </w:t>
      </w:r>
      <w:r>
        <w:rPr>
          <w:rStyle w:val="SingleTxtGChar"/>
          <w:rFonts w:eastAsiaTheme="minorHAnsi"/>
        </w:rPr>
        <w:t xml:space="preserve">ongoing, to </w:t>
      </w:r>
      <w:r w:rsidR="003C0D19">
        <w:rPr>
          <w:rStyle w:val="SingleTxtGChar"/>
          <w:rFonts w:eastAsiaTheme="minorHAnsi"/>
        </w:rPr>
        <w:t>e</w:t>
      </w:r>
      <w:r>
        <w:rPr>
          <w:rStyle w:val="SingleTxtGChar"/>
          <w:rFonts w:eastAsiaTheme="minorHAnsi"/>
        </w:rPr>
        <w:t xml:space="preserve">valuate which substances and articles that should be considered as high consequence dangerous goods and for which specific measures should be taken to minimise the risk </w:t>
      </w:r>
      <w:r w:rsidR="00792A45">
        <w:rPr>
          <w:rStyle w:val="SingleTxtGChar"/>
          <w:rFonts w:eastAsiaTheme="minorHAnsi"/>
        </w:rPr>
        <w:t xml:space="preserve">of </w:t>
      </w:r>
      <w:r>
        <w:rPr>
          <w:rStyle w:val="SingleTxtGChar"/>
          <w:rFonts w:eastAsiaTheme="minorHAnsi"/>
        </w:rPr>
        <w:t>theft or misuse</w:t>
      </w:r>
      <w:r w:rsidR="00792A45">
        <w:rPr>
          <w:rStyle w:val="SingleTxtGChar"/>
          <w:rFonts w:eastAsiaTheme="minorHAnsi"/>
        </w:rPr>
        <w:t>.</w:t>
      </w:r>
      <w:r>
        <w:rPr>
          <w:rStyle w:val="SingleTxtGChar"/>
          <w:rFonts w:eastAsiaTheme="minorHAnsi"/>
        </w:rPr>
        <w:t xml:space="preserve"> </w:t>
      </w:r>
      <w:r w:rsidR="00F840B5">
        <w:rPr>
          <w:rStyle w:val="SingleTxtGChar"/>
          <w:rFonts w:eastAsiaTheme="minorHAnsi"/>
        </w:rPr>
        <w:t xml:space="preserve">Introducing a </w:t>
      </w:r>
      <w:r w:rsidR="00792A45">
        <w:rPr>
          <w:rStyle w:val="SingleTxtGChar"/>
          <w:rFonts w:eastAsiaTheme="minorHAnsi"/>
        </w:rPr>
        <w:t>reference in chapter 8.5 to the security plans</w:t>
      </w:r>
      <w:r w:rsidRPr="00144DA2">
        <w:rPr>
          <w:rStyle w:val="SingleTxtGChar"/>
          <w:rFonts w:eastAsiaTheme="minorHAnsi"/>
        </w:rPr>
        <w:t xml:space="preserve"> </w:t>
      </w:r>
      <w:r w:rsidR="00792A45">
        <w:rPr>
          <w:rStyle w:val="SingleTxtGChar"/>
          <w:rFonts w:eastAsiaTheme="minorHAnsi"/>
        </w:rPr>
        <w:t>in chapter 1.10 would therefore make these provisions more consistent.</w:t>
      </w:r>
    </w:p>
    <w:p w:rsidR="00F840B5" w:rsidRDefault="00792A45" w:rsidP="00F840B5">
      <w:pPr>
        <w:pStyle w:val="SingleTxtG"/>
      </w:pPr>
      <w:r>
        <w:rPr>
          <w:rStyle w:val="SingleTxtGChar"/>
          <w:rFonts w:eastAsiaTheme="minorHAnsi"/>
        </w:rPr>
        <w:tab/>
      </w:r>
      <w:r w:rsidR="00F840B5">
        <w:rPr>
          <w:rStyle w:val="SingleTxtGChar"/>
          <w:rFonts w:eastAsiaTheme="minorHAnsi"/>
        </w:rPr>
        <w:t>18.</w:t>
      </w:r>
      <w:r w:rsidR="00F840B5">
        <w:rPr>
          <w:rStyle w:val="SingleTxtGChar"/>
          <w:rFonts w:eastAsiaTheme="minorHAnsi"/>
        </w:rPr>
        <w:tab/>
      </w:r>
      <w:r w:rsidR="00284F4D">
        <w:t>Furthermore, sub-section 1.10.3.3 requires that devices, equipment or arrang</w:t>
      </w:r>
      <w:r w:rsidR="00F840B5">
        <w:t xml:space="preserve">ements to prevent the theft of </w:t>
      </w:r>
      <w:r w:rsidR="00284F4D">
        <w:t xml:space="preserve">the vehicle carrying high consequence dangerous goods and its cargo </w:t>
      </w:r>
      <w:r w:rsidR="003C0D19">
        <w:t>must</w:t>
      </w:r>
      <w:r w:rsidR="00284F4D">
        <w:t xml:space="preserve"> be applied, and measures shall </w:t>
      </w:r>
      <w:r w:rsidR="00C40391">
        <w:t xml:space="preserve">be </w:t>
      </w:r>
      <w:r w:rsidR="00284F4D">
        <w:t xml:space="preserve">taken to ensure that these are operational and effective </w:t>
      </w:r>
      <w:proofErr w:type="gramStart"/>
      <w:r w:rsidR="00284F4D">
        <w:t>at</w:t>
      </w:r>
      <w:r w:rsidR="00AB71DC">
        <w:t xml:space="preserve"> </w:t>
      </w:r>
      <w:r w:rsidR="00284F4D">
        <w:t>all times</w:t>
      </w:r>
      <w:proofErr w:type="gramEnd"/>
      <w:r w:rsidR="00284F4D">
        <w:t>.</w:t>
      </w:r>
    </w:p>
    <w:p w:rsidR="00E63F0B" w:rsidRPr="00284F4D" w:rsidRDefault="00F57D72" w:rsidP="00F57D72">
      <w:pPr>
        <w:autoSpaceDE w:val="0"/>
        <w:autoSpaceDN w:val="0"/>
        <w:spacing w:before="40" w:after="40" w:line="240" w:lineRule="auto"/>
        <w:jc w:val="center"/>
        <w:rPr>
          <w:u w:val="single"/>
        </w:rPr>
      </w:pPr>
      <w:r>
        <w:t>___________________</w:t>
      </w:r>
    </w:p>
    <w:sectPr w:rsidR="00E63F0B" w:rsidRPr="00284F4D" w:rsidSect="00D72FC8">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DB" w:rsidRDefault="00446DDB"/>
  </w:endnote>
  <w:endnote w:type="continuationSeparator" w:id="0">
    <w:p w:rsidR="00446DDB" w:rsidRDefault="00446DDB"/>
  </w:endnote>
  <w:endnote w:type="continuationNotice" w:id="1">
    <w:p w:rsidR="00446DDB" w:rsidRDefault="0044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C" w:rsidRPr="001330DE" w:rsidRDefault="0049389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986A51">
      <w:rPr>
        <w:b/>
        <w:noProof/>
        <w:sz w:val="18"/>
      </w:rPr>
      <w:t>4</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C" w:rsidRPr="001330DE" w:rsidRDefault="0049389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986A51">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DB" w:rsidRPr="000B175B" w:rsidRDefault="00446DDB" w:rsidP="000B175B">
      <w:pPr>
        <w:tabs>
          <w:tab w:val="right" w:pos="2155"/>
        </w:tabs>
        <w:spacing w:after="80"/>
        <w:ind w:left="680"/>
        <w:rPr>
          <w:u w:val="single"/>
        </w:rPr>
      </w:pPr>
      <w:r>
        <w:rPr>
          <w:u w:val="single"/>
        </w:rPr>
        <w:tab/>
      </w:r>
    </w:p>
  </w:footnote>
  <w:footnote w:type="continuationSeparator" w:id="0">
    <w:p w:rsidR="00446DDB" w:rsidRPr="00FC68B7" w:rsidRDefault="00446DDB" w:rsidP="00FC68B7">
      <w:pPr>
        <w:tabs>
          <w:tab w:val="left" w:pos="2155"/>
        </w:tabs>
        <w:spacing w:after="80"/>
        <w:ind w:left="680"/>
        <w:rPr>
          <w:u w:val="single"/>
        </w:rPr>
      </w:pPr>
      <w:r>
        <w:rPr>
          <w:u w:val="single"/>
        </w:rPr>
        <w:tab/>
      </w:r>
    </w:p>
  </w:footnote>
  <w:footnote w:type="continuationNotice" w:id="1">
    <w:p w:rsidR="00446DDB" w:rsidRDefault="00446DDB"/>
  </w:footnote>
  <w:footnote w:id="2">
    <w:p w:rsidR="008617AA" w:rsidRDefault="008617AA" w:rsidP="008617AA">
      <w:pPr>
        <w:pStyle w:val="FootnoteText"/>
        <w:tabs>
          <w:tab w:val="left" w:pos="720"/>
        </w:tabs>
        <w:ind w:left="1418" w:right="1260" w:hanging="284"/>
        <w:jc w:val="both"/>
      </w:pPr>
      <w:r>
        <w:rPr>
          <w:rStyle w:val="FootnoteReference"/>
          <w:sz w:val="20"/>
        </w:rPr>
        <w:sym w:font="Symbol" w:char="F02A"/>
      </w:r>
      <w:r>
        <w:tab/>
      </w:r>
      <w:r>
        <w:rPr>
          <w:color w:val="000000"/>
          <w:lang w:val="en-US" w:eastAsia="en-GB"/>
        </w:rPr>
        <w:t xml:space="preserve">In accordance with the </w:t>
      </w:r>
      <w:proofErr w:type="spellStart"/>
      <w:r>
        <w:rPr>
          <w:color w:val="000000"/>
          <w:lang w:val="en-US" w:eastAsia="en-GB"/>
        </w:rPr>
        <w:t>program</w:t>
      </w:r>
      <w:r w:rsidR="00094AF2">
        <w:rPr>
          <w:color w:val="000000"/>
          <w:lang w:val="en-US" w:eastAsia="en-GB"/>
        </w:rPr>
        <w:t>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C" w:rsidRPr="008617AA" w:rsidRDefault="004577A0" w:rsidP="008617AA">
    <w:pPr>
      <w:pStyle w:val="Header"/>
    </w:pPr>
    <w:r>
      <w:t>ECE/TRANS/WP.15/2019/12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9C" w:rsidRPr="001330DE" w:rsidRDefault="0049389C" w:rsidP="001330DE">
    <w:pPr>
      <w:pStyle w:val="Header"/>
      <w:jc w:val="right"/>
    </w:pPr>
    <w:r w:rsidRPr="001330DE">
      <w:t>ECE/TRANS/WP.15/201</w:t>
    </w:r>
    <w:r w:rsidR="004577A0">
      <w:t>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56BE2"/>
    <w:multiLevelType w:val="hybridMultilevel"/>
    <w:tmpl w:val="ACC2057E"/>
    <w:lvl w:ilvl="0" w:tplc="E16C7D7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3687F"/>
    <w:multiLevelType w:val="hybridMultilevel"/>
    <w:tmpl w:val="3BDAAC92"/>
    <w:lvl w:ilvl="0" w:tplc="C862D454">
      <w:start w:val="1"/>
      <w:numFmt w:val="bullet"/>
      <w:lvlText w:val="-"/>
      <w:lvlJc w:val="left"/>
      <w:pPr>
        <w:ind w:left="2061" w:hanging="360"/>
      </w:pPr>
      <w:rPr>
        <w:rFonts w:ascii="Times New Roman" w:eastAsia="Times New Roman" w:hAnsi="Times New Roman" w:cs="Times New Roman" w:hint="default"/>
        <w:color w:val="auto"/>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16" w15:restartNumberingAfterBreak="0">
    <w:nsid w:val="2A024109"/>
    <w:multiLevelType w:val="hybridMultilevel"/>
    <w:tmpl w:val="C764D37A"/>
    <w:lvl w:ilvl="0" w:tplc="89947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9F7141"/>
    <w:multiLevelType w:val="hybridMultilevel"/>
    <w:tmpl w:val="198EB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64261"/>
    <w:multiLevelType w:val="hybridMultilevel"/>
    <w:tmpl w:val="92D2E54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9"/>
  </w:num>
  <w:num w:numId="15">
    <w:abstractNumId w:val="13"/>
  </w:num>
  <w:num w:numId="16">
    <w:abstractNumId w:val="11"/>
  </w:num>
  <w:num w:numId="17">
    <w:abstractNumId w:val="18"/>
  </w:num>
  <w:num w:numId="18">
    <w:abstractNumId w:val="15"/>
  </w:num>
  <w:num w:numId="19">
    <w:abstractNumId w:val="16"/>
  </w:num>
  <w:num w:numId="20">
    <w:abstractNumId w:val="20"/>
  </w:num>
  <w:num w:numId="21">
    <w:abstractNumId w:val="21"/>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1"/>
    <w:rsid w:val="000001BC"/>
    <w:rsid w:val="00000657"/>
    <w:rsid w:val="000120B1"/>
    <w:rsid w:val="00030B82"/>
    <w:rsid w:val="00034918"/>
    <w:rsid w:val="00046B1F"/>
    <w:rsid w:val="000508E7"/>
    <w:rsid w:val="00050F6B"/>
    <w:rsid w:val="0005468E"/>
    <w:rsid w:val="000576F2"/>
    <w:rsid w:val="00057E97"/>
    <w:rsid w:val="000645D2"/>
    <w:rsid w:val="0007191F"/>
    <w:rsid w:val="00072C8C"/>
    <w:rsid w:val="000733B5"/>
    <w:rsid w:val="00077526"/>
    <w:rsid w:val="00077684"/>
    <w:rsid w:val="00081815"/>
    <w:rsid w:val="00083C51"/>
    <w:rsid w:val="00085A33"/>
    <w:rsid w:val="000931C0"/>
    <w:rsid w:val="00093EA1"/>
    <w:rsid w:val="00094AF2"/>
    <w:rsid w:val="000A18DB"/>
    <w:rsid w:val="000A5433"/>
    <w:rsid w:val="000B04BB"/>
    <w:rsid w:val="000B0595"/>
    <w:rsid w:val="000B175B"/>
    <w:rsid w:val="000B3477"/>
    <w:rsid w:val="000B3A0F"/>
    <w:rsid w:val="000B3A89"/>
    <w:rsid w:val="000B4EF7"/>
    <w:rsid w:val="000C1A0B"/>
    <w:rsid w:val="000C2C03"/>
    <w:rsid w:val="000C2D2E"/>
    <w:rsid w:val="000C45FE"/>
    <w:rsid w:val="000E0415"/>
    <w:rsid w:val="000F1E9B"/>
    <w:rsid w:val="00100E09"/>
    <w:rsid w:val="00105C84"/>
    <w:rsid w:val="001103AA"/>
    <w:rsid w:val="0011666B"/>
    <w:rsid w:val="00126A57"/>
    <w:rsid w:val="001330DE"/>
    <w:rsid w:val="00136E76"/>
    <w:rsid w:val="00144DA2"/>
    <w:rsid w:val="00145622"/>
    <w:rsid w:val="001545CA"/>
    <w:rsid w:val="00156610"/>
    <w:rsid w:val="00163B0B"/>
    <w:rsid w:val="00165F3A"/>
    <w:rsid w:val="00180200"/>
    <w:rsid w:val="001924D4"/>
    <w:rsid w:val="00195403"/>
    <w:rsid w:val="001A4E27"/>
    <w:rsid w:val="001B054C"/>
    <w:rsid w:val="001B4B04"/>
    <w:rsid w:val="001B69A7"/>
    <w:rsid w:val="001C1B2B"/>
    <w:rsid w:val="001C6663"/>
    <w:rsid w:val="001C7895"/>
    <w:rsid w:val="001D0C8C"/>
    <w:rsid w:val="001D1419"/>
    <w:rsid w:val="001D26DF"/>
    <w:rsid w:val="001D3A03"/>
    <w:rsid w:val="001E099A"/>
    <w:rsid w:val="001E13C8"/>
    <w:rsid w:val="001E154D"/>
    <w:rsid w:val="001E4771"/>
    <w:rsid w:val="001E59E0"/>
    <w:rsid w:val="001E7B67"/>
    <w:rsid w:val="001F4084"/>
    <w:rsid w:val="001F6AFB"/>
    <w:rsid w:val="00202DA8"/>
    <w:rsid w:val="0021131C"/>
    <w:rsid w:val="00211E0B"/>
    <w:rsid w:val="0021665B"/>
    <w:rsid w:val="00237ABE"/>
    <w:rsid w:val="00246D69"/>
    <w:rsid w:val="00247D56"/>
    <w:rsid w:val="00250738"/>
    <w:rsid w:val="00254FB3"/>
    <w:rsid w:val="00260907"/>
    <w:rsid w:val="00263C59"/>
    <w:rsid w:val="00267F5F"/>
    <w:rsid w:val="002740A1"/>
    <w:rsid w:val="002770B9"/>
    <w:rsid w:val="00284F4D"/>
    <w:rsid w:val="00286416"/>
    <w:rsid w:val="00286B4D"/>
    <w:rsid w:val="00292155"/>
    <w:rsid w:val="002A33A8"/>
    <w:rsid w:val="002B2A1D"/>
    <w:rsid w:val="002B4B7E"/>
    <w:rsid w:val="002C3D91"/>
    <w:rsid w:val="002C54BF"/>
    <w:rsid w:val="002D3187"/>
    <w:rsid w:val="002D4643"/>
    <w:rsid w:val="002E1C79"/>
    <w:rsid w:val="002E1FDE"/>
    <w:rsid w:val="002F175C"/>
    <w:rsid w:val="002F2988"/>
    <w:rsid w:val="00302E18"/>
    <w:rsid w:val="00310303"/>
    <w:rsid w:val="003138BF"/>
    <w:rsid w:val="003208A3"/>
    <w:rsid w:val="003229D8"/>
    <w:rsid w:val="003346F5"/>
    <w:rsid w:val="00345B02"/>
    <w:rsid w:val="00347EAA"/>
    <w:rsid w:val="00352709"/>
    <w:rsid w:val="003639E8"/>
    <w:rsid w:val="00363D85"/>
    <w:rsid w:val="00364574"/>
    <w:rsid w:val="00364864"/>
    <w:rsid w:val="00366C3F"/>
    <w:rsid w:val="00371178"/>
    <w:rsid w:val="00377B03"/>
    <w:rsid w:val="0038358B"/>
    <w:rsid w:val="003A6810"/>
    <w:rsid w:val="003A6B33"/>
    <w:rsid w:val="003B093A"/>
    <w:rsid w:val="003C0D19"/>
    <w:rsid w:val="003C2CC4"/>
    <w:rsid w:val="003C6D1D"/>
    <w:rsid w:val="003D4B23"/>
    <w:rsid w:val="003D738F"/>
    <w:rsid w:val="003E0029"/>
    <w:rsid w:val="003E2CC2"/>
    <w:rsid w:val="003E5C18"/>
    <w:rsid w:val="003F6DB7"/>
    <w:rsid w:val="00405F62"/>
    <w:rsid w:val="00410C89"/>
    <w:rsid w:val="004210E8"/>
    <w:rsid w:val="00422E03"/>
    <w:rsid w:val="00426B9B"/>
    <w:rsid w:val="00431164"/>
    <w:rsid w:val="004325CB"/>
    <w:rsid w:val="00432E7C"/>
    <w:rsid w:val="00442A83"/>
    <w:rsid w:val="00446DDB"/>
    <w:rsid w:val="00447C9B"/>
    <w:rsid w:val="0045495B"/>
    <w:rsid w:val="004577A0"/>
    <w:rsid w:val="00461418"/>
    <w:rsid w:val="00475DA9"/>
    <w:rsid w:val="0048397A"/>
    <w:rsid w:val="0049244A"/>
    <w:rsid w:val="0049389C"/>
    <w:rsid w:val="00494D51"/>
    <w:rsid w:val="004970F6"/>
    <w:rsid w:val="004A4650"/>
    <w:rsid w:val="004C2461"/>
    <w:rsid w:val="004C7462"/>
    <w:rsid w:val="004D3CEF"/>
    <w:rsid w:val="004D7E8A"/>
    <w:rsid w:val="004E2A12"/>
    <w:rsid w:val="004E77B2"/>
    <w:rsid w:val="004F3E0E"/>
    <w:rsid w:val="004F4BAA"/>
    <w:rsid w:val="00504B2D"/>
    <w:rsid w:val="005105DC"/>
    <w:rsid w:val="0051757E"/>
    <w:rsid w:val="0051797B"/>
    <w:rsid w:val="0052076D"/>
    <w:rsid w:val="0052136D"/>
    <w:rsid w:val="00522B58"/>
    <w:rsid w:val="0052699B"/>
    <w:rsid w:val="0052775E"/>
    <w:rsid w:val="0053458D"/>
    <w:rsid w:val="00534873"/>
    <w:rsid w:val="005420F2"/>
    <w:rsid w:val="00552DA5"/>
    <w:rsid w:val="00553673"/>
    <w:rsid w:val="00557364"/>
    <w:rsid w:val="005628B6"/>
    <w:rsid w:val="00563FCE"/>
    <w:rsid w:val="005666AA"/>
    <w:rsid w:val="00567ECC"/>
    <w:rsid w:val="00587EDD"/>
    <w:rsid w:val="00597C2F"/>
    <w:rsid w:val="005B246A"/>
    <w:rsid w:val="005B3DB3"/>
    <w:rsid w:val="005B4E13"/>
    <w:rsid w:val="005C691B"/>
    <w:rsid w:val="005E2EBD"/>
    <w:rsid w:val="005F406F"/>
    <w:rsid w:val="005F7B75"/>
    <w:rsid w:val="006001EE"/>
    <w:rsid w:val="00603CB2"/>
    <w:rsid w:val="00605042"/>
    <w:rsid w:val="00606767"/>
    <w:rsid w:val="00611FC4"/>
    <w:rsid w:val="00612285"/>
    <w:rsid w:val="00612E9F"/>
    <w:rsid w:val="00615713"/>
    <w:rsid w:val="006176FB"/>
    <w:rsid w:val="006266FE"/>
    <w:rsid w:val="00640B26"/>
    <w:rsid w:val="00644E68"/>
    <w:rsid w:val="00651DD3"/>
    <w:rsid w:val="00652D0A"/>
    <w:rsid w:val="00661918"/>
    <w:rsid w:val="006623D5"/>
    <w:rsid w:val="00662BB6"/>
    <w:rsid w:val="006751BC"/>
    <w:rsid w:val="00684C21"/>
    <w:rsid w:val="00692289"/>
    <w:rsid w:val="00696D0A"/>
    <w:rsid w:val="0069710E"/>
    <w:rsid w:val="006A2530"/>
    <w:rsid w:val="006B2B54"/>
    <w:rsid w:val="006C3589"/>
    <w:rsid w:val="006C6B1F"/>
    <w:rsid w:val="006D1B7A"/>
    <w:rsid w:val="006D1C0F"/>
    <w:rsid w:val="006D2148"/>
    <w:rsid w:val="006D266F"/>
    <w:rsid w:val="006D37AF"/>
    <w:rsid w:val="006D51D0"/>
    <w:rsid w:val="006E02BA"/>
    <w:rsid w:val="006E564B"/>
    <w:rsid w:val="006E7191"/>
    <w:rsid w:val="006F20A1"/>
    <w:rsid w:val="006F52F4"/>
    <w:rsid w:val="00703577"/>
    <w:rsid w:val="00705894"/>
    <w:rsid w:val="0071332D"/>
    <w:rsid w:val="00713BBF"/>
    <w:rsid w:val="00716183"/>
    <w:rsid w:val="0072632A"/>
    <w:rsid w:val="00726D75"/>
    <w:rsid w:val="007327D5"/>
    <w:rsid w:val="0074197E"/>
    <w:rsid w:val="00746A5E"/>
    <w:rsid w:val="00756EAA"/>
    <w:rsid w:val="0076145E"/>
    <w:rsid w:val="007629C8"/>
    <w:rsid w:val="0077047D"/>
    <w:rsid w:val="007708A7"/>
    <w:rsid w:val="00772106"/>
    <w:rsid w:val="007809E9"/>
    <w:rsid w:val="00785AD4"/>
    <w:rsid w:val="00790A83"/>
    <w:rsid w:val="00792A45"/>
    <w:rsid w:val="007A3C5F"/>
    <w:rsid w:val="007B4EDD"/>
    <w:rsid w:val="007B565A"/>
    <w:rsid w:val="007B5CDB"/>
    <w:rsid w:val="007B6BA5"/>
    <w:rsid w:val="007C0DEB"/>
    <w:rsid w:val="007C2B1C"/>
    <w:rsid w:val="007C3390"/>
    <w:rsid w:val="007C4F4B"/>
    <w:rsid w:val="007D1AE6"/>
    <w:rsid w:val="007D49DB"/>
    <w:rsid w:val="007D6DF4"/>
    <w:rsid w:val="007E01E9"/>
    <w:rsid w:val="007E2EFA"/>
    <w:rsid w:val="007E3DB7"/>
    <w:rsid w:val="007E63F3"/>
    <w:rsid w:val="007F6611"/>
    <w:rsid w:val="00811920"/>
    <w:rsid w:val="00815AD0"/>
    <w:rsid w:val="00816FCB"/>
    <w:rsid w:val="008242D7"/>
    <w:rsid w:val="008257B1"/>
    <w:rsid w:val="00830A44"/>
    <w:rsid w:val="00833046"/>
    <w:rsid w:val="00835641"/>
    <w:rsid w:val="00843767"/>
    <w:rsid w:val="0084394A"/>
    <w:rsid w:val="00860659"/>
    <w:rsid w:val="008617AA"/>
    <w:rsid w:val="0086692F"/>
    <w:rsid w:val="008679D9"/>
    <w:rsid w:val="008719B1"/>
    <w:rsid w:val="008878DE"/>
    <w:rsid w:val="008979B1"/>
    <w:rsid w:val="008A3094"/>
    <w:rsid w:val="008A5C9A"/>
    <w:rsid w:val="008A632B"/>
    <w:rsid w:val="008A6B25"/>
    <w:rsid w:val="008A6C4F"/>
    <w:rsid w:val="008B2335"/>
    <w:rsid w:val="008C048F"/>
    <w:rsid w:val="008C57B7"/>
    <w:rsid w:val="008C57F1"/>
    <w:rsid w:val="008D0BD5"/>
    <w:rsid w:val="008D4A19"/>
    <w:rsid w:val="008E0678"/>
    <w:rsid w:val="008F5BDC"/>
    <w:rsid w:val="008F6CE7"/>
    <w:rsid w:val="00901DE6"/>
    <w:rsid w:val="0090238C"/>
    <w:rsid w:val="00903DEC"/>
    <w:rsid w:val="00914140"/>
    <w:rsid w:val="009223CA"/>
    <w:rsid w:val="0092688F"/>
    <w:rsid w:val="0093350B"/>
    <w:rsid w:val="00935389"/>
    <w:rsid w:val="00940F93"/>
    <w:rsid w:val="00942920"/>
    <w:rsid w:val="00943CBC"/>
    <w:rsid w:val="009471BA"/>
    <w:rsid w:val="00952522"/>
    <w:rsid w:val="009664D6"/>
    <w:rsid w:val="009760F3"/>
    <w:rsid w:val="00986A51"/>
    <w:rsid w:val="009871A9"/>
    <w:rsid w:val="009872AB"/>
    <w:rsid w:val="00987A1A"/>
    <w:rsid w:val="009940F0"/>
    <w:rsid w:val="009A0E8D"/>
    <w:rsid w:val="009A24FD"/>
    <w:rsid w:val="009A40AA"/>
    <w:rsid w:val="009B26E7"/>
    <w:rsid w:val="009D43FE"/>
    <w:rsid w:val="009E4DD3"/>
    <w:rsid w:val="009E56B9"/>
    <w:rsid w:val="009F2499"/>
    <w:rsid w:val="00A00A3F"/>
    <w:rsid w:val="00A01489"/>
    <w:rsid w:val="00A028B5"/>
    <w:rsid w:val="00A3026E"/>
    <w:rsid w:val="00A321EA"/>
    <w:rsid w:val="00A338F1"/>
    <w:rsid w:val="00A33D50"/>
    <w:rsid w:val="00A37C60"/>
    <w:rsid w:val="00A4560D"/>
    <w:rsid w:val="00A50DEE"/>
    <w:rsid w:val="00A578D5"/>
    <w:rsid w:val="00A61895"/>
    <w:rsid w:val="00A670AB"/>
    <w:rsid w:val="00A72F22"/>
    <w:rsid w:val="00A7360F"/>
    <w:rsid w:val="00A748A6"/>
    <w:rsid w:val="00A769F4"/>
    <w:rsid w:val="00A776B4"/>
    <w:rsid w:val="00A77F3B"/>
    <w:rsid w:val="00A85115"/>
    <w:rsid w:val="00A87569"/>
    <w:rsid w:val="00A94361"/>
    <w:rsid w:val="00AA0DCA"/>
    <w:rsid w:val="00AA293C"/>
    <w:rsid w:val="00AA79FB"/>
    <w:rsid w:val="00AB286B"/>
    <w:rsid w:val="00AB5190"/>
    <w:rsid w:val="00AB5D68"/>
    <w:rsid w:val="00AB71DC"/>
    <w:rsid w:val="00AC0515"/>
    <w:rsid w:val="00AC7729"/>
    <w:rsid w:val="00AD1A73"/>
    <w:rsid w:val="00AD6511"/>
    <w:rsid w:val="00B02122"/>
    <w:rsid w:val="00B10D5F"/>
    <w:rsid w:val="00B26FD3"/>
    <w:rsid w:val="00B30179"/>
    <w:rsid w:val="00B316E7"/>
    <w:rsid w:val="00B31E80"/>
    <w:rsid w:val="00B32772"/>
    <w:rsid w:val="00B421C1"/>
    <w:rsid w:val="00B4248A"/>
    <w:rsid w:val="00B42845"/>
    <w:rsid w:val="00B53444"/>
    <w:rsid w:val="00B54192"/>
    <w:rsid w:val="00B552BA"/>
    <w:rsid w:val="00B55C71"/>
    <w:rsid w:val="00B56E4A"/>
    <w:rsid w:val="00B56E9C"/>
    <w:rsid w:val="00B63C62"/>
    <w:rsid w:val="00B64715"/>
    <w:rsid w:val="00B64B1F"/>
    <w:rsid w:val="00B6553F"/>
    <w:rsid w:val="00B77D05"/>
    <w:rsid w:val="00B8006A"/>
    <w:rsid w:val="00B81206"/>
    <w:rsid w:val="00B81E12"/>
    <w:rsid w:val="00B82BC9"/>
    <w:rsid w:val="00B9042E"/>
    <w:rsid w:val="00B90585"/>
    <w:rsid w:val="00B92735"/>
    <w:rsid w:val="00BB2695"/>
    <w:rsid w:val="00BC3FA0"/>
    <w:rsid w:val="00BC74E9"/>
    <w:rsid w:val="00BD186E"/>
    <w:rsid w:val="00BD2A18"/>
    <w:rsid w:val="00BD435E"/>
    <w:rsid w:val="00BE0515"/>
    <w:rsid w:val="00BE1913"/>
    <w:rsid w:val="00BF288A"/>
    <w:rsid w:val="00BF68A8"/>
    <w:rsid w:val="00C0563C"/>
    <w:rsid w:val="00C11A03"/>
    <w:rsid w:val="00C22C0C"/>
    <w:rsid w:val="00C278A7"/>
    <w:rsid w:val="00C3618F"/>
    <w:rsid w:val="00C40391"/>
    <w:rsid w:val="00C416C7"/>
    <w:rsid w:val="00C43A9F"/>
    <w:rsid w:val="00C4527F"/>
    <w:rsid w:val="00C463DD"/>
    <w:rsid w:val="00C4724C"/>
    <w:rsid w:val="00C511AA"/>
    <w:rsid w:val="00C5301C"/>
    <w:rsid w:val="00C61D4F"/>
    <w:rsid w:val="00C629A0"/>
    <w:rsid w:val="00C64629"/>
    <w:rsid w:val="00C745C3"/>
    <w:rsid w:val="00C86220"/>
    <w:rsid w:val="00C87420"/>
    <w:rsid w:val="00C90DAA"/>
    <w:rsid w:val="00C9320C"/>
    <w:rsid w:val="00CB383C"/>
    <w:rsid w:val="00CB3E03"/>
    <w:rsid w:val="00CC4460"/>
    <w:rsid w:val="00CC676A"/>
    <w:rsid w:val="00CD3737"/>
    <w:rsid w:val="00CE0C77"/>
    <w:rsid w:val="00CE4A8F"/>
    <w:rsid w:val="00CF414C"/>
    <w:rsid w:val="00CF49FD"/>
    <w:rsid w:val="00CF5687"/>
    <w:rsid w:val="00D107B0"/>
    <w:rsid w:val="00D13B61"/>
    <w:rsid w:val="00D167F5"/>
    <w:rsid w:val="00D2031B"/>
    <w:rsid w:val="00D25FE2"/>
    <w:rsid w:val="00D32AED"/>
    <w:rsid w:val="00D3306B"/>
    <w:rsid w:val="00D4299B"/>
    <w:rsid w:val="00D43252"/>
    <w:rsid w:val="00D47EEA"/>
    <w:rsid w:val="00D5041D"/>
    <w:rsid w:val="00D5698D"/>
    <w:rsid w:val="00D6286A"/>
    <w:rsid w:val="00D72FC8"/>
    <w:rsid w:val="00D773DF"/>
    <w:rsid w:val="00D77865"/>
    <w:rsid w:val="00D92B47"/>
    <w:rsid w:val="00D94296"/>
    <w:rsid w:val="00D95303"/>
    <w:rsid w:val="00D978C6"/>
    <w:rsid w:val="00DA03EA"/>
    <w:rsid w:val="00DA3C1C"/>
    <w:rsid w:val="00DB3231"/>
    <w:rsid w:val="00DC35EB"/>
    <w:rsid w:val="00DD07C8"/>
    <w:rsid w:val="00DE40E0"/>
    <w:rsid w:val="00DF0296"/>
    <w:rsid w:val="00E046DF"/>
    <w:rsid w:val="00E05BDD"/>
    <w:rsid w:val="00E11201"/>
    <w:rsid w:val="00E15C0E"/>
    <w:rsid w:val="00E201DA"/>
    <w:rsid w:val="00E25C0A"/>
    <w:rsid w:val="00E27346"/>
    <w:rsid w:val="00E34013"/>
    <w:rsid w:val="00E36890"/>
    <w:rsid w:val="00E4227D"/>
    <w:rsid w:val="00E60B11"/>
    <w:rsid w:val="00E63F0B"/>
    <w:rsid w:val="00E65C84"/>
    <w:rsid w:val="00E70191"/>
    <w:rsid w:val="00E703E3"/>
    <w:rsid w:val="00E71BC8"/>
    <w:rsid w:val="00E7260F"/>
    <w:rsid w:val="00E73F5D"/>
    <w:rsid w:val="00E77E4E"/>
    <w:rsid w:val="00E82D01"/>
    <w:rsid w:val="00E925AF"/>
    <w:rsid w:val="00E9472F"/>
    <w:rsid w:val="00E96630"/>
    <w:rsid w:val="00EA1C33"/>
    <w:rsid w:val="00EA49E8"/>
    <w:rsid w:val="00EB1248"/>
    <w:rsid w:val="00EB7E66"/>
    <w:rsid w:val="00EC0D9F"/>
    <w:rsid w:val="00ED2A21"/>
    <w:rsid w:val="00ED41D7"/>
    <w:rsid w:val="00ED7A2A"/>
    <w:rsid w:val="00EE466A"/>
    <w:rsid w:val="00EE77C0"/>
    <w:rsid w:val="00EF1D7F"/>
    <w:rsid w:val="00EF6EE4"/>
    <w:rsid w:val="00F111D5"/>
    <w:rsid w:val="00F13FB9"/>
    <w:rsid w:val="00F2190B"/>
    <w:rsid w:val="00F31E5F"/>
    <w:rsid w:val="00F37531"/>
    <w:rsid w:val="00F44B02"/>
    <w:rsid w:val="00F468E7"/>
    <w:rsid w:val="00F47598"/>
    <w:rsid w:val="00F57D72"/>
    <w:rsid w:val="00F6100A"/>
    <w:rsid w:val="00F631DC"/>
    <w:rsid w:val="00F63C2E"/>
    <w:rsid w:val="00F723A6"/>
    <w:rsid w:val="00F76166"/>
    <w:rsid w:val="00F7757A"/>
    <w:rsid w:val="00F840B5"/>
    <w:rsid w:val="00F84842"/>
    <w:rsid w:val="00F90BD0"/>
    <w:rsid w:val="00F93781"/>
    <w:rsid w:val="00FB613B"/>
    <w:rsid w:val="00FB752A"/>
    <w:rsid w:val="00FC4F42"/>
    <w:rsid w:val="00FC68B7"/>
    <w:rsid w:val="00FD035A"/>
    <w:rsid w:val="00FD30AA"/>
    <w:rsid w:val="00FD73EA"/>
    <w:rsid w:val="00FE106A"/>
    <w:rsid w:val="00FE454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4A16498F"/>
  <w15:docId w15:val="{C46C4422-12CA-44BC-8535-05AB2414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4_GR,Footnote Reference/"/>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 w:type="paragraph" w:customStyle="1" w:styleId="Default">
    <w:name w:val="Default"/>
    <w:rsid w:val="0049389C"/>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69710E"/>
    <w:pPr>
      <w:spacing w:line="240" w:lineRule="auto"/>
    </w:pPr>
    <w:rPr>
      <w:b/>
      <w:bCs/>
    </w:rPr>
  </w:style>
  <w:style w:type="character" w:customStyle="1" w:styleId="CommentTextChar">
    <w:name w:val="Comment Text Char"/>
    <w:basedOn w:val="DefaultParagraphFont"/>
    <w:link w:val="CommentText"/>
    <w:semiHidden/>
    <w:rsid w:val="0069710E"/>
    <w:rPr>
      <w:lang w:eastAsia="en-US"/>
    </w:rPr>
  </w:style>
  <w:style w:type="character" w:customStyle="1" w:styleId="CommentSubjectChar">
    <w:name w:val="Comment Subject Char"/>
    <w:basedOn w:val="CommentTextChar"/>
    <w:link w:val="CommentSubject"/>
    <w:semiHidden/>
    <w:rsid w:val="0069710E"/>
    <w:rPr>
      <w:b/>
      <w:bCs/>
      <w:lang w:eastAsia="en-US"/>
    </w:rPr>
  </w:style>
  <w:style w:type="paragraph" w:styleId="Revision">
    <w:name w:val="Revision"/>
    <w:hidden/>
    <w:uiPriority w:val="99"/>
    <w:semiHidden/>
    <w:rsid w:val="007161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0902">
      <w:bodyDiv w:val="1"/>
      <w:marLeft w:val="0"/>
      <w:marRight w:val="0"/>
      <w:marTop w:val="0"/>
      <w:marBottom w:val="0"/>
      <w:divBdr>
        <w:top w:val="none" w:sz="0" w:space="0" w:color="auto"/>
        <w:left w:val="none" w:sz="0" w:space="0" w:color="auto"/>
        <w:bottom w:val="none" w:sz="0" w:space="0" w:color="auto"/>
        <w:right w:val="none" w:sz="0" w:space="0" w:color="auto"/>
      </w:divBdr>
    </w:div>
    <w:div w:id="1000737005">
      <w:bodyDiv w:val="1"/>
      <w:marLeft w:val="0"/>
      <w:marRight w:val="0"/>
      <w:marTop w:val="0"/>
      <w:marBottom w:val="0"/>
      <w:divBdr>
        <w:top w:val="none" w:sz="0" w:space="0" w:color="auto"/>
        <w:left w:val="none" w:sz="0" w:space="0" w:color="auto"/>
        <w:bottom w:val="none" w:sz="0" w:space="0" w:color="auto"/>
        <w:right w:val="none" w:sz="0" w:space="0" w:color="auto"/>
      </w:divBdr>
    </w:div>
    <w:div w:id="1008870273">
      <w:bodyDiv w:val="1"/>
      <w:marLeft w:val="0"/>
      <w:marRight w:val="0"/>
      <w:marTop w:val="0"/>
      <w:marBottom w:val="0"/>
      <w:divBdr>
        <w:top w:val="none" w:sz="0" w:space="0" w:color="auto"/>
        <w:left w:val="none" w:sz="0" w:space="0" w:color="auto"/>
        <w:bottom w:val="none" w:sz="0" w:space="0" w:color="auto"/>
        <w:right w:val="none" w:sz="0" w:space="0" w:color="auto"/>
      </w:divBdr>
    </w:div>
    <w:div w:id="17052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ece.org/fileadmin/DAM/trans/doc/2017/dgac10c3/ST-SG-AC10-C3-104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10BB-9152-46FC-A837-6FB3AA5A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1835</Words>
  <Characters>10464</Characters>
  <Application>Microsoft Office Word</Application>
  <DocSecurity>0</DocSecurity>
  <Lines>87</Lines>
  <Paragraphs>24</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1420747</vt:lpstr>
      <vt:lpstr>1420747</vt:lpstr>
      <vt:lpstr>1420747</vt:lpstr>
    </vt:vector>
  </TitlesOfParts>
  <Company>CSD</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10</cp:revision>
  <cp:lastPrinted>2019-02-15T09:10:00Z</cp:lastPrinted>
  <dcterms:created xsi:type="dcterms:W3CDTF">2019-02-18T08:45:00Z</dcterms:created>
  <dcterms:modified xsi:type="dcterms:W3CDTF">2019-02-18T13:42:00Z</dcterms:modified>
</cp:coreProperties>
</file>