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D4A19">
        <w:trPr>
          <w:cantSplit/>
          <w:trHeight w:hRule="exact" w:val="851"/>
        </w:trPr>
        <w:tc>
          <w:tcPr>
            <w:tcW w:w="1276" w:type="dxa"/>
            <w:tcBorders>
              <w:bottom w:val="single" w:sz="4" w:space="0" w:color="auto"/>
            </w:tcBorders>
            <w:shd w:val="clear" w:color="auto" w:fill="auto"/>
            <w:vAlign w:val="bottom"/>
          </w:tcPr>
          <w:p w:rsidR="00B56E9C" w:rsidRDefault="00B56E9C" w:rsidP="008D4A19">
            <w:pPr>
              <w:spacing w:after="80"/>
            </w:pPr>
          </w:p>
        </w:tc>
        <w:tc>
          <w:tcPr>
            <w:tcW w:w="2268" w:type="dxa"/>
            <w:tcBorders>
              <w:bottom w:val="single" w:sz="4" w:space="0" w:color="auto"/>
            </w:tcBorders>
            <w:shd w:val="clear" w:color="auto" w:fill="auto"/>
            <w:vAlign w:val="bottom"/>
          </w:tcPr>
          <w:p w:rsidR="00B56E9C" w:rsidRPr="008D4A19" w:rsidRDefault="00B56E9C" w:rsidP="008D4A19">
            <w:pPr>
              <w:spacing w:after="80" w:line="300" w:lineRule="exact"/>
              <w:rPr>
                <w:b/>
                <w:sz w:val="24"/>
                <w:szCs w:val="24"/>
              </w:rPr>
            </w:pPr>
            <w:r w:rsidRPr="008D4A1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330DE" w:rsidP="00597C2F">
            <w:pPr>
              <w:suppressAutoHyphens w:val="0"/>
              <w:spacing w:after="20"/>
              <w:jc w:val="right"/>
            </w:pPr>
            <w:r w:rsidRPr="008D4A19">
              <w:rPr>
                <w:sz w:val="40"/>
              </w:rPr>
              <w:t>ECE</w:t>
            </w:r>
            <w:r>
              <w:t>/TRANS/WP.15/201</w:t>
            </w:r>
            <w:r w:rsidR="00B7366C">
              <w:t>9</w:t>
            </w:r>
            <w:r>
              <w:t>/</w:t>
            </w:r>
            <w:r w:rsidR="00E61760">
              <w:t>7</w:t>
            </w:r>
          </w:p>
        </w:tc>
      </w:tr>
      <w:tr w:rsidR="00B56E9C" w:rsidTr="008D4A19">
        <w:trPr>
          <w:cantSplit/>
          <w:trHeight w:hRule="exact" w:val="2835"/>
        </w:trPr>
        <w:tc>
          <w:tcPr>
            <w:tcW w:w="1276" w:type="dxa"/>
            <w:tcBorders>
              <w:top w:val="single" w:sz="4" w:space="0" w:color="auto"/>
              <w:bottom w:val="single" w:sz="12" w:space="0" w:color="auto"/>
            </w:tcBorders>
            <w:shd w:val="clear" w:color="auto" w:fill="auto"/>
          </w:tcPr>
          <w:p w:rsidR="00B56E9C" w:rsidRDefault="00A50DEE" w:rsidP="008D4A19">
            <w:pPr>
              <w:spacing w:before="120"/>
            </w:pPr>
            <w:r>
              <w:rPr>
                <w:noProof/>
                <w:lang w:eastAsia="zh-CN"/>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D4A19" w:rsidRDefault="00D773DF" w:rsidP="008D4A19">
            <w:pPr>
              <w:spacing w:before="120" w:line="420" w:lineRule="exact"/>
              <w:rPr>
                <w:sz w:val="40"/>
                <w:szCs w:val="40"/>
              </w:rPr>
            </w:pPr>
            <w:r w:rsidRPr="008D4A19">
              <w:rPr>
                <w:b/>
                <w:sz w:val="40"/>
                <w:szCs w:val="40"/>
              </w:rPr>
              <w:t>Economic and Social Council</w:t>
            </w:r>
          </w:p>
        </w:tc>
        <w:tc>
          <w:tcPr>
            <w:tcW w:w="2835" w:type="dxa"/>
            <w:tcBorders>
              <w:top w:val="single" w:sz="4" w:space="0" w:color="auto"/>
              <w:bottom w:val="single" w:sz="12" w:space="0" w:color="auto"/>
            </w:tcBorders>
            <w:shd w:val="clear" w:color="auto" w:fill="auto"/>
          </w:tcPr>
          <w:p w:rsidR="001330DE" w:rsidRDefault="001330DE" w:rsidP="008D4A19">
            <w:pPr>
              <w:suppressAutoHyphens w:val="0"/>
              <w:spacing w:before="240" w:line="240" w:lineRule="exact"/>
            </w:pPr>
            <w:r>
              <w:t>Distr.: General</w:t>
            </w:r>
          </w:p>
          <w:p w:rsidR="001330DE" w:rsidRDefault="00FC7A0E" w:rsidP="008D4A19">
            <w:pPr>
              <w:suppressAutoHyphens w:val="0"/>
            </w:pPr>
            <w:r>
              <w:t>1</w:t>
            </w:r>
            <w:r w:rsidR="00D9338E">
              <w:t>8</w:t>
            </w:r>
            <w:r>
              <w:t xml:space="preserve"> </w:t>
            </w:r>
            <w:r w:rsidR="004D3CEF">
              <w:t>February</w:t>
            </w:r>
            <w:r w:rsidR="001330DE">
              <w:t xml:space="preserve"> 201</w:t>
            </w:r>
            <w:r w:rsidR="00B7366C">
              <w:t>9</w:t>
            </w:r>
          </w:p>
          <w:p w:rsidR="001330DE" w:rsidRDefault="001330DE" w:rsidP="008D4A19">
            <w:pPr>
              <w:suppressAutoHyphens w:val="0"/>
            </w:pPr>
          </w:p>
          <w:p w:rsidR="00B56E9C" w:rsidRDefault="001330DE" w:rsidP="00431164">
            <w:pPr>
              <w:suppressAutoHyphens w:val="0"/>
            </w:pPr>
            <w:r>
              <w:t xml:space="preserve">Original: </w:t>
            </w:r>
            <w:r w:rsidR="00431164">
              <w:t>English</w:t>
            </w:r>
          </w:p>
        </w:tc>
      </w:tr>
    </w:tbl>
    <w:p w:rsidR="001330DE" w:rsidRDefault="001330DE">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1330DE" w:rsidRDefault="001330DE">
      <w:pPr>
        <w:spacing w:before="120"/>
        <w:rPr>
          <w:sz w:val="28"/>
          <w:szCs w:val="28"/>
        </w:rPr>
      </w:pPr>
      <w:r>
        <w:rPr>
          <w:sz w:val="28"/>
          <w:szCs w:val="28"/>
        </w:rPr>
        <w:t>Inland Transport Committee</w:t>
      </w:r>
    </w:p>
    <w:p w:rsidR="001330DE" w:rsidRPr="001330DE" w:rsidRDefault="001330DE">
      <w:pPr>
        <w:spacing w:before="120"/>
        <w:rPr>
          <w:b/>
          <w:sz w:val="24"/>
          <w:szCs w:val="24"/>
        </w:rPr>
      </w:pPr>
      <w:r>
        <w:rPr>
          <w:b/>
          <w:sz w:val="24"/>
          <w:szCs w:val="24"/>
        </w:rPr>
        <w:t xml:space="preserve">Working Party on the Transport </w:t>
      </w:r>
      <w:r w:rsidRPr="001330DE">
        <w:rPr>
          <w:b/>
          <w:sz w:val="24"/>
          <w:szCs w:val="24"/>
        </w:rPr>
        <w:t>of Dangerous Goods</w:t>
      </w:r>
    </w:p>
    <w:p w:rsidR="001330DE" w:rsidRPr="001330DE" w:rsidRDefault="00775BA6" w:rsidP="001330DE">
      <w:pPr>
        <w:spacing w:before="120"/>
        <w:rPr>
          <w:rFonts w:eastAsia="SimSun"/>
          <w:b/>
        </w:rPr>
      </w:pPr>
      <w:r>
        <w:rPr>
          <w:rFonts w:eastAsia="SimSun"/>
          <w:b/>
        </w:rPr>
        <w:t>10</w:t>
      </w:r>
      <w:r w:rsidR="00B7366C">
        <w:rPr>
          <w:rFonts w:eastAsia="SimSun"/>
          <w:b/>
        </w:rPr>
        <w:t>6</w:t>
      </w:r>
      <w:r>
        <w:rPr>
          <w:rFonts w:eastAsia="SimSun"/>
          <w:b/>
        </w:rPr>
        <w:t>th</w:t>
      </w:r>
      <w:r w:rsidR="00DE40E0">
        <w:rPr>
          <w:rStyle w:val="hps"/>
          <w:rFonts w:ascii="Arial" w:hAnsi="Arial" w:cs="Arial"/>
          <w:color w:val="222222"/>
          <w:lang w:val="en"/>
        </w:rPr>
        <w:t xml:space="preserve"> </w:t>
      </w:r>
      <w:r w:rsidR="001330DE" w:rsidRPr="001330DE">
        <w:rPr>
          <w:rFonts w:eastAsia="SimSun"/>
          <w:b/>
        </w:rPr>
        <w:t xml:space="preserve">session </w:t>
      </w:r>
    </w:p>
    <w:p w:rsidR="001330DE" w:rsidRPr="00BA64A8" w:rsidRDefault="001330DE" w:rsidP="001330DE">
      <w:pPr>
        <w:rPr>
          <w:rFonts w:eastAsia="SimSun"/>
        </w:rPr>
      </w:pPr>
      <w:r w:rsidRPr="00BA64A8">
        <w:rPr>
          <w:rFonts w:eastAsia="SimSun"/>
        </w:rPr>
        <w:t xml:space="preserve">Geneva, </w:t>
      </w:r>
      <w:r w:rsidR="00A07946">
        <w:rPr>
          <w:rFonts w:eastAsia="SimSun"/>
        </w:rPr>
        <w:t>1</w:t>
      </w:r>
      <w:r w:rsidR="00B7366C">
        <w:rPr>
          <w:rFonts w:eastAsia="SimSun"/>
        </w:rPr>
        <w:t>3</w:t>
      </w:r>
      <w:r>
        <w:rPr>
          <w:rFonts w:eastAsia="SimSun"/>
        </w:rPr>
        <w:t>–</w:t>
      </w:r>
      <w:r w:rsidR="00DE40E0">
        <w:rPr>
          <w:rFonts w:eastAsia="SimSun"/>
        </w:rPr>
        <w:t>1</w:t>
      </w:r>
      <w:r w:rsidR="00A07946">
        <w:rPr>
          <w:rFonts w:eastAsia="SimSun"/>
        </w:rPr>
        <w:t>7</w:t>
      </w:r>
      <w:r w:rsidRPr="00BA64A8">
        <w:rPr>
          <w:rFonts w:eastAsia="SimSun"/>
        </w:rPr>
        <w:t xml:space="preserve"> May 201</w:t>
      </w:r>
      <w:r w:rsidR="00B7366C">
        <w:rPr>
          <w:rFonts w:eastAsia="SimSun"/>
        </w:rPr>
        <w:t>9</w:t>
      </w:r>
      <w:r w:rsidRPr="00BA64A8">
        <w:rPr>
          <w:rFonts w:eastAsia="SimSun"/>
        </w:rPr>
        <w:t xml:space="preserve"> </w:t>
      </w:r>
    </w:p>
    <w:p w:rsidR="001330DE" w:rsidRPr="00BA64A8" w:rsidRDefault="001330DE" w:rsidP="001330DE">
      <w:r w:rsidRPr="00BA64A8">
        <w:rPr>
          <w:rFonts w:eastAsia="SimSun"/>
        </w:rPr>
        <w:t xml:space="preserve">Item </w:t>
      </w:r>
      <w:r w:rsidR="0070280D">
        <w:t>6</w:t>
      </w:r>
      <w:r w:rsidR="00AD5C88">
        <w:t xml:space="preserve"> </w:t>
      </w:r>
      <w:r w:rsidR="00656B6B">
        <w:t>(</w:t>
      </w:r>
      <w:r w:rsidR="00AD5C88">
        <w:t>b)</w:t>
      </w:r>
      <w:r w:rsidR="003C6D1D">
        <w:t xml:space="preserve"> </w:t>
      </w:r>
      <w:r w:rsidRPr="00BA64A8">
        <w:t>of the provisional agenda</w:t>
      </w:r>
    </w:p>
    <w:p w:rsidR="00AD5C88" w:rsidRPr="00AD5C88" w:rsidRDefault="00AD5C88" w:rsidP="001E099A">
      <w:pPr>
        <w:rPr>
          <w:b/>
          <w:bCs/>
        </w:rPr>
      </w:pPr>
      <w:r w:rsidRPr="00AD5C88">
        <w:rPr>
          <w:b/>
          <w:bCs/>
        </w:rPr>
        <w:t>Proposals for amendments to annexes A and B of ADR</w:t>
      </w:r>
      <w:r w:rsidR="001C7B8E">
        <w:rPr>
          <w:b/>
          <w:bCs/>
        </w:rPr>
        <w:t>:</w:t>
      </w:r>
    </w:p>
    <w:p w:rsidR="00DE40E0" w:rsidRPr="00AD5C88" w:rsidRDefault="00AD5C88" w:rsidP="001E099A">
      <w:pPr>
        <w:rPr>
          <w:b/>
          <w:bCs/>
        </w:rPr>
      </w:pPr>
      <w:r>
        <w:rPr>
          <w:b/>
          <w:bCs/>
          <w:szCs w:val="24"/>
        </w:rPr>
        <w:t>m</w:t>
      </w:r>
      <w:r w:rsidRPr="00AD5C88">
        <w:rPr>
          <w:b/>
          <w:bCs/>
          <w:szCs w:val="24"/>
        </w:rPr>
        <w:t>iscellaneous proposals</w:t>
      </w:r>
    </w:p>
    <w:p w:rsidR="00AD5C88" w:rsidRPr="00B573A9" w:rsidRDefault="003A6B33" w:rsidP="00AD5C88">
      <w:pPr>
        <w:pStyle w:val="HChG"/>
        <w:keepNext w:val="0"/>
        <w:keepLines w:val="0"/>
        <w:rPr>
          <w:sz w:val="20"/>
        </w:rPr>
      </w:pPr>
      <w:r>
        <w:tab/>
      </w:r>
      <w:r>
        <w:tab/>
      </w:r>
      <w:r w:rsidR="00E61760">
        <w:rPr>
          <w:lang w:val="en-US"/>
        </w:rPr>
        <w:t>Marking of transport units and containers loaded with limited quantities</w:t>
      </w:r>
    </w:p>
    <w:p w:rsidR="00AD5C88" w:rsidRDefault="00AD5C88" w:rsidP="00AD5C88">
      <w:pPr>
        <w:pStyle w:val="H1G"/>
        <w:keepNext w:val="0"/>
        <w:keepLines w:val="0"/>
      </w:pPr>
      <w:r w:rsidRPr="00B573A9">
        <w:rPr>
          <w:b w:val="0"/>
          <w:sz w:val="20"/>
        </w:rPr>
        <w:tab/>
      </w:r>
      <w:r w:rsidRPr="00B573A9">
        <w:rPr>
          <w:b w:val="0"/>
          <w:sz w:val="20"/>
        </w:rPr>
        <w:tab/>
      </w:r>
      <w:r w:rsidR="00E61760">
        <w:t>Transmitted by the Government of the Switzerland</w:t>
      </w:r>
      <w:r w:rsidR="00E61760" w:rsidRPr="00C634A6">
        <w:rPr>
          <w:rStyle w:val="FootnoteReference"/>
          <w:b w:val="0"/>
          <w:sz w:val="20"/>
        </w:rPr>
        <w:t xml:space="preserve"> </w:t>
      </w:r>
      <w:r w:rsidR="00B7366C" w:rsidRPr="00C634A6">
        <w:rPr>
          <w:rStyle w:val="FootnoteReference"/>
          <w:b w:val="0"/>
          <w:sz w:val="20"/>
        </w:rPr>
        <w:footnoteReference w:customMarkFollows="1" w:id="2"/>
        <w:sym w:font="Symbol" w:char="F02A"/>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E61760" w:rsidRPr="00E62341" w:rsidTr="00A86213">
        <w:trPr>
          <w:jc w:val="center"/>
        </w:trPr>
        <w:tc>
          <w:tcPr>
            <w:tcW w:w="9637" w:type="dxa"/>
            <w:tcBorders>
              <w:bottom w:val="nil"/>
            </w:tcBorders>
            <w:shd w:val="clear" w:color="auto" w:fill="auto"/>
          </w:tcPr>
          <w:p w:rsidR="00E61760" w:rsidRPr="002820E6" w:rsidRDefault="00E61760" w:rsidP="00A86213">
            <w:pPr>
              <w:tabs>
                <w:tab w:val="left" w:pos="255"/>
              </w:tabs>
              <w:suppressAutoHyphens w:val="0"/>
              <w:spacing w:before="240" w:after="120"/>
              <w:rPr>
                <w:rFonts w:eastAsia="Arial"/>
                <w:sz w:val="24"/>
              </w:rPr>
            </w:pPr>
            <w:r w:rsidRPr="002820E6">
              <w:br w:type="page"/>
            </w:r>
            <w:r w:rsidRPr="002820E6">
              <w:rPr>
                <w:rFonts w:eastAsia="Arial"/>
              </w:rPr>
              <w:tab/>
            </w:r>
            <w:r w:rsidRPr="002820E6">
              <w:rPr>
                <w:rFonts w:eastAsia="Arial"/>
                <w:i/>
                <w:sz w:val="24"/>
              </w:rPr>
              <w:t>Summary</w:t>
            </w:r>
          </w:p>
        </w:tc>
      </w:tr>
      <w:tr w:rsidR="00E61760" w:rsidRPr="00E62341" w:rsidTr="00A86213">
        <w:trPr>
          <w:jc w:val="center"/>
        </w:trPr>
        <w:tc>
          <w:tcPr>
            <w:tcW w:w="9637" w:type="dxa"/>
            <w:tcBorders>
              <w:top w:val="nil"/>
              <w:bottom w:val="nil"/>
            </w:tcBorders>
            <w:shd w:val="clear" w:color="auto" w:fill="auto"/>
          </w:tcPr>
          <w:p w:rsidR="00E61760" w:rsidRPr="002820E6" w:rsidRDefault="00E61760" w:rsidP="00A86213">
            <w:pPr>
              <w:pStyle w:val="SingleTxtG"/>
              <w:tabs>
                <w:tab w:val="left" w:pos="3260"/>
              </w:tabs>
              <w:ind w:left="3260" w:hanging="2126"/>
              <w:rPr>
                <w:b/>
                <w:szCs w:val="22"/>
              </w:rPr>
            </w:pPr>
            <w:r w:rsidRPr="002820E6">
              <w:rPr>
                <w:b/>
                <w:szCs w:val="22"/>
              </w:rPr>
              <w:t>Executive summary</w:t>
            </w:r>
            <w:r w:rsidRPr="002820E6">
              <w:rPr>
                <w:szCs w:val="22"/>
              </w:rPr>
              <w:t>:</w:t>
            </w:r>
            <w:r w:rsidRPr="002820E6">
              <w:rPr>
                <w:szCs w:val="22"/>
              </w:rPr>
              <w:tab/>
            </w:r>
            <w:r>
              <w:t xml:space="preserve">Transport units and containers containing limited quantities together with fully regulated dangerous goods do not have to bear the mark for limited quantities. This does not necessarily reflect the actual hazard and might in fact be misleading in case of an accident or for tunnel restrictions in tunnels E.  </w:t>
            </w:r>
          </w:p>
        </w:tc>
      </w:tr>
      <w:tr w:rsidR="00E61760" w:rsidRPr="00E62341" w:rsidTr="00A86213">
        <w:trPr>
          <w:jc w:val="center"/>
        </w:trPr>
        <w:tc>
          <w:tcPr>
            <w:tcW w:w="9637" w:type="dxa"/>
            <w:tcBorders>
              <w:top w:val="nil"/>
              <w:bottom w:val="nil"/>
            </w:tcBorders>
            <w:shd w:val="clear" w:color="auto" w:fill="auto"/>
          </w:tcPr>
          <w:p w:rsidR="00E61760" w:rsidRDefault="00E61760" w:rsidP="00A86213">
            <w:pPr>
              <w:pStyle w:val="SingleTxtG"/>
              <w:tabs>
                <w:tab w:val="left" w:pos="3260"/>
              </w:tabs>
              <w:ind w:left="3260" w:hanging="2126"/>
              <w:rPr>
                <w:rFonts w:eastAsia="Arial"/>
              </w:rPr>
            </w:pPr>
            <w:r w:rsidRPr="00C97CF6">
              <w:rPr>
                <w:rFonts w:eastAsia="Arial"/>
                <w:b/>
              </w:rPr>
              <w:t>Action to be taken</w:t>
            </w:r>
            <w:r w:rsidRPr="00C97CF6">
              <w:rPr>
                <w:rFonts w:eastAsia="Arial"/>
              </w:rPr>
              <w:t>:</w:t>
            </w:r>
            <w:r w:rsidRPr="00C97CF6">
              <w:rPr>
                <w:rFonts w:eastAsia="Arial"/>
              </w:rPr>
              <w:tab/>
            </w:r>
            <w:r>
              <w:t>Amend sub-section 3.4.13 (b) in ADR</w:t>
            </w:r>
          </w:p>
          <w:p w:rsidR="00E61760" w:rsidRPr="002820E6" w:rsidRDefault="00E61760" w:rsidP="00A86213">
            <w:pPr>
              <w:pStyle w:val="SingleTxtG"/>
              <w:tabs>
                <w:tab w:val="left" w:pos="3260"/>
              </w:tabs>
              <w:ind w:left="3260" w:hanging="2126"/>
              <w:jc w:val="left"/>
              <w:rPr>
                <w:rFonts w:eastAsia="Arial"/>
                <w:highlight w:val="yellow"/>
              </w:rPr>
            </w:pPr>
            <w:r w:rsidRPr="00C97CF6">
              <w:rPr>
                <w:rFonts w:eastAsia="Arial"/>
                <w:b/>
              </w:rPr>
              <w:t>Related documents</w:t>
            </w:r>
            <w:r w:rsidRPr="00C97CF6">
              <w:rPr>
                <w:rFonts w:eastAsia="Arial"/>
              </w:rPr>
              <w:t>:</w:t>
            </w:r>
            <w:r>
              <w:rPr>
                <w:rFonts w:eastAsia="Arial"/>
              </w:rPr>
              <w:tab/>
            </w:r>
            <w:r w:rsidR="00FB3738">
              <w:rPr>
                <w:rFonts w:eastAsia="Arial"/>
              </w:rPr>
              <w:t xml:space="preserve">Informal document </w:t>
            </w:r>
            <w:r>
              <w:rPr>
                <w:rFonts w:eastAsia="Arial"/>
              </w:rPr>
              <w:t xml:space="preserve">INF.23 from the </w:t>
            </w:r>
            <w:r w:rsidR="00FB3738">
              <w:rPr>
                <w:rFonts w:eastAsia="Arial"/>
              </w:rPr>
              <w:t>105th</w:t>
            </w:r>
            <w:r>
              <w:rPr>
                <w:rFonts w:eastAsia="Arial"/>
              </w:rPr>
              <w:t xml:space="preserve"> session of </w:t>
            </w:r>
            <w:r w:rsidR="00FB3738">
              <w:rPr>
                <w:rFonts w:eastAsia="Arial"/>
              </w:rPr>
              <w:t>the Working Party</w:t>
            </w:r>
            <w:r>
              <w:rPr>
                <w:rFonts w:eastAsia="Arial"/>
              </w:rPr>
              <w:t xml:space="preserve">, </w:t>
            </w:r>
            <w:r w:rsidRPr="00193A55">
              <w:t>ECE/</w:t>
            </w:r>
            <w:r>
              <w:t xml:space="preserve">TRANS/WP.15/AC.1/2018/14, </w:t>
            </w:r>
            <w:r w:rsidRPr="00FB06F6">
              <w:t>OTIF/RID/CE/GTP/2017/9</w:t>
            </w:r>
            <w:r>
              <w:t xml:space="preserve"> (Sweden)</w:t>
            </w:r>
          </w:p>
        </w:tc>
      </w:tr>
      <w:tr w:rsidR="00E61760" w:rsidRPr="00E62341" w:rsidTr="00A86213">
        <w:trPr>
          <w:jc w:val="center"/>
        </w:trPr>
        <w:tc>
          <w:tcPr>
            <w:tcW w:w="9637" w:type="dxa"/>
            <w:tcBorders>
              <w:top w:val="nil"/>
            </w:tcBorders>
            <w:shd w:val="clear" w:color="auto" w:fill="auto"/>
          </w:tcPr>
          <w:p w:rsidR="00E61760" w:rsidRPr="00E62341" w:rsidRDefault="00E61760" w:rsidP="00A86213">
            <w:pPr>
              <w:suppressAutoHyphens w:val="0"/>
              <w:rPr>
                <w:rFonts w:eastAsia="Arial"/>
              </w:rPr>
            </w:pPr>
          </w:p>
        </w:tc>
      </w:tr>
    </w:tbl>
    <w:p w:rsidR="00E61760" w:rsidRPr="0037099C" w:rsidRDefault="00E61760" w:rsidP="00E61760">
      <w:pPr>
        <w:pStyle w:val="HChG"/>
        <w:rPr>
          <w:lang w:val="nl-NL"/>
        </w:rPr>
      </w:pPr>
      <w:r>
        <w:tab/>
      </w:r>
      <w:r>
        <w:tab/>
        <w:t>Background</w:t>
      </w:r>
    </w:p>
    <w:p w:rsidR="00E61760" w:rsidRDefault="00E61760" w:rsidP="00E61760">
      <w:pPr>
        <w:pStyle w:val="SingleTxtG"/>
        <w:rPr>
          <w:rFonts w:eastAsiaTheme="minorEastAsia"/>
          <w:lang w:val="en-US" w:eastAsia="zh-CN"/>
        </w:rPr>
      </w:pPr>
      <w:r>
        <w:rPr>
          <w:rFonts w:eastAsiaTheme="minorEastAsia"/>
          <w:lang w:val="en-US" w:eastAsia="zh-CN"/>
        </w:rPr>
        <w:t>1.</w:t>
      </w:r>
      <w:r>
        <w:rPr>
          <w:rFonts w:eastAsiaTheme="minorEastAsia"/>
          <w:lang w:val="en-US" w:eastAsia="zh-CN"/>
        </w:rPr>
        <w:tab/>
        <w:t xml:space="preserve">At the </w:t>
      </w:r>
      <w:r w:rsidRPr="009950AD">
        <w:rPr>
          <w:rFonts w:eastAsiaTheme="minorEastAsia"/>
          <w:lang w:val="en-US" w:eastAsia="zh-CN"/>
        </w:rPr>
        <w:t>session of the RID</w:t>
      </w:r>
      <w:r>
        <w:rPr>
          <w:rFonts w:eastAsiaTheme="minorEastAsia"/>
          <w:lang w:val="en-US" w:eastAsia="zh-CN"/>
        </w:rPr>
        <w:t>-ADR-AND of March 2018</w:t>
      </w:r>
      <w:r w:rsidRPr="009950AD">
        <w:rPr>
          <w:rFonts w:eastAsiaTheme="minorEastAsia"/>
          <w:lang w:val="en-US" w:eastAsia="zh-CN"/>
        </w:rPr>
        <w:t>, Sweden submitted a document (</w:t>
      </w:r>
      <w:r w:rsidRPr="00193A55">
        <w:t>ECE/</w:t>
      </w:r>
      <w:r>
        <w:t>TRANS/WP.15/AC.1/2018/14</w:t>
      </w:r>
      <w:r w:rsidRPr="009950AD">
        <w:rPr>
          <w:rFonts w:eastAsiaTheme="minorEastAsia"/>
          <w:lang w:val="en-US" w:eastAsia="zh-CN"/>
        </w:rPr>
        <w:t xml:space="preserve">) concerning marking of wagons containing limited quantities. </w:t>
      </w:r>
      <w:r>
        <w:rPr>
          <w:rFonts w:eastAsiaTheme="minorEastAsia"/>
          <w:lang w:val="en-US" w:eastAsia="zh-CN"/>
        </w:rPr>
        <w:t>During the discussion</w:t>
      </w:r>
      <w:r w:rsidR="00FB3738">
        <w:rPr>
          <w:rFonts w:eastAsiaTheme="minorEastAsia"/>
          <w:lang w:val="en-US" w:eastAsia="zh-CN"/>
        </w:rPr>
        <w:t>,</w:t>
      </w:r>
      <w:r>
        <w:rPr>
          <w:rFonts w:eastAsiaTheme="minorEastAsia"/>
          <w:lang w:val="en-US" w:eastAsia="zh-CN"/>
        </w:rPr>
        <w:t xml:space="preserve"> the Swiss delegation underlined that the example 5 under </w:t>
      </w:r>
      <w:r>
        <w:rPr>
          <w:rFonts w:eastAsiaTheme="minorEastAsia"/>
          <w:lang w:val="en-US" w:eastAsia="zh-CN"/>
        </w:rPr>
        <w:lastRenderedPageBreak/>
        <w:t>point 3 reveals a problem in conjunction with the necessary prohibitions of passage laid down in the ADR under 1.9.5.3.6.</w:t>
      </w:r>
    </w:p>
    <w:p w:rsidR="00E61760" w:rsidRDefault="00E61760" w:rsidP="00E61760">
      <w:pPr>
        <w:pStyle w:val="SingleTxtG"/>
        <w:rPr>
          <w:rFonts w:eastAsiaTheme="minorEastAsia"/>
          <w:lang w:val="en-US" w:eastAsia="zh-CN"/>
        </w:rPr>
      </w:pPr>
      <w:r>
        <w:rPr>
          <w:rFonts w:eastAsiaTheme="minorEastAsia"/>
          <w:lang w:val="en-US" w:eastAsia="zh-CN"/>
        </w:rPr>
        <w:t>2.</w:t>
      </w:r>
      <w:r>
        <w:rPr>
          <w:rFonts w:eastAsiaTheme="minorEastAsia"/>
          <w:lang w:val="en-US" w:eastAsia="zh-CN"/>
        </w:rPr>
        <w:tab/>
        <w:t xml:space="preserve">At the </w:t>
      </w:r>
      <w:r w:rsidR="00FB3738">
        <w:rPr>
          <w:rFonts w:eastAsiaTheme="minorEastAsia"/>
          <w:lang w:val="en-US" w:eastAsia="zh-CN"/>
        </w:rPr>
        <w:t>105</w:t>
      </w:r>
      <w:r w:rsidR="00FB3738" w:rsidRPr="00FB3738">
        <w:rPr>
          <w:rFonts w:eastAsiaTheme="minorEastAsia"/>
          <w:vertAlign w:val="superscript"/>
          <w:lang w:val="en-US" w:eastAsia="zh-CN"/>
        </w:rPr>
        <w:t>th</w:t>
      </w:r>
      <w:r w:rsidR="00FB3738">
        <w:rPr>
          <w:rFonts w:eastAsiaTheme="minorEastAsia"/>
          <w:lang w:val="en-US" w:eastAsia="zh-CN"/>
        </w:rPr>
        <w:t xml:space="preserve"> </w:t>
      </w:r>
      <w:r>
        <w:rPr>
          <w:rFonts w:eastAsiaTheme="minorEastAsia"/>
          <w:lang w:val="en-US" w:eastAsia="zh-CN"/>
        </w:rPr>
        <w:t xml:space="preserve">session of </w:t>
      </w:r>
      <w:r w:rsidR="00FB3738">
        <w:rPr>
          <w:rFonts w:eastAsiaTheme="minorEastAsia"/>
          <w:lang w:val="en-US" w:eastAsia="zh-CN"/>
        </w:rPr>
        <w:t>the Working Party</w:t>
      </w:r>
      <w:r>
        <w:rPr>
          <w:rFonts w:eastAsiaTheme="minorEastAsia"/>
          <w:lang w:val="en-US" w:eastAsia="zh-CN"/>
        </w:rPr>
        <w:t xml:space="preserve"> this question was discussed but at that time the delegations were not </w:t>
      </w:r>
      <w:proofErr w:type="gramStart"/>
      <w:r>
        <w:rPr>
          <w:rFonts w:eastAsiaTheme="minorEastAsia"/>
          <w:lang w:val="en-US" w:eastAsia="zh-CN"/>
        </w:rPr>
        <w:t>in a position to</w:t>
      </w:r>
      <w:proofErr w:type="gramEnd"/>
      <w:r>
        <w:rPr>
          <w:rFonts w:eastAsiaTheme="minorEastAsia"/>
          <w:lang w:val="en-US" w:eastAsia="zh-CN"/>
        </w:rPr>
        <w:t xml:space="preserve"> have a definitive opinion about the problem presented in document INF.23 of this session. They proposed to bring the subject in an official document to the Joint Meeting.</w:t>
      </w:r>
    </w:p>
    <w:p w:rsidR="00E61760" w:rsidRDefault="00E61760" w:rsidP="00E61760">
      <w:pPr>
        <w:pStyle w:val="SingleTxtG"/>
        <w:rPr>
          <w:rFonts w:eastAsiaTheme="minorEastAsia"/>
          <w:lang w:val="en-US" w:eastAsia="zh-CN"/>
        </w:rPr>
      </w:pPr>
      <w:r>
        <w:rPr>
          <w:rFonts w:eastAsiaTheme="minorEastAsia"/>
          <w:lang w:val="en-US" w:eastAsia="zh-CN"/>
        </w:rPr>
        <w:t>3.</w:t>
      </w:r>
      <w:r>
        <w:rPr>
          <w:rFonts w:eastAsiaTheme="minorEastAsia"/>
          <w:lang w:val="en-US" w:eastAsia="zh-CN"/>
        </w:rPr>
        <w:tab/>
        <w:t xml:space="preserve">We don’t believe the question needs to be discussed at the Joint Meeting. From one side the relevant texts are different in the RID and ADR. The text in 3.14.13 (b) RID does not foresee an exemption for the marking of the of the transport unit, as it is the case in ADR. From the other side the question is relevant only for the carriage by road in relation to the tunnel restrictions. For these reasons we present hereafter the proposal to the </w:t>
      </w:r>
      <w:r w:rsidR="00FB3738">
        <w:rPr>
          <w:rFonts w:eastAsiaTheme="minorEastAsia"/>
          <w:lang w:val="en-US" w:eastAsia="zh-CN"/>
        </w:rPr>
        <w:t>Working Party</w:t>
      </w:r>
      <w:r>
        <w:rPr>
          <w:rFonts w:eastAsiaTheme="minorEastAsia"/>
          <w:lang w:val="en-US" w:eastAsia="zh-CN"/>
        </w:rPr>
        <w:t xml:space="preserve"> in an official document as has been asked by some delegations.</w:t>
      </w:r>
    </w:p>
    <w:p w:rsidR="00E61760" w:rsidRPr="009950AD" w:rsidRDefault="00E61760" w:rsidP="00E61760">
      <w:pPr>
        <w:pStyle w:val="HChG"/>
        <w:ind w:firstLine="0"/>
      </w:pPr>
      <w:r w:rsidRPr="00042219">
        <w:t>Introduction</w:t>
      </w:r>
    </w:p>
    <w:p w:rsidR="00E61760" w:rsidRDefault="00FB3738" w:rsidP="00E61760">
      <w:pPr>
        <w:pStyle w:val="SingleTxtG"/>
      </w:pPr>
      <w:r>
        <w:t>4</w:t>
      </w:r>
      <w:r w:rsidR="00E61760">
        <w:t>.</w:t>
      </w:r>
      <w:r w:rsidR="00E61760">
        <w:tab/>
      </w:r>
      <w:r w:rsidR="00E61760" w:rsidRPr="00E870FA">
        <w:t xml:space="preserve">Sweden </w:t>
      </w:r>
      <w:proofErr w:type="gramStart"/>
      <w:r w:rsidR="00E61760">
        <w:t xml:space="preserve">was </w:t>
      </w:r>
      <w:r w:rsidR="00E61760" w:rsidRPr="00E870FA">
        <w:t xml:space="preserve">of the </w:t>
      </w:r>
      <w:r w:rsidR="00E61760">
        <w:t>opinion</w:t>
      </w:r>
      <w:r w:rsidR="00E61760" w:rsidRPr="00E870FA">
        <w:t xml:space="preserve"> that</w:t>
      </w:r>
      <w:proofErr w:type="gramEnd"/>
      <w:r w:rsidR="00E61760" w:rsidRPr="00E870FA">
        <w:t xml:space="preserve"> there is a problem with the </w:t>
      </w:r>
      <w:r w:rsidR="00E61760">
        <w:t>placarding</w:t>
      </w:r>
      <w:r w:rsidR="00E61760" w:rsidRPr="00E870FA">
        <w:t xml:space="preserve"> and marking of wagons</w:t>
      </w:r>
      <w:r w:rsidR="00E61760">
        <w:t xml:space="preserve"> and containers</w:t>
      </w:r>
      <w:r w:rsidR="00E61760" w:rsidRPr="00E870FA">
        <w:t xml:space="preserve"> containing both limited quantities and other </w:t>
      </w:r>
      <w:r w:rsidR="00E61760">
        <w:t xml:space="preserve">dangerous </w:t>
      </w:r>
      <w:r w:rsidR="00E61760" w:rsidRPr="00E870FA">
        <w:t xml:space="preserve">goods. According to </w:t>
      </w:r>
      <w:r w:rsidR="00E61760">
        <w:t xml:space="preserve">sub-sections </w:t>
      </w:r>
      <w:r w:rsidR="00E61760" w:rsidRPr="00E870FA">
        <w:t>3.4.13 (a)</w:t>
      </w:r>
      <w:r w:rsidR="00E61760">
        <w:t xml:space="preserve"> and (b)</w:t>
      </w:r>
      <w:r w:rsidR="00E61760" w:rsidRPr="00E870FA">
        <w:t xml:space="preserve">, a </w:t>
      </w:r>
      <w:r w:rsidR="00E61760">
        <w:t>transport unit</w:t>
      </w:r>
      <w:r w:rsidR="00E61760" w:rsidRPr="00E870FA">
        <w:t xml:space="preserve"> </w:t>
      </w:r>
      <w:r w:rsidR="00E61760" w:rsidRPr="009950AD">
        <w:t>or container may display the required placards</w:t>
      </w:r>
      <w:r w:rsidR="00E61760" w:rsidRPr="004B068F">
        <w:rPr>
          <w:sz w:val="22"/>
        </w:rPr>
        <w:t xml:space="preserve"> </w:t>
      </w:r>
      <w:r w:rsidR="00E61760" w:rsidRPr="00E870FA">
        <w:t xml:space="preserve">for the </w:t>
      </w:r>
      <w:r w:rsidR="00E61760">
        <w:t>fully regulated</w:t>
      </w:r>
      <w:r w:rsidR="00E61760" w:rsidRPr="00E870FA">
        <w:t xml:space="preserve"> goods </w:t>
      </w:r>
      <w:r w:rsidR="00E61760" w:rsidRPr="004B068F">
        <w:t>only</w:t>
      </w:r>
      <w:r w:rsidR="00E61760" w:rsidRPr="00E870FA">
        <w:t xml:space="preserve">. </w:t>
      </w:r>
      <w:r w:rsidR="00E61760">
        <w:t xml:space="preserve">This means that a unit that </w:t>
      </w:r>
      <w:proofErr w:type="gramStart"/>
      <w:r w:rsidR="00E61760">
        <w:t>is more or less</w:t>
      </w:r>
      <w:proofErr w:type="gramEnd"/>
      <w:r w:rsidR="00E61760">
        <w:t xml:space="preserve"> full with limited quantities, but also contains some fully regulated dangerous goods, may only display the hazard for the fully regulated goods. This does not necessarily reflect the actual hazard.</w:t>
      </w:r>
    </w:p>
    <w:p w:rsidR="00E61760" w:rsidRDefault="00FB3738" w:rsidP="00E61760">
      <w:pPr>
        <w:pStyle w:val="SingleTxtG"/>
        <w:keepNext/>
      </w:pPr>
      <w:r>
        <w:t>5</w:t>
      </w:r>
      <w:r w:rsidR="00E61760">
        <w:t>.</w:t>
      </w:r>
      <w:r w:rsidR="00E61760">
        <w:tab/>
      </w:r>
      <w:r w:rsidR="00E61760" w:rsidRPr="00BD58AD">
        <w:t xml:space="preserve">A few examples </w:t>
      </w:r>
      <w:r w:rsidR="00E61760">
        <w:t xml:space="preserve">extracted from the Swedish document </w:t>
      </w:r>
      <w:r w:rsidR="00E61760" w:rsidRPr="00BD58AD">
        <w:t xml:space="preserve">of the </w:t>
      </w:r>
      <w:r w:rsidR="00E61760" w:rsidRPr="009636BB">
        <w:rPr>
          <w:lang w:val="en-US"/>
        </w:rPr>
        <w:t xml:space="preserve">differences </w:t>
      </w:r>
      <w:r w:rsidR="00E61760" w:rsidRPr="00BD58AD">
        <w:t xml:space="preserve">of </w:t>
      </w:r>
      <w:r w:rsidR="00E61760" w:rsidRPr="009636BB">
        <w:rPr>
          <w:lang w:val="en-US"/>
        </w:rPr>
        <w:t>transport units</w:t>
      </w:r>
      <w:r w:rsidR="00E61760">
        <w:t>/containers</w:t>
      </w:r>
      <w:r w:rsidR="00E61760" w:rsidRPr="00BD58AD">
        <w:t xml:space="preserve"> containing d</w:t>
      </w:r>
      <w:r w:rsidR="00E61760">
        <w:t xml:space="preserve">angerous goods are shown below. </w:t>
      </w:r>
    </w:p>
    <w:p w:rsidR="00E61760" w:rsidRDefault="00E61760" w:rsidP="00E61760">
      <w:pPr>
        <w:keepNext/>
        <w:spacing w:before="120" w:afterLines="120" w:after="288" w:line="240" w:lineRule="auto"/>
        <w:ind w:left="1134"/>
      </w:pPr>
      <w:r>
        <w:t xml:space="preserve">To illustrate our concern, we can compare two of the examples in the table:  </w:t>
      </w:r>
    </w:p>
    <w:p w:rsidR="00E61760" w:rsidRDefault="00E61760" w:rsidP="00E61760">
      <w:pPr>
        <w:pStyle w:val="Bullet1G"/>
        <w:keepNext/>
        <w:spacing w:before="120" w:afterLines="120" w:after="288" w:line="240" w:lineRule="auto"/>
        <w:rPr>
          <w:rStyle w:val="SingleTxtGChar"/>
        </w:rPr>
      </w:pPr>
      <w:r w:rsidRPr="004F7CA5">
        <w:rPr>
          <w:rStyle w:val="SingleTxtGChar"/>
        </w:rPr>
        <w:t xml:space="preserve">In example </w:t>
      </w:r>
      <w:r>
        <w:rPr>
          <w:rStyle w:val="SingleTxtGChar"/>
        </w:rPr>
        <w:t>1</w:t>
      </w:r>
      <w:r w:rsidRPr="004F7CA5">
        <w:rPr>
          <w:rStyle w:val="SingleTxtGChar"/>
        </w:rPr>
        <w:t xml:space="preserve">, a </w:t>
      </w:r>
      <w:r>
        <w:rPr>
          <w:rStyle w:val="SingleTxtGChar"/>
        </w:rPr>
        <w:t>transport unit</w:t>
      </w:r>
      <w:r w:rsidRPr="004F7CA5">
        <w:rPr>
          <w:rStyle w:val="SingleTxtGChar"/>
        </w:rPr>
        <w:t xml:space="preserve">/container is loaded with 28 000 litres of ethanol in limited quantity. This </w:t>
      </w:r>
      <w:r>
        <w:rPr>
          <w:rStyle w:val="SingleTxtGChar"/>
        </w:rPr>
        <w:t>transport unit</w:t>
      </w:r>
      <w:r w:rsidRPr="004F7CA5">
        <w:rPr>
          <w:rStyle w:val="SingleTxtGChar"/>
        </w:rPr>
        <w:t>/container shall be displayed with the LQ-mark.</w:t>
      </w:r>
    </w:p>
    <w:p w:rsidR="00E61760" w:rsidRPr="00091625" w:rsidRDefault="00E61760" w:rsidP="00E61760">
      <w:pPr>
        <w:pStyle w:val="Bullet1G"/>
        <w:spacing w:before="120" w:afterLines="120" w:after="288" w:line="240" w:lineRule="auto"/>
      </w:pPr>
      <w:r w:rsidRPr="004F7CA5">
        <w:rPr>
          <w:rStyle w:val="SingleTxtGChar"/>
        </w:rPr>
        <w:t xml:space="preserve">In example </w:t>
      </w:r>
      <w:r>
        <w:rPr>
          <w:rStyle w:val="SingleTxtGChar"/>
        </w:rPr>
        <w:t>2</w:t>
      </w:r>
      <w:r w:rsidRPr="004F7CA5">
        <w:rPr>
          <w:rStyle w:val="SingleTxtGChar"/>
        </w:rPr>
        <w:t xml:space="preserve">, we have a </w:t>
      </w:r>
      <w:r>
        <w:rPr>
          <w:rStyle w:val="SingleTxtGChar"/>
        </w:rPr>
        <w:t>transport unit</w:t>
      </w:r>
      <w:r w:rsidRPr="004F7CA5">
        <w:rPr>
          <w:rStyle w:val="SingleTxtGChar"/>
        </w:rPr>
        <w:t xml:space="preserve">/container with the same content as described above, i.e. 28 000 litres of ethanol in limited quantity. However, in this case 60 kg of an environmentally hazardous solid is loaded into the same </w:t>
      </w:r>
      <w:r>
        <w:rPr>
          <w:rStyle w:val="SingleTxtGChar"/>
        </w:rPr>
        <w:t>transport unit</w:t>
      </w:r>
      <w:r w:rsidRPr="004F7CA5">
        <w:rPr>
          <w:rStyle w:val="SingleTxtGChar"/>
        </w:rPr>
        <w:t xml:space="preserve">/container. Consequently, this </w:t>
      </w:r>
      <w:r>
        <w:rPr>
          <w:rStyle w:val="SingleTxtGChar"/>
        </w:rPr>
        <w:t>transport unit</w:t>
      </w:r>
      <w:r w:rsidRPr="004F7CA5">
        <w:rPr>
          <w:rStyle w:val="SingleTxtGChar"/>
        </w:rPr>
        <w:t>/container may be displayed with label number 9 only. In our view</w:t>
      </w:r>
      <w:r w:rsidRPr="00091625">
        <w:t>, this does not reflect the real hazard of the load.</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4486"/>
        <w:gridCol w:w="3424"/>
      </w:tblGrid>
      <w:tr w:rsidR="00E61760" w:rsidRPr="00BE3C42" w:rsidTr="00A86213">
        <w:tc>
          <w:tcPr>
            <w:tcW w:w="737" w:type="dxa"/>
            <w:tcBorders>
              <w:top w:val="single" w:sz="4" w:space="0" w:color="auto"/>
              <w:left w:val="single" w:sz="4" w:space="0" w:color="auto"/>
              <w:bottom w:val="single" w:sz="4" w:space="0" w:color="auto"/>
              <w:right w:val="nil"/>
            </w:tcBorders>
          </w:tcPr>
          <w:p w:rsidR="00E61760" w:rsidRPr="00D71474" w:rsidRDefault="00E61760" w:rsidP="00A86213">
            <w:pPr>
              <w:spacing w:before="60" w:afterLines="60" w:after="144" w:line="276" w:lineRule="auto"/>
              <w:ind w:left="1134"/>
              <w:jc w:val="center"/>
            </w:pPr>
          </w:p>
        </w:tc>
        <w:tc>
          <w:tcPr>
            <w:tcW w:w="7910" w:type="dxa"/>
            <w:gridSpan w:val="2"/>
            <w:tcBorders>
              <w:top w:val="single" w:sz="4" w:space="0" w:color="auto"/>
              <w:left w:val="nil"/>
            </w:tcBorders>
            <w:shd w:val="clear" w:color="auto" w:fill="auto"/>
          </w:tcPr>
          <w:p w:rsidR="00E61760" w:rsidRPr="009950AD" w:rsidRDefault="00E61760" w:rsidP="00A86213">
            <w:pPr>
              <w:spacing w:before="60" w:afterLines="60" w:after="144" w:line="276" w:lineRule="auto"/>
              <w:ind w:left="1134"/>
              <w:rPr>
                <w:rFonts w:ascii="Calibri" w:eastAsia="Calibri" w:hAnsi="Calibri"/>
                <w:b/>
                <w:lang w:val="en-US"/>
              </w:rPr>
            </w:pPr>
            <w:r w:rsidRPr="009950AD">
              <w:rPr>
                <w:b/>
              </w:rPr>
              <w:t>Container or wagon</w:t>
            </w:r>
          </w:p>
        </w:tc>
      </w:tr>
      <w:tr w:rsidR="00E61760" w:rsidRPr="00BE3C42" w:rsidTr="00A86213">
        <w:tc>
          <w:tcPr>
            <w:tcW w:w="737" w:type="dxa"/>
            <w:tcBorders>
              <w:top w:val="single" w:sz="4" w:space="0" w:color="auto"/>
              <w:left w:val="single" w:sz="4" w:space="0" w:color="auto"/>
              <w:bottom w:val="single" w:sz="4" w:space="0" w:color="auto"/>
              <w:right w:val="single" w:sz="4" w:space="0" w:color="auto"/>
            </w:tcBorders>
          </w:tcPr>
          <w:p w:rsidR="00E61760" w:rsidRDefault="00E61760" w:rsidP="00A86213">
            <w:pPr>
              <w:spacing w:before="60" w:afterLines="60" w:after="144"/>
              <w:ind w:left="1134"/>
            </w:pPr>
          </w:p>
        </w:tc>
        <w:tc>
          <w:tcPr>
            <w:tcW w:w="4486" w:type="dxa"/>
            <w:tcBorders>
              <w:left w:val="single" w:sz="4" w:space="0" w:color="auto"/>
            </w:tcBorders>
            <w:shd w:val="clear" w:color="auto" w:fill="auto"/>
          </w:tcPr>
          <w:p w:rsidR="00E61760" w:rsidRPr="009950AD" w:rsidRDefault="00E61760" w:rsidP="00A86213">
            <w:pPr>
              <w:spacing w:before="60" w:afterLines="60" w:after="144"/>
              <w:ind w:left="1134"/>
              <w:rPr>
                <w:b/>
              </w:rPr>
            </w:pPr>
            <w:r w:rsidRPr="009950AD">
              <w:rPr>
                <w:b/>
              </w:rPr>
              <w:t>Content</w:t>
            </w:r>
          </w:p>
        </w:tc>
        <w:tc>
          <w:tcPr>
            <w:tcW w:w="3424" w:type="dxa"/>
            <w:shd w:val="clear" w:color="auto" w:fill="auto"/>
          </w:tcPr>
          <w:p w:rsidR="00E61760" w:rsidRPr="009950AD" w:rsidRDefault="00E61760" w:rsidP="00A86213">
            <w:pPr>
              <w:spacing w:before="60" w:afterLines="60" w:after="144"/>
              <w:ind w:left="1134"/>
              <w:rPr>
                <w:b/>
              </w:rPr>
            </w:pPr>
            <w:r w:rsidRPr="009950AD">
              <w:rPr>
                <w:b/>
              </w:rPr>
              <w:t>Placarding/marking</w:t>
            </w:r>
          </w:p>
        </w:tc>
      </w:tr>
      <w:tr w:rsidR="00E61760" w:rsidRPr="00BE3C42" w:rsidTr="00A86213">
        <w:tc>
          <w:tcPr>
            <w:tcW w:w="737" w:type="dxa"/>
          </w:tcPr>
          <w:p w:rsidR="00E61760" w:rsidRPr="00260F3E" w:rsidRDefault="00E61760" w:rsidP="00A86213">
            <w:pPr>
              <w:spacing w:before="60" w:afterLines="60" w:after="144" w:line="276" w:lineRule="auto"/>
              <w:ind w:left="-84"/>
              <w:jc w:val="center"/>
              <w:rPr>
                <w:rFonts w:eastAsia="Calibri"/>
                <w:lang w:val="en-US"/>
              </w:rPr>
            </w:pPr>
            <w:r>
              <w:rPr>
                <w:rFonts w:eastAsia="Calibri"/>
                <w:lang w:val="en-US"/>
              </w:rPr>
              <w:t>1</w:t>
            </w:r>
          </w:p>
        </w:tc>
        <w:tc>
          <w:tcPr>
            <w:tcW w:w="4486" w:type="dxa"/>
            <w:shd w:val="clear" w:color="auto" w:fill="auto"/>
          </w:tcPr>
          <w:p w:rsidR="00E61760" w:rsidRPr="00A00C32" w:rsidRDefault="00E61760" w:rsidP="00A86213">
            <w:pPr>
              <w:spacing w:before="60" w:afterLines="60" w:after="144" w:line="276" w:lineRule="auto"/>
              <w:ind w:left="306"/>
              <w:rPr>
                <w:rFonts w:eastAsia="Calibri"/>
                <w:lang w:val="fr-CH"/>
              </w:rPr>
            </w:pPr>
            <w:r w:rsidRPr="00A00C32">
              <w:rPr>
                <w:rFonts w:eastAsia="Calibri"/>
                <w:lang w:val="fr-CH"/>
              </w:rPr>
              <w:t xml:space="preserve">28 000 litres UN 1170 Ethanol, 3, III   </w:t>
            </w:r>
            <w:proofErr w:type="spellStart"/>
            <w:r w:rsidRPr="00A00C32">
              <w:rPr>
                <w:rFonts w:eastAsia="Calibri"/>
                <w:lang w:val="fr-CH"/>
              </w:rPr>
              <w:t>in</w:t>
            </w:r>
            <w:proofErr w:type="spellEnd"/>
            <w:r w:rsidRPr="00A00C32">
              <w:rPr>
                <w:rFonts w:eastAsia="Calibri"/>
                <w:lang w:val="fr-CH"/>
              </w:rPr>
              <w:t xml:space="preserve"> 5600 plastic jerricans á 5 litres (LQ)</w:t>
            </w:r>
          </w:p>
        </w:tc>
        <w:tc>
          <w:tcPr>
            <w:tcW w:w="3424" w:type="dxa"/>
            <w:shd w:val="clear" w:color="auto" w:fill="auto"/>
          </w:tcPr>
          <w:p w:rsidR="00E61760" w:rsidRPr="00260F3E" w:rsidRDefault="00E61760" w:rsidP="00A86213">
            <w:pPr>
              <w:spacing w:before="60" w:afterLines="60" w:after="144" w:line="276" w:lineRule="auto"/>
              <w:rPr>
                <w:rFonts w:eastAsia="Calibri"/>
                <w:lang w:val="en-US"/>
              </w:rPr>
            </w:pPr>
            <w:r w:rsidRPr="00260F3E">
              <w:rPr>
                <w:noProof/>
                <w:lang w:eastAsia="zh-CN"/>
              </w:rPr>
              <w:drawing>
                <wp:anchor distT="0" distB="0" distL="114300" distR="114300" simplePos="0" relativeHeight="251659264" behindDoc="1" locked="0" layoutInCell="1" allowOverlap="1" wp14:anchorId="57ECE562" wp14:editId="3628CF1F">
                  <wp:simplePos x="0" y="0"/>
                  <wp:positionH relativeFrom="column">
                    <wp:posOffset>804545</wp:posOffset>
                  </wp:positionH>
                  <wp:positionV relativeFrom="paragraph">
                    <wp:posOffset>71755</wp:posOffset>
                  </wp:positionV>
                  <wp:extent cx="363600" cy="363600"/>
                  <wp:effectExtent l="76200" t="76200" r="93980" b="93980"/>
                  <wp:wrapNone/>
                  <wp:docPr id="2" name="Bildobjekt 2" descr="https://www.msb.se/Upload/Forebyggande/farligt_gods/Skyltar_etiketter/bmp/LQ_n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sb.se/Upload/Forebyggande/farligt_gods/Skyltar_etiketter/bmp/LQ_ny.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8184875">
                            <a:off x="0" y="0"/>
                            <a:ext cx="363600" cy="363600"/>
                          </a:xfrm>
                          <a:prstGeom prst="rect">
                            <a:avLst/>
                          </a:prstGeom>
                          <a:noFill/>
                          <a:ln>
                            <a:noFill/>
                          </a:ln>
                        </pic:spPr>
                      </pic:pic>
                    </a:graphicData>
                  </a:graphic>
                </wp:anchor>
              </w:drawing>
            </w:r>
            <w:r w:rsidRPr="00260F3E">
              <w:rPr>
                <w:rFonts w:eastAsia="Calibri"/>
                <w:lang w:val="en-US"/>
              </w:rPr>
              <w:t>LQ</w:t>
            </w:r>
            <w:r w:rsidRPr="00260F3E">
              <w:rPr>
                <w:rFonts w:eastAsia="Calibri"/>
                <w:lang w:val="en-US"/>
              </w:rPr>
              <w:br/>
            </w:r>
            <w:r w:rsidRPr="00260F3E">
              <w:rPr>
                <w:rFonts w:eastAsia="Calibri"/>
                <w:lang w:val="en-US"/>
              </w:rPr>
              <w:br/>
            </w:r>
          </w:p>
        </w:tc>
      </w:tr>
      <w:tr w:rsidR="00E61760" w:rsidRPr="00BE3C42" w:rsidTr="00A86213">
        <w:tc>
          <w:tcPr>
            <w:tcW w:w="737" w:type="dxa"/>
          </w:tcPr>
          <w:p w:rsidR="00E61760" w:rsidRPr="00260F3E" w:rsidRDefault="00E61760" w:rsidP="00A86213">
            <w:pPr>
              <w:spacing w:before="60" w:afterLines="60" w:after="144" w:line="276" w:lineRule="auto"/>
              <w:ind w:left="-84"/>
              <w:jc w:val="center"/>
              <w:rPr>
                <w:rFonts w:eastAsia="Calibri"/>
                <w:lang w:val="en-US"/>
              </w:rPr>
            </w:pPr>
            <w:r>
              <w:rPr>
                <w:rFonts w:eastAsia="Calibri"/>
                <w:lang w:val="en-US"/>
              </w:rPr>
              <w:t>2</w:t>
            </w:r>
          </w:p>
        </w:tc>
        <w:tc>
          <w:tcPr>
            <w:tcW w:w="4486" w:type="dxa"/>
            <w:shd w:val="clear" w:color="auto" w:fill="auto"/>
          </w:tcPr>
          <w:p w:rsidR="00E61760" w:rsidRPr="00260F3E" w:rsidRDefault="00E61760" w:rsidP="00A86213">
            <w:pPr>
              <w:spacing w:before="60" w:afterLines="60" w:after="144" w:line="276" w:lineRule="auto"/>
              <w:ind w:left="306"/>
              <w:rPr>
                <w:rFonts w:eastAsia="Calibri"/>
                <w:lang w:val="en-US"/>
              </w:rPr>
            </w:pPr>
            <w:r w:rsidRPr="00260F3E">
              <w:rPr>
                <w:rFonts w:eastAsia="Calibri"/>
                <w:lang w:val="en-US"/>
              </w:rPr>
              <w:t xml:space="preserve">60 kg UN 3077 Environmentally hazardous substance, solid, </w:t>
            </w:r>
            <w:proofErr w:type="spellStart"/>
            <w:r w:rsidRPr="00260F3E">
              <w:rPr>
                <w:rFonts w:eastAsia="Calibri"/>
                <w:lang w:val="en-US"/>
              </w:rPr>
              <w:t>n.o.s</w:t>
            </w:r>
            <w:proofErr w:type="spellEnd"/>
            <w:r w:rsidRPr="00260F3E">
              <w:rPr>
                <w:rFonts w:eastAsia="Calibri"/>
                <w:lang w:val="en-US"/>
              </w:rPr>
              <w:t xml:space="preserve">., 9, III in a drum and               </w:t>
            </w:r>
            <w:r w:rsidRPr="00260F3E">
              <w:rPr>
                <w:rFonts w:eastAsia="Calibri"/>
                <w:lang w:val="en-US"/>
              </w:rPr>
              <w:br/>
              <w:t xml:space="preserve">28000 </w:t>
            </w:r>
            <w:proofErr w:type="spellStart"/>
            <w:r w:rsidRPr="00260F3E">
              <w:rPr>
                <w:rFonts w:eastAsia="Calibri"/>
                <w:lang w:val="en-US"/>
              </w:rPr>
              <w:t>litres</w:t>
            </w:r>
            <w:proofErr w:type="spellEnd"/>
            <w:r w:rsidRPr="00260F3E">
              <w:rPr>
                <w:rFonts w:eastAsia="Calibri"/>
                <w:lang w:val="en-US"/>
              </w:rPr>
              <w:t xml:space="preserve"> UN 1170 Ethanol, 3, III   in 5600 plastic </w:t>
            </w:r>
            <w:proofErr w:type="spellStart"/>
            <w:r w:rsidRPr="00260F3E">
              <w:rPr>
                <w:rFonts w:eastAsia="Calibri"/>
                <w:lang w:val="en-US"/>
              </w:rPr>
              <w:t>jerricans</w:t>
            </w:r>
            <w:proofErr w:type="spellEnd"/>
            <w:r w:rsidRPr="00260F3E">
              <w:rPr>
                <w:rFonts w:eastAsia="Calibri"/>
                <w:lang w:val="en-US"/>
              </w:rPr>
              <w:t xml:space="preserve"> á 5 </w:t>
            </w:r>
            <w:proofErr w:type="spellStart"/>
            <w:r w:rsidRPr="00260F3E">
              <w:rPr>
                <w:rFonts w:eastAsia="Calibri"/>
                <w:lang w:val="en-US"/>
              </w:rPr>
              <w:t>litres</w:t>
            </w:r>
            <w:proofErr w:type="spellEnd"/>
            <w:r w:rsidRPr="00260F3E">
              <w:rPr>
                <w:rFonts w:eastAsia="Calibri"/>
                <w:lang w:val="en-US"/>
              </w:rPr>
              <w:t xml:space="preserve"> (LQ)</w:t>
            </w:r>
          </w:p>
        </w:tc>
        <w:tc>
          <w:tcPr>
            <w:tcW w:w="3424" w:type="dxa"/>
            <w:shd w:val="clear" w:color="auto" w:fill="auto"/>
          </w:tcPr>
          <w:p w:rsidR="00E61760" w:rsidRPr="00260F3E" w:rsidRDefault="00E61760" w:rsidP="00A86213">
            <w:pPr>
              <w:spacing w:before="60" w:afterLines="60" w:after="144" w:line="276" w:lineRule="auto"/>
              <w:rPr>
                <w:rFonts w:eastAsia="Calibri"/>
                <w:lang w:val="en-US"/>
              </w:rPr>
            </w:pPr>
            <w:r w:rsidRPr="00260F3E">
              <w:rPr>
                <w:noProof/>
                <w:lang w:eastAsia="zh-CN"/>
              </w:rPr>
              <w:drawing>
                <wp:anchor distT="0" distB="0" distL="114300" distR="114300" simplePos="0" relativeHeight="251660288" behindDoc="1" locked="0" layoutInCell="1" allowOverlap="1" wp14:anchorId="569EAF07" wp14:editId="20AD866C">
                  <wp:simplePos x="0" y="0"/>
                  <wp:positionH relativeFrom="column">
                    <wp:posOffset>816610</wp:posOffset>
                  </wp:positionH>
                  <wp:positionV relativeFrom="paragraph">
                    <wp:posOffset>92710</wp:posOffset>
                  </wp:positionV>
                  <wp:extent cx="403200" cy="406800"/>
                  <wp:effectExtent l="95250" t="95250" r="92710" b="88900"/>
                  <wp:wrapNone/>
                  <wp:docPr id="7" name="Bild 7" descr="https://www.msb.se/Upload/Forebyggande/farligt_gods/Skyltar_etiketter/bmp/Nr%209%20%c3%96vriga%20farliga%20%c3%a4mnen%20och%20f%c3%b6rem%c3%a5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sb.se/Upload/Forebyggande/farligt_gods/Skyltar_etiketter/bmp/Nr%209%20%c3%96vriga%20farliga%20%c3%a4mnen%20och%20f%c3%b6rem%c3%a5l.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3390859" flipV="1">
                            <a:off x="0" y="0"/>
                            <a:ext cx="403200" cy="406800"/>
                          </a:xfrm>
                          <a:prstGeom prst="rect">
                            <a:avLst/>
                          </a:prstGeom>
                          <a:noFill/>
                          <a:ln>
                            <a:noFill/>
                          </a:ln>
                        </pic:spPr>
                      </pic:pic>
                    </a:graphicData>
                  </a:graphic>
                </wp:anchor>
              </w:drawing>
            </w:r>
            <w:r w:rsidRPr="00260F3E">
              <w:rPr>
                <w:rFonts w:eastAsia="Calibri"/>
                <w:lang w:val="en-US"/>
              </w:rPr>
              <w:t>No 9</w:t>
            </w:r>
          </w:p>
        </w:tc>
      </w:tr>
    </w:tbl>
    <w:p w:rsidR="00E61760" w:rsidRPr="00BD58AD" w:rsidRDefault="00E61760" w:rsidP="00E61760">
      <w:pPr>
        <w:ind w:left="1134"/>
      </w:pPr>
      <w:r w:rsidRPr="00BD58AD">
        <w:t xml:space="preserve"> </w:t>
      </w:r>
    </w:p>
    <w:p w:rsidR="00E61760" w:rsidRDefault="00FB3738" w:rsidP="00E61760">
      <w:pPr>
        <w:pStyle w:val="SingleTxtG"/>
      </w:pPr>
      <w:r>
        <w:lastRenderedPageBreak/>
        <w:t>6</w:t>
      </w:r>
      <w:r w:rsidR="00E61760">
        <w:t>.</w:t>
      </w:r>
      <w:r w:rsidR="00E61760">
        <w:tab/>
        <w:t xml:space="preserve">In example 2, as prescribed in 5.3.1 and according to the second paragraph in 3.4.13 (b) the mark to be displayed is the No 9. In addition, following the second paragraph in 3.4.13 (b) of ADR the carrying transport unit need not to be marked. As a </w:t>
      </w:r>
      <w:proofErr w:type="gramStart"/>
      <w:r w:rsidR="00E61760">
        <w:t>consequence</w:t>
      </w:r>
      <w:proofErr w:type="gramEnd"/>
      <w:r w:rsidR="00E61760">
        <w:t xml:space="preserve"> no marking LQ will appear on the carrying transport unit. Even if a marking with Mark No 9 is required on the container, the tunnel restrictions in tunnels E of 1.9.5.3.6 don’t apply in that case because the mark No 9 comes only from UN 3077 and this environmentally hazardous substances has a mark </w:t>
      </w:r>
      <w:proofErr w:type="gramStart"/>
      <w:r w:rsidR="00E61760">
        <w:t>´(</w:t>
      </w:r>
      <w:proofErr w:type="gramEnd"/>
      <w:r w:rsidR="00E61760">
        <w:t xml:space="preserve">-)` in column (15) of Table A of Chapter 3.2. Entries having this mark </w:t>
      </w:r>
      <w:proofErr w:type="gramStart"/>
      <w:r w:rsidR="00E61760">
        <w:t>´(</w:t>
      </w:r>
      <w:proofErr w:type="gramEnd"/>
      <w:r w:rsidR="00E61760">
        <w:t>-)` are not subject to tunnel restrictions according to the first sentence in 1.9.5.3.6.</w:t>
      </w:r>
    </w:p>
    <w:p w:rsidR="00E61760" w:rsidRDefault="00FB3738" w:rsidP="00E61760">
      <w:pPr>
        <w:pStyle w:val="SingleTxtG"/>
      </w:pPr>
      <w:r>
        <w:t>7</w:t>
      </w:r>
      <w:r w:rsidR="00E61760">
        <w:t>.</w:t>
      </w:r>
      <w:r w:rsidR="00E61760">
        <w:tab/>
        <w:t xml:space="preserve">On the contrary, in example 1, where no environmentally hazardous substances </w:t>
      </w:r>
      <w:proofErr w:type="gramStart"/>
      <w:r w:rsidR="00E61760">
        <w:t>is</w:t>
      </w:r>
      <w:proofErr w:type="gramEnd"/>
      <w:r w:rsidR="00E61760">
        <w:t xml:space="preserve"> present, the container will display the mark LQ and the transport unit is subject to tunnel restrictions in tunnels E according to last sentence of the first paragraph in 1.9.5.3.6.</w:t>
      </w:r>
    </w:p>
    <w:p w:rsidR="00E61760" w:rsidRDefault="00FB3738" w:rsidP="00E61760">
      <w:pPr>
        <w:pStyle w:val="SingleTxtG"/>
      </w:pPr>
      <w:r>
        <w:rPr>
          <w:lang w:val="en-US"/>
        </w:rPr>
        <w:t>8</w:t>
      </w:r>
      <w:r w:rsidR="00E61760">
        <w:t>.</w:t>
      </w:r>
      <w:r w:rsidR="00E61760">
        <w:tab/>
        <w:t>We don’t believe that the passage in tunnels of quantities above 8 tonnes of packages in limited quantities should depend on the presence or not of small amounts of fully regulated environmentally hazardous substances which in addition are exempted in tunnels as it is the case of UN 3077 or 3082.</w:t>
      </w:r>
    </w:p>
    <w:p w:rsidR="00E61760" w:rsidRPr="009950AD" w:rsidRDefault="00FB3738" w:rsidP="00E61760">
      <w:pPr>
        <w:pStyle w:val="SingleTxtG"/>
        <w:rPr>
          <w:rFonts w:eastAsiaTheme="minorEastAsia"/>
          <w:lang w:eastAsia="zh-CN"/>
        </w:rPr>
      </w:pPr>
      <w:r>
        <w:rPr>
          <w:lang w:val="en-US"/>
        </w:rPr>
        <w:t>9</w:t>
      </w:r>
      <w:r w:rsidR="00E61760">
        <w:t>.</w:t>
      </w:r>
      <w:r w:rsidR="00E61760">
        <w:tab/>
        <w:t xml:space="preserve">For the above mentioned </w:t>
      </w:r>
      <w:proofErr w:type="gramStart"/>
      <w:r w:rsidR="00E61760">
        <w:t>reasons</w:t>
      </w:r>
      <w:proofErr w:type="gramEnd"/>
      <w:r w:rsidR="00E61760">
        <w:t xml:space="preserve"> we propose to amend the provisions for the marking of limited quantities </w:t>
      </w:r>
      <w:r w:rsidR="00E61760" w:rsidRPr="00020AD1">
        <w:rPr>
          <w:lang w:val="en-US"/>
        </w:rPr>
        <w:t xml:space="preserve">in order </w:t>
      </w:r>
      <w:r w:rsidR="00E61760">
        <w:t xml:space="preserve">to always require the LQ mark for carriage above 8 tonnes. Even though the type of hazard is not shown by the LQ mark, it will make the rescue services aware of that the container is loaded with dangerous goods that consists of </w:t>
      </w:r>
      <w:proofErr w:type="gramStart"/>
      <w:r w:rsidR="00E61760">
        <w:t>a number of</w:t>
      </w:r>
      <w:proofErr w:type="gramEnd"/>
      <w:r w:rsidR="00E61760">
        <w:t xml:space="preserve"> different hazards and will al</w:t>
      </w:r>
      <w:r w:rsidR="00E61760" w:rsidRPr="009636BB">
        <w:rPr>
          <w:lang w:val="en-US"/>
        </w:rPr>
        <w:t>l</w:t>
      </w:r>
      <w:r w:rsidR="00E61760" w:rsidRPr="00020AD1">
        <w:rPr>
          <w:lang w:val="en-US"/>
        </w:rPr>
        <w:t>ow</w:t>
      </w:r>
      <w:r w:rsidR="00E61760">
        <w:t xml:space="preserve"> apply the tunnel restrictions in tunnel E in </w:t>
      </w:r>
      <w:r w:rsidR="00E61760" w:rsidRPr="00020AD1">
        <w:rPr>
          <w:lang w:val="en-US"/>
        </w:rPr>
        <w:t>a mor</w:t>
      </w:r>
      <w:r w:rsidR="00E61760">
        <w:rPr>
          <w:lang w:val="en-US"/>
        </w:rPr>
        <w:t>e</w:t>
      </w:r>
      <w:r w:rsidR="00E61760" w:rsidRPr="00020AD1">
        <w:rPr>
          <w:lang w:val="en-US"/>
        </w:rPr>
        <w:t xml:space="preserve"> </w:t>
      </w:r>
      <w:r w:rsidR="00E61760">
        <w:t xml:space="preserve">coherent way. </w:t>
      </w:r>
    </w:p>
    <w:p w:rsidR="00E61760" w:rsidRPr="00576C71" w:rsidRDefault="00E61760" w:rsidP="00E61760">
      <w:pPr>
        <w:pStyle w:val="HChG"/>
        <w:rPr>
          <w:rFonts w:eastAsiaTheme="minorEastAsia"/>
          <w:lang w:val="en-US" w:eastAsia="zh-CN"/>
        </w:rPr>
      </w:pPr>
      <w:r w:rsidRPr="00E72409">
        <w:rPr>
          <w:rFonts w:eastAsiaTheme="minorEastAsia"/>
          <w:lang w:eastAsia="zh-CN"/>
        </w:rPr>
        <w:tab/>
      </w:r>
      <w:r w:rsidRPr="00E72409">
        <w:rPr>
          <w:rFonts w:eastAsiaTheme="minorEastAsia"/>
          <w:lang w:eastAsia="zh-CN"/>
        </w:rPr>
        <w:tab/>
      </w:r>
      <w:r w:rsidRPr="00576C71">
        <w:rPr>
          <w:rFonts w:eastAsiaTheme="minorEastAsia"/>
          <w:lang w:val="en-US" w:eastAsia="zh-CN"/>
        </w:rPr>
        <w:t>Proposal</w:t>
      </w:r>
      <w:r>
        <w:rPr>
          <w:rFonts w:eastAsiaTheme="minorEastAsia"/>
          <w:lang w:val="en-US" w:eastAsia="zh-CN"/>
        </w:rPr>
        <w:t>s</w:t>
      </w:r>
    </w:p>
    <w:p w:rsidR="00E61760" w:rsidRDefault="00FB3738" w:rsidP="00E61760">
      <w:pPr>
        <w:pStyle w:val="SingleTxtG"/>
      </w:pPr>
      <w:r>
        <w:t>10</w:t>
      </w:r>
      <w:r w:rsidR="00E61760">
        <w:t>.</w:t>
      </w:r>
      <w:r w:rsidR="00E61760">
        <w:tab/>
      </w:r>
      <w:r w:rsidR="00E61760" w:rsidRPr="00260F3E">
        <w:t xml:space="preserve">Amend 3.4.13 (b) in ADR as follows (changes </w:t>
      </w:r>
      <w:r w:rsidR="00E61760" w:rsidRPr="00FB3738">
        <w:rPr>
          <w:u w:val="single"/>
        </w:rPr>
        <w:t>underlined</w:t>
      </w:r>
      <w:r w:rsidR="00E61760" w:rsidRPr="00260F3E">
        <w:t>):</w:t>
      </w:r>
    </w:p>
    <w:p w:rsidR="00E61760" w:rsidRDefault="00E61760" w:rsidP="00E61760">
      <w:pPr>
        <w:pStyle w:val="SingleTxtG"/>
      </w:pPr>
      <w:r>
        <w:t>“</w:t>
      </w:r>
      <w:r w:rsidRPr="00DF7508">
        <w:t>Containers carrying dangerous goods packed in limited quantities, on transport units with a maximum mass exceeding 12 tonnes, shall be marked in accordance with 3.4.15 on all four sides except when the container contains other dangerous goods for which placarding in accordance with 5.3.1 is required. In this latter case, the container may display the required placards only, or both the placards in accordance with 5.3.1 and the mark</w:t>
      </w:r>
      <w:r>
        <w:t>s</w:t>
      </w:r>
      <w:r w:rsidRPr="00DF7508">
        <w:t xml:space="preserve"> in accordance with 3.4.15</w:t>
      </w:r>
      <w:r w:rsidRPr="00FB3838">
        <w:t>.</w:t>
      </w:r>
    </w:p>
    <w:p w:rsidR="00E61760" w:rsidRPr="00FB3838" w:rsidRDefault="00FB3738" w:rsidP="00E61760">
      <w:pPr>
        <w:pStyle w:val="SingleTxtG"/>
      </w:pPr>
      <w:r>
        <w:t>11.</w:t>
      </w:r>
      <w:r>
        <w:tab/>
      </w:r>
      <w:r w:rsidR="00E61760" w:rsidRPr="00FB3838">
        <w:tab/>
        <w:t>The carrying transport unit need not be marked</w:t>
      </w:r>
      <w:r w:rsidR="00E61760">
        <w:t xml:space="preserve"> </w:t>
      </w:r>
      <w:r w:rsidR="00E61760" w:rsidRPr="00252A2D">
        <w:rPr>
          <w:b/>
          <w:u w:val="single"/>
        </w:rPr>
        <w:t>according to 5.3.1</w:t>
      </w:r>
      <w:r w:rsidR="00E61760" w:rsidRPr="00FB3838">
        <w:t>, except when the</w:t>
      </w:r>
      <w:r w:rsidR="00E61760" w:rsidRPr="00FC600C">
        <w:rPr>
          <w:b/>
          <w:u w:val="single"/>
          <w:lang w:val="en-US"/>
        </w:rPr>
        <w:t>se</w:t>
      </w:r>
      <w:r w:rsidR="00E61760" w:rsidRPr="00FB3838">
        <w:t xml:space="preserve"> marks affixed to the containers are not visible from outside this carrying transport unit. In this latter case, the </w:t>
      </w:r>
      <w:r w:rsidR="00E61760" w:rsidRPr="00FC600C">
        <w:rPr>
          <w:lang w:val="en-US"/>
        </w:rPr>
        <w:t>s</w:t>
      </w:r>
      <w:proofErr w:type="spellStart"/>
      <w:r w:rsidR="00E61760" w:rsidRPr="00FB3838">
        <w:t>ame</w:t>
      </w:r>
      <w:proofErr w:type="spellEnd"/>
      <w:r w:rsidR="00E61760" w:rsidRPr="00FB3838">
        <w:t xml:space="preserve"> marks shall be affixed at the front and at the rear of the transport unit.</w:t>
      </w:r>
      <w:r w:rsidR="00E61760">
        <w:t>”</w:t>
      </w:r>
    </w:p>
    <w:p w:rsidR="00E61760" w:rsidRPr="00576C71" w:rsidRDefault="00E61760" w:rsidP="00E61760">
      <w:pPr>
        <w:pStyle w:val="HChG"/>
        <w:rPr>
          <w:rFonts w:eastAsiaTheme="minorEastAsia"/>
          <w:lang w:val="en-US" w:eastAsia="zh-CN"/>
        </w:rPr>
      </w:pPr>
      <w:r>
        <w:rPr>
          <w:rFonts w:eastAsiaTheme="minorEastAsia"/>
          <w:lang w:val="en-US" w:eastAsia="zh-CN"/>
        </w:rPr>
        <w:tab/>
      </w:r>
      <w:r>
        <w:rPr>
          <w:rFonts w:eastAsiaTheme="minorEastAsia"/>
          <w:lang w:val="en-US" w:eastAsia="zh-CN"/>
        </w:rPr>
        <w:tab/>
      </w:r>
      <w:r w:rsidRPr="00576C71">
        <w:rPr>
          <w:rFonts w:eastAsiaTheme="minorEastAsia"/>
          <w:lang w:val="en-US" w:eastAsia="zh-CN"/>
        </w:rPr>
        <w:t>Justification</w:t>
      </w:r>
    </w:p>
    <w:p w:rsidR="00E61760" w:rsidRDefault="00FB3738" w:rsidP="00E61760">
      <w:pPr>
        <w:pStyle w:val="SingleTxtG"/>
      </w:pPr>
      <w:r>
        <w:t>12</w:t>
      </w:r>
      <w:r w:rsidR="00E61760">
        <w:t>.</w:t>
      </w:r>
      <w:r w:rsidR="00E61760">
        <w:tab/>
      </w:r>
      <w:r w:rsidR="00E61760" w:rsidRPr="00020AD1">
        <w:rPr>
          <w:lang w:val="en-US"/>
        </w:rPr>
        <w:t xml:space="preserve">The proposed change implies that only marks according to 5.3.1 can benefit from the </w:t>
      </w:r>
      <w:r w:rsidR="00E61760">
        <w:rPr>
          <w:lang w:val="en-US"/>
        </w:rPr>
        <w:t>e</w:t>
      </w:r>
      <w:r w:rsidR="00E61760" w:rsidRPr="00020AD1">
        <w:rPr>
          <w:lang w:val="en-US"/>
        </w:rPr>
        <w:t xml:space="preserve">xemption </w:t>
      </w:r>
      <w:r w:rsidR="00E61760">
        <w:rPr>
          <w:lang w:val="en-US"/>
        </w:rPr>
        <w:t xml:space="preserve">regarding the marking of the transport unit. LQ mark will always be on the transport unit independently of the presence of mark No 9. </w:t>
      </w:r>
      <w:r w:rsidR="00E61760" w:rsidRPr="00BD58AD">
        <w:t xml:space="preserve">The emergency services would benefit from a more accurate display of the potential </w:t>
      </w:r>
      <w:r w:rsidR="00E61760">
        <w:t>hazards and the tunnel restrictions for tunnels of category E will be applicable independently of the presence of fully regulated dangerous goods.</w:t>
      </w:r>
    </w:p>
    <w:p w:rsidR="00A00778" w:rsidRPr="000D656A" w:rsidRDefault="00A00778" w:rsidP="00A00778">
      <w:pPr>
        <w:pStyle w:val="SingleTxtG"/>
        <w:spacing w:before="240" w:after="0"/>
        <w:jc w:val="center"/>
        <w:rPr>
          <w:u w:val="single"/>
        </w:rPr>
      </w:pPr>
      <w:r>
        <w:rPr>
          <w:u w:val="single"/>
        </w:rPr>
        <w:tab/>
      </w:r>
      <w:r>
        <w:rPr>
          <w:u w:val="single"/>
        </w:rPr>
        <w:tab/>
      </w:r>
      <w:r>
        <w:rPr>
          <w:u w:val="single"/>
        </w:rPr>
        <w:tab/>
      </w:r>
    </w:p>
    <w:sectPr w:rsidR="00A00778" w:rsidRPr="000D656A" w:rsidSect="001330DE">
      <w:headerReference w:type="even" r:id="rId11"/>
      <w:headerReference w:type="default" r:id="rId12"/>
      <w:footerReference w:type="even" r:id="rId13"/>
      <w:footerReference w:type="defaul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38C" w:rsidRDefault="0090238C"/>
  </w:endnote>
  <w:endnote w:type="continuationSeparator" w:id="0">
    <w:p w:rsidR="0090238C" w:rsidRDefault="0090238C"/>
  </w:endnote>
  <w:endnote w:type="continuationNotice" w:id="1">
    <w:p w:rsidR="0090238C" w:rsidRDefault="00902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8C" w:rsidRPr="001330DE" w:rsidRDefault="0090238C" w:rsidP="001330DE">
    <w:pPr>
      <w:pStyle w:val="Footer"/>
      <w:tabs>
        <w:tab w:val="right" w:pos="9598"/>
      </w:tabs>
    </w:pPr>
    <w:r w:rsidRPr="001330DE">
      <w:rPr>
        <w:b/>
        <w:sz w:val="18"/>
      </w:rPr>
      <w:fldChar w:fldCharType="begin"/>
    </w:r>
    <w:r w:rsidRPr="001330DE">
      <w:rPr>
        <w:b/>
        <w:sz w:val="18"/>
      </w:rPr>
      <w:instrText xml:space="preserve"> PAGE  \* MERGEFORMAT </w:instrText>
    </w:r>
    <w:r w:rsidRPr="001330DE">
      <w:rPr>
        <w:b/>
        <w:sz w:val="18"/>
      </w:rPr>
      <w:fldChar w:fldCharType="separate"/>
    </w:r>
    <w:r w:rsidR="00D9338E">
      <w:rPr>
        <w:b/>
        <w:noProof/>
        <w:sz w:val="18"/>
      </w:rPr>
      <w:t>2</w:t>
    </w:r>
    <w:r w:rsidRPr="001330D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8C" w:rsidRPr="001330DE" w:rsidRDefault="0090238C" w:rsidP="001330DE">
    <w:pPr>
      <w:pStyle w:val="Footer"/>
      <w:tabs>
        <w:tab w:val="right" w:pos="9598"/>
      </w:tabs>
      <w:rPr>
        <w:b/>
        <w:sz w:val="18"/>
      </w:rPr>
    </w:pPr>
    <w:r>
      <w:tab/>
    </w:r>
    <w:r w:rsidRPr="001330DE">
      <w:rPr>
        <w:b/>
        <w:sz w:val="18"/>
      </w:rPr>
      <w:fldChar w:fldCharType="begin"/>
    </w:r>
    <w:r w:rsidRPr="001330DE">
      <w:rPr>
        <w:b/>
        <w:sz w:val="18"/>
      </w:rPr>
      <w:instrText xml:space="preserve"> PAGE  \* MERGEFORMAT </w:instrText>
    </w:r>
    <w:r w:rsidRPr="001330DE">
      <w:rPr>
        <w:b/>
        <w:sz w:val="18"/>
      </w:rPr>
      <w:fldChar w:fldCharType="separate"/>
    </w:r>
    <w:r w:rsidR="00D9338E">
      <w:rPr>
        <w:b/>
        <w:noProof/>
        <w:sz w:val="18"/>
      </w:rPr>
      <w:t>3</w:t>
    </w:r>
    <w:r w:rsidRPr="001330D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38C" w:rsidRPr="000B175B" w:rsidRDefault="0090238C" w:rsidP="000B175B">
      <w:pPr>
        <w:tabs>
          <w:tab w:val="right" w:pos="2155"/>
        </w:tabs>
        <w:spacing w:after="80"/>
        <w:ind w:left="680"/>
        <w:rPr>
          <w:u w:val="single"/>
        </w:rPr>
      </w:pPr>
      <w:r>
        <w:rPr>
          <w:u w:val="single"/>
        </w:rPr>
        <w:tab/>
      </w:r>
    </w:p>
  </w:footnote>
  <w:footnote w:type="continuationSeparator" w:id="0">
    <w:p w:rsidR="0090238C" w:rsidRPr="00FC68B7" w:rsidRDefault="0090238C" w:rsidP="00FC68B7">
      <w:pPr>
        <w:tabs>
          <w:tab w:val="left" w:pos="2155"/>
        </w:tabs>
        <w:spacing w:after="80"/>
        <w:ind w:left="680"/>
        <w:rPr>
          <w:u w:val="single"/>
        </w:rPr>
      </w:pPr>
      <w:r>
        <w:rPr>
          <w:u w:val="single"/>
        </w:rPr>
        <w:tab/>
      </w:r>
    </w:p>
  </w:footnote>
  <w:footnote w:type="continuationNotice" w:id="1">
    <w:p w:rsidR="0090238C" w:rsidRDefault="0090238C"/>
  </w:footnote>
  <w:footnote w:id="2">
    <w:p w:rsidR="00B7366C" w:rsidRDefault="00B7366C" w:rsidP="00B7366C">
      <w:pPr>
        <w:pStyle w:val="FootnoteText"/>
        <w:tabs>
          <w:tab w:val="clear" w:pos="1021"/>
        </w:tabs>
        <w:ind w:left="1418" w:right="1260" w:hanging="284"/>
        <w:jc w:val="both"/>
      </w:pPr>
      <w:r w:rsidRPr="00C634A6">
        <w:rPr>
          <w:rStyle w:val="FootnoteReference"/>
          <w:sz w:val="20"/>
        </w:rPr>
        <w:sym w:font="Symbol" w:char="F02A"/>
      </w:r>
      <w:r>
        <w:tab/>
      </w:r>
      <w:r>
        <w:rPr>
          <w:color w:val="000000"/>
          <w:lang w:val="en-US" w:eastAsia="en-GB"/>
        </w:rPr>
        <w:t>I</w:t>
      </w:r>
      <w:bookmarkStart w:id="0" w:name="_GoBack"/>
      <w:bookmarkEnd w:id="0"/>
      <w:r>
        <w:rPr>
          <w:color w:val="000000"/>
          <w:lang w:val="en-US" w:eastAsia="en-GB"/>
        </w:rPr>
        <w:t xml:space="preserve">n accordance with the </w:t>
      </w:r>
      <w:proofErr w:type="spellStart"/>
      <w:r>
        <w:rPr>
          <w:color w:val="000000"/>
          <w:lang w:val="en-US" w:eastAsia="en-GB"/>
        </w:rPr>
        <w:t>programme</w:t>
      </w:r>
      <w:proofErr w:type="spellEnd"/>
      <w:r>
        <w:rPr>
          <w:color w:val="000000"/>
          <w:lang w:val="en-US" w:eastAsia="en-GB"/>
        </w:rPr>
        <w:t xml:space="preserve"> of work of the Inland Transport Committee for 2018-2019, (ECE/TRANS/WP.15/237, annex V,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8C" w:rsidRPr="001330DE" w:rsidRDefault="0090238C" w:rsidP="001330DE">
    <w:pPr>
      <w:pStyle w:val="Header"/>
    </w:pPr>
    <w:r w:rsidRPr="001330DE">
      <w:t>ECE/TRANS/WP.15/201</w:t>
    </w:r>
    <w:r w:rsidR="009A35A2">
      <w:t>9</w:t>
    </w:r>
    <w:r w:rsidRPr="001330DE">
      <w:t>/</w:t>
    </w:r>
    <w:r w:rsidR="00E61760">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8C" w:rsidRPr="001330DE" w:rsidRDefault="0090238C" w:rsidP="001330DE">
    <w:pPr>
      <w:pStyle w:val="Header"/>
      <w:jc w:val="right"/>
    </w:pPr>
    <w:r w:rsidRPr="001330DE">
      <w:t>ECE/TRANS/WP.15/201</w:t>
    </w:r>
    <w:r w:rsidR="00A00778">
      <w:t>9/</w:t>
    </w:r>
    <w:r w:rsidR="00E61760">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3E7BE7"/>
    <w:multiLevelType w:val="hybridMultilevel"/>
    <w:tmpl w:val="6E3C7450"/>
    <w:lvl w:ilvl="0" w:tplc="B38239E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6" w15:restartNumberingAfterBreak="0">
    <w:nsid w:val="4FF35B20"/>
    <w:multiLevelType w:val="hybridMultilevel"/>
    <w:tmpl w:val="640C8E92"/>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5A8B569B"/>
    <w:multiLevelType w:val="hybridMultilevel"/>
    <w:tmpl w:val="D268740A"/>
    <w:lvl w:ilvl="0" w:tplc="8C844F48">
      <w:start w:val="1"/>
      <w:numFmt w:val="decimal"/>
      <w:lvlText w:val="%1."/>
      <w:lvlJc w:val="left"/>
      <w:pPr>
        <w:ind w:left="2257"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5F156885"/>
    <w:multiLevelType w:val="hybridMultilevel"/>
    <w:tmpl w:val="0FE4F17C"/>
    <w:lvl w:ilvl="0" w:tplc="19DC7DDC">
      <w:start w:val="1"/>
      <w:numFmt w:val="bullet"/>
      <w:lvlText w:val=""/>
      <w:lvlJc w:val="left"/>
      <w:pPr>
        <w:ind w:left="1689" w:hanging="555"/>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402792"/>
    <w:multiLevelType w:val="hybridMultilevel"/>
    <w:tmpl w:val="52BC5366"/>
    <w:lvl w:ilvl="0" w:tplc="51C0C72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9"/>
  </w:num>
  <w:num w:numId="15">
    <w:abstractNumId w:val="12"/>
  </w:num>
  <w:num w:numId="16">
    <w:abstractNumId w:val="11"/>
  </w:num>
  <w:num w:numId="17">
    <w:abstractNumId w:val="16"/>
  </w:num>
  <w:num w:numId="18">
    <w:abstractNumId w:val="15"/>
  </w:num>
  <w:num w:numId="19">
    <w:abstractNumId w:val="20"/>
  </w:num>
  <w:num w:numId="20">
    <w:abstractNumId w:val="21"/>
  </w:num>
  <w:num w:numId="21">
    <w:abstractNumId w:val="17"/>
  </w:num>
  <w:num w:numId="2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81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71"/>
    <w:rsid w:val="000120B1"/>
    <w:rsid w:val="00046B1F"/>
    <w:rsid w:val="00050F6B"/>
    <w:rsid w:val="00057E97"/>
    <w:rsid w:val="00072C8C"/>
    <w:rsid w:val="000733B5"/>
    <w:rsid w:val="00081815"/>
    <w:rsid w:val="00083C51"/>
    <w:rsid w:val="00085A33"/>
    <w:rsid w:val="000931C0"/>
    <w:rsid w:val="000B0595"/>
    <w:rsid w:val="000B175B"/>
    <w:rsid w:val="000B3A0F"/>
    <w:rsid w:val="000B4EF7"/>
    <w:rsid w:val="000C2C03"/>
    <w:rsid w:val="000C2D2E"/>
    <w:rsid w:val="000C45FE"/>
    <w:rsid w:val="000E0415"/>
    <w:rsid w:val="001103AA"/>
    <w:rsid w:val="0011666B"/>
    <w:rsid w:val="00126A57"/>
    <w:rsid w:val="001330DE"/>
    <w:rsid w:val="0013366E"/>
    <w:rsid w:val="00136E76"/>
    <w:rsid w:val="00145622"/>
    <w:rsid w:val="00165F3A"/>
    <w:rsid w:val="001B054C"/>
    <w:rsid w:val="001B4B04"/>
    <w:rsid w:val="001C6663"/>
    <w:rsid w:val="001C7895"/>
    <w:rsid w:val="001C7B8E"/>
    <w:rsid w:val="001D0C8C"/>
    <w:rsid w:val="001D1419"/>
    <w:rsid w:val="001D26DF"/>
    <w:rsid w:val="001D3A03"/>
    <w:rsid w:val="001E099A"/>
    <w:rsid w:val="001E4771"/>
    <w:rsid w:val="001E59E0"/>
    <w:rsid w:val="001E7B67"/>
    <w:rsid w:val="001F6AFB"/>
    <w:rsid w:val="00202DA8"/>
    <w:rsid w:val="00211E0B"/>
    <w:rsid w:val="0021665B"/>
    <w:rsid w:val="00222125"/>
    <w:rsid w:val="00234A47"/>
    <w:rsid w:val="00250738"/>
    <w:rsid w:val="00267F5F"/>
    <w:rsid w:val="00286B4D"/>
    <w:rsid w:val="002D4643"/>
    <w:rsid w:val="002F02F3"/>
    <w:rsid w:val="002F175C"/>
    <w:rsid w:val="00302E18"/>
    <w:rsid w:val="00311373"/>
    <w:rsid w:val="00312068"/>
    <w:rsid w:val="003229D8"/>
    <w:rsid w:val="00352709"/>
    <w:rsid w:val="003639E8"/>
    <w:rsid w:val="00363F9A"/>
    <w:rsid w:val="003640F0"/>
    <w:rsid w:val="00364574"/>
    <w:rsid w:val="00371178"/>
    <w:rsid w:val="0038358B"/>
    <w:rsid w:val="0039594A"/>
    <w:rsid w:val="003A6810"/>
    <w:rsid w:val="003A6B33"/>
    <w:rsid w:val="003C2CC4"/>
    <w:rsid w:val="003C6D1D"/>
    <w:rsid w:val="003D4B23"/>
    <w:rsid w:val="003D738F"/>
    <w:rsid w:val="003E0029"/>
    <w:rsid w:val="00410C89"/>
    <w:rsid w:val="00422E03"/>
    <w:rsid w:val="00426B9B"/>
    <w:rsid w:val="00431164"/>
    <w:rsid w:val="004325CB"/>
    <w:rsid w:val="00432E7C"/>
    <w:rsid w:val="00442A83"/>
    <w:rsid w:val="0045495B"/>
    <w:rsid w:val="0048397A"/>
    <w:rsid w:val="004C2461"/>
    <w:rsid w:val="004C7462"/>
    <w:rsid w:val="004D3CEF"/>
    <w:rsid w:val="004E77B2"/>
    <w:rsid w:val="00504B2D"/>
    <w:rsid w:val="0052136D"/>
    <w:rsid w:val="00522B58"/>
    <w:rsid w:val="0052699B"/>
    <w:rsid w:val="0052775E"/>
    <w:rsid w:val="005420F2"/>
    <w:rsid w:val="005628B6"/>
    <w:rsid w:val="005666AA"/>
    <w:rsid w:val="00597C2F"/>
    <w:rsid w:val="005B3DB3"/>
    <w:rsid w:val="005B4E13"/>
    <w:rsid w:val="005E2EBD"/>
    <w:rsid w:val="005F7B75"/>
    <w:rsid w:val="006001EE"/>
    <w:rsid w:val="00603CB2"/>
    <w:rsid w:val="00605042"/>
    <w:rsid w:val="00611FC4"/>
    <w:rsid w:val="006176FB"/>
    <w:rsid w:val="00640B26"/>
    <w:rsid w:val="00644E68"/>
    <w:rsid w:val="00652D0A"/>
    <w:rsid w:val="00656B6B"/>
    <w:rsid w:val="006623D5"/>
    <w:rsid w:val="00662BB6"/>
    <w:rsid w:val="00684C21"/>
    <w:rsid w:val="00696D0A"/>
    <w:rsid w:val="006A2530"/>
    <w:rsid w:val="006C2261"/>
    <w:rsid w:val="006C3589"/>
    <w:rsid w:val="006D2148"/>
    <w:rsid w:val="006D266F"/>
    <w:rsid w:val="006D37AF"/>
    <w:rsid w:val="006D51D0"/>
    <w:rsid w:val="006E564B"/>
    <w:rsid w:val="006E7191"/>
    <w:rsid w:val="0070280D"/>
    <w:rsid w:val="00703577"/>
    <w:rsid w:val="00705894"/>
    <w:rsid w:val="0072632A"/>
    <w:rsid w:val="007327D5"/>
    <w:rsid w:val="007629C8"/>
    <w:rsid w:val="0077047D"/>
    <w:rsid w:val="00775BA6"/>
    <w:rsid w:val="007A3C5F"/>
    <w:rsid w:val="007B4EDD"/>
    <w:rsid w:val="007B6BA5"/>
    <w:rsid w:val="007C3390"/>
    <w:rsid w:val="007C4F4B"/>
    <w:rsid w:val="007E01E9"/>
    <w:rsid w:val="007E63F3"/>
    <w:rsid w:val="007F6611"/>
    <w:rsid w:val="00811920"/>
    <w:rsid w:val="00815AD0"/>
    <w:rsid w:val="008242D7"/>
    <w:rsid w:val="008257B1"/>
    <w:rsid w:val="00830A44"/>
    <w:rsid w:val="00843767"/>
    <w:rsid w:val="008679D9"/>
    <w:rsid w:val="008878DE"/>
    <w:rsid w:val="008979B1"/>
    <w:rsid w:val="008A0606"/>
    <w:rsid w:val="008A632B"/>
    <w:rsid w:val="008A6B25"/>
    <w:rsid w:val="008A6C4F"/>
    <w:rsid w:val="008B2335"/>
    <w:rsid w:val="008C048F"/>
    <w:rsid w:val="008D4A19"/>
    <w:rsid w:val="008E0678"/>
    <w:rsid w:val="0090238C"/>
    <w:rsid w:val="009223CA"/>
    <w:rsid w:val="009264B1"/>
    <w:rsid w:val="00940F93"/>
    <w:rsid w:val="009471BA"/>
    <w:rsid w:val="009760F3"/>
    <w:rsid w:val="009872AB"/>
    <w:rsid w:val="009A0E8D"/>
    <w:rsid w:val="009A35A2"/>
    <w:rsid w:val="009B26E7"/>
    <w:rsid w:val="00A00778"/>
    <w:rsid w:val="00A00A3F"/>
    <w:rsid w:val="00A01489"/>
    <w:rsid w:val="00A07946"/>
    <w:rsid w:val="00A3026E"/>
    <w:rsid w:val="00A338F1"/>
    <w:rsid w:val="00A50DEE"/>
    <w:rsid w:val="00A72F22"/>
    <w:rsid w:val="00A7360F"/>
    <w:rsid w:val="00A748A6"/>
    <w:rsid w:val="00A769F4"/>
    <w:rsid w:val="00A776B4"/>
    <w:rsid w:val="00A94361"/>
    <w:rsid w:val="00AA293C"/>
    <w:rsid w:val="00AD5C88"/>
    <w:rsid w:val="00AE6AC4"/>
    <w:rsid w:val="00B30179"/>
    <w:rsid w:val="00B31E80"/>
    <w:rsid w:val="00B421C1"/>
    <w:rsid w:val="00B54192"/>
    <w:rsid w:val="00B55C71"/>
    <w:rsid w:val="00B56E4A"/>
    <w:rsid w:val="00B56E9C"/>
    <w:rsid w:val="00B64B1F"/>
    <w:rsid w:val="00B6553F"/>
    <w:rsid w:val="00B7366C"/>
    <w:rsid w:val="00B77D05"/>
    <w:rsid w:val="00B81206"/>
    <w:rsid w:val="00B81E12"/>
    <w:rsid w:val="00B9042E"/>
    <w:rsid w:val="00BA399B"/>
    <w:rsid w:val="00BC3FA0"/>
    <w:rsid w:val="00BC74E9"/>
    <w:rsid w:val="00BD186E"/>
    <w:rsid w:val="00BE0515"/>
    <w:rsid w:val="00BF68A8"/>
    <w:rsid w:val="00C0563C"/>
    <w:rsid w:val="00C11A03"/>
    <w:rsid w:val="00C22C0C"/>
    <w:rsid w:val="00C4527F"/>
    <w:rsid w:val="00C463DD"/>
    <w:rsid w:val="00C4724C"/>
    <w:rsid w:val="00C629A0"/>
    <w:rsid w:val="00C634A6"/>
    <w:rsid w:val="00C64629"/>
    <w:rsid w:val="00C71ED6"/>
    <w:rsid w:val="00C745C3"/>
    <w:rsid w:val="00C86220"/>
    <w:rsid w:val="00CB3E03"/>
    <w:rsid w:val="00CE0C77"/>
    <w:rsid w:val="00CE4A8F"/>
    <w:rsid w:val="00CE6A6D"/>
    <w:rsid w:val="00CF49FD"/>
    <w:rsid w:val="00D119BE"/>
    <w:rsid w:val="00D2031B"/>
    <w:rsid w:val="00D25FE2"/>
    <w:rsid w:val="00D43252"/>
    <w:rsid w:val="00D47EEA"/>
    <w:rsid w:val="00D6286A"/>
    <w:rsid w:val="00D773DF"/>
    <w:rsid w:val="00D77865"/>
    <w:rsid w:val="00D9338E"/>
    <w:rsid w:val="00D94296"/>
    <w:rsid w:val="00D95303"/>
    <w:rsid w:val="00D978C6"/>
    <w:rsid w:val="00DA3C1C"/>
    <w:rsid w:val="00DD40F2"/>
    <w:rsid w:val="00DE40E0"/>
    <w:rsid w:val="00E046DF"/>
    <w:rsid w:val="00E27346"/>
    <w:rsid w:val="00E61760"/>
    <w:rsid w:val="00E70191"/>
    <w:rsid w:val="00E71BC8"/>
    <w:rsid w:val="00E7260F"/>
    <w:rsid w:val="00E73F5D"/>
    <w:rsid w:val="00E77E4E"/>
    <w:rsid w:val="00E96630"/>
    <w:rsid w:val="00ED41D7"/>
    <w:rsid w:val="00ED7A2A"/>
    <w:rsid w:val="00EF1D7F"/>
    <w:rsid w:val="00F13FB9"/>
    <w:rsid w:val="00F31E5F"/>
    <w:rsid w:val="00F44B02"/>
    <w:rsid w:val="00F6100A"/>
    <w:rsid w:val="00F90BD0"/>
    <w:rsid w:val="00F93781"/>
    <w:rsid w:val="00FB3738"/>
    <w:rsid w:val="00FB613B"/>
    <w:rsid w:val="00FC68B7"/>
    <w:rsid w:val="00FC7A0E"/>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8129"/>
    <o:shapelayout v:ext="edit">
      <o:idmap v:ext="edit" data="1"/>
    </o:shapelayout>
  </w:shapeDefaults>
  <w:decimalSymbol w:val="."/>
  <w:listSeparator w:val=","/>
  <w14:docId w14:val="1F024C24"/>
  <w15:docId w15:val="{7637D977-E40E-42BC-894E-8CD3EE56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 w:type="character" w:customStyle="1" w:styleId="H1GChar">
    <w:name w:val="_ H_1_G Char"/>
    <w:link w:val="H1G"/>
    <w:rsid w:val="00597C2F"/>
    <w:rPr>
      <w:b/>
      <w:sz w:val="24"/>
      <w:lang w:eastAsia="en-US"/>
    </w:rPr>
  </w:style>
  <w:style w:type="paragraph" w:styleId="ListParagraph">
    <w:name w:val="List Paragraph"/>
    <w:basedOn w:val="Normal"/>
    <w:uiPriority w:val="1"/>
    <w:qFormat/>
    <w:rsid w:val="00597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088ED-89F3-40E4-93CB-B274CF35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1051</Words>
  <Characters>5993</Characters>
  <Application>Microsoft Office Word</Application>
  <DocSecurity>0</DocSecurity>
  <Lines>49</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1420747</vt:lpstr>
      <vt:lpstr>1420747</vt:lpstr>
    </vt:vector>
  </TitlesOfParts>
  <Company>CSD</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1420747</dc:title>
  <dc:creator>pae</dc:creator>
  <cp:keywords>ECE/TRANS/WP.15/2014/1</cp:keywords>
  <dc:description>final</dc:description>
  <cp:lastModifiedBy>Christine Barrio-Champeau</cp:lastModifiedBy>
  <cp:revision>7</cp:revision>
  <cp:lastPrinted>2017-02-13T14:39:00Z</cp:lastPrinted>
  <dcterms:created xsi:type="dcterms:W3CDTF">2019-02-13T10:28:00Z</dcterms:created>
  <dcterms:modified xsi:type="dcterms:W3CDTF">2019-02-18T11:43:00Z</dcterms:modified>
</cp:coreProperties>
</file>