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F0D5540" w14:textId="77777777" w:rsidTr="00387CD4">
        <w:trPr>
          <w:trHeight w:hRule="exact" w:val="851"/>
        </w:trPr>
        <w:tc>
          <w:tcPr>
            <w:tcW w:w="142" w:type="dxa"/>
            <w:tcBorders>
              <w:bottom w:val="single" w:sz="4" w:space="0" w:color="auto"/>
            </w:tcBorders>
          </w:tcPr>
          <w:p w14:paraId="4AE642F5" w14:textId="77777777" w:rsidR="002D5AAC" w:rsidRDefault="002D5AAC" w:rsidP="00CE22CD">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14:paraId="7EA38FC9"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3D0099A" w14:textId="77777777" w:rsidR="002D5AAC" w:rsidRDefault="00CE22CD" w:rsidP="00CE22CD">
            <w:pPr>
              <w:jc w:val="right"/>
            </w:pPr>
            <w:r w:rsidRPr="00CE22CD">
              <w:rPr>
                <w:sz w:val="40"/>
              </w:rPr>
              <w:t>ECE</w:t>
            </w:r>
            <w:r>
              <w:t>/TRANS/WP.15/2019/2</w:t>
            </w:r>
          </w:p>
        </w:tc>
      </w:tr>
      <w:tr w:rsidR="002D5AAC" w:rsidRPr="00C24DF5" w14:paraId="14FCEEE5" w14:textId="77777777" w:rsidTr="00387CD4">
        <w:trPr>
          <w:trHeight w:hRule="exact" w:val="2835"/>
        </w:trPr>
        <w:tc>
          <w:tcPr>
            <w:tcW w:w="1280" w:type="dxa"/>
            <w:gridSpan w:val="2"/>
            <w:tcBorders>
              <w:top w:val="single" w:sz="4" w:space="0" w:color="auto"/>
              <w:bottom w:val="single" w:sz="12" w:space="0" w:color="auto"/>
            </w:tcBorders>
          </w:tcPr>
          <w:p w14:paraId="7D8C5F33" w14:textId="77777777" w:rsidR="002D5AAC" w:rsidRDefault="002E5067" w:rsidP="00387CD4">
            <w:pPr>
              <w:spacing w:before="120"/>
              <w:jc w:val="center"/>
            </w:pPr>
            <w:r>
              <w:rPr>
                <w:noProof/>
                <w:lang w:val="en-GB" w:eastAsia="zh-CN"/>
              </w:rPr>
              <w:drawing>
                <wp:inline distT="0" distB="0" distL="0" distR="0" wp14:anchorId="13EC45C5" wp14:editId="6A3D4EC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D2D1766"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5E75EE0" w14:textId="77777777" w:rsidR="002D5AAC" w:rsidRDefault="00CE22CD" w:rsidP="00387CD4">
            <w:pPr>
              <w:spacing w:before="240"/>
              <w:rPr>
                <w:lang w:val="en-US"/>
              </w:rPr>
            </w:pPr>
            <w:r>
              <w:rPr>
                <w:lang w:val="en-US"/>
              </w:rPr>
              <w:t>Distr.: General</w:t>
            </w:r>
          </w:p>
          <w:p w14:paraId="682F8167" w14:textId="77777777" w:rsidR="00CE22CD" w:rsidRDefault="00CE22CD" w:rsidP="00CE22CD">
            <w:pPr>
              <w:spacing w:line="240" w:lineRule="exact"/>
              <w:rPr>
                <w:lang w:val="en-US"/>
              </w:rPr>
            </w:pPr>
            <w:r>
              <w:rPr>
                <w:lang w:val="en-US"/>
              </w:rPr>
              <w:t>19 February 2019</w:t>
            </w:r>
          </w:p>
          <w:p w14:paraId="018437F2" w14:textId="77777777" w:rsidR="00CE22CD" w:rsidRDefault="00CE22CD" w:rsidP="00CE22CD">
            <w:pPr>
              <w:spacing w:line="240" w:lineRule="exact"/>
              <w:rPr>
                <w:lang w:val="en-US"/>
              </w:rPr>
            </w:pPr>
            <w:r>
              <w:rPr>
                <w:lang w:val="en-US"/>
              </w:rPr>
              <w:t>Russian</w:t>
            </w:r>
          </w:p>
          <w:p w14:paraId="4862E521" w14:textId="77777777" w:rsidR="00CE22CD" w:rsidRPr="008D53B6" w:rsidRDefault="00CE22CD" w:rsidP="00CE22CD">
            <w:pPr>
              <w:spacing w:line="240" w:lineRule="exact"/>
              <w:rPr>
                <w:lang w:val="en-US"/>
              </w:rPr>
            </w:pPr>
            <w:r>
              <w:rPr>
                <w:lang w:val="en-US"/>
              </w:rPr>
              <w:t>Original: English</w:t>
            </w:r>
          </w:p>
        </w:tc>
      </w:tr>
    </w:tbl>
    <w:p w14:paraId="46658635" w14:textId="77777777" w:rsidR="00CE22CD" w:rsidRDefault="008A37C8" w:rsidP="00255343">
      <w:pPr>
        <w:spacing w:before="120"/>
        <w:rPr>
          <w:b/>
          <w:sz w:val="28"/>
          <w:szCs w:val="28"/>
        </w:rPr>
      </w:pPr>
      <w:r w:rsidRPr="00245892">
        <w:rPr>
          <w:b/>
          <w:sz w:val="28"/>
          <w:szCs w:val="28"/>
        </w:rPr>
        <w:t>Европейская экономическая комиссия</w:t>
      </w:r>
    </w:p>
    <w:p w14:paraId="3FDA6FE1" w14:textId="77777777" w:rsidR="00844344" w:rsidRPr="00844344" w:rsidRDefault="00844344" w:rsidP="00844344">
      <w:pPr>
        <w:spacing w:before="120"/>
        <w:rPr>
          <w:sz w:val="28"/>
          <w:szCs w:val="28"/>
        </w:rPr>
      </w:pPr>
      <w:r w:rsidRPr="00844344">
        <w:rPr>
          <w:sz w:val="28"/>
          <w:szCs w:val="28"/>
        </w:rPr>
        <w:t>Комитет по внутреннему транспорту</w:t>
      </w:r>
    </w:p>
    <w:p w14:paraId="3A02CF4C" w14:textId="77777777" w:rsidR="00844344" w:rsidRPr="00844344" w:rsidRDefault="00844344" w:rsidP="00844344">
      <w:pPr>
        <w:spacing w:before="120"/>
        <w:rPr>
          <w:b/>
          <w:sz w:val="24"/>
          <w:szCs w:val="24"/>
        </w:rPr>
      </w:pPr>
      <w:r w:rsidRPr="00844344">
        <w:rPr>
          <w:b/>
          <w:bCs/>
          <w:sz w:val="24"/>
          <w:szCs w:val="24"/>
        </w:rPr>
        <w:t>Рабочая группа по перевозкам опасных грузов</w:t>
      </w:r>
    </w:p>
    <w:p w14:paraId="18D7782B" w14:textId="77777777" w:rsidR="00844344" w:rsidRPr="00844344" w:rsidRDefault="00844344" w:rsidP="00844344">
      <w:pPr>
        <w:spacing w:before="120"/>
        <w:rPr>
          <w:rFonts w:eastAsia="SimSun"/>
          <w:b/>
        </w:rPr>
      </w:pPr>
      <w:r w:rsidRPr="00844344">
        <w:rPr>
          <w:b/>
        </w:rPr>
        <w:t xml:space="preserve">106-я сессия </w:t>
      </w:r>
    </w:p>
    <w:p w14:paraId="1D29D022" w14:textId="77777777" w:rsidR="00844344" w:rsidRPr="00933222" w:rsidRDefault="00844344" w:rsidP="00844344">
      <w:pPr>
        <w:rPr>
          <w:rFonts w:eastAsia="SimSun"/>
        </w:rPr>
      </w:pPr>
      <w:r w:rsidRPr="00933222">
        <w:t xml:space="preserve">Женева, 13–17 мая 2019 года </w:t>
      </w:r>
    </w:p>
    <w:p w14:paraId="682258E7" w14:textId="77777777" w:rsidR="00844344" w:rsidRPr="00933222" w:rsidRDefault="00844344" w:rsidP="00844344">
      <w:r w:rsidRPr="00933222">
        <w:t>Пункт 6 b) предварительной повестки дня</w:t>
      </w:r>
    </w:p>
    <w:p w14:paraId="08B98ABC" w14:textId="77777777" w:rsidR="00844344" w:rsidRPr="00933222" w:rsidRDefault="00844344" w:rsidP="00844344">
      <w:pPr>
        <w:rPr>
          <w:b/>
          <w:bCs/>
        </w:rPr>
      </w:pPr>
      <w:r w:rsidRPr="00933222">
        <w:rPr>
          <w:b/>
          <w:bCs/>
        </w:rPr>
        <w:t xml:space="preserve">Предложения о внесении поправок </w:t>
      </w:r>
      <w:r>
        <w:rPr>
          <w:b/>
          <w:bCs/>
        </w:rPr>
        <w:br/>
      </w:r>
      <w:r w:rsidRPr="00933222">
        <w:rPr>
          <w:b/>
          <w:bCs/>
        </w:rPr>
        <w:t>в приложения А и B к ДОПОГ:</w:t>
      </w:r>
    </w:p>
    <w:p w14:paraId="510C0897" w14:textId="77777777" w:rsidR="00844344" w:rsidRPr="00933222" w:rsidRDefault="00844344" w:rsidP="00844344">
      <w:pPr>
        <w:rPr>
          <w:b/>
          <w:bCs/>
        </w:rPr>
      </w:pPr>
      <w:r w:rsidRPr="00933222">
        <w:rPr>
          <w:b/>
          <w:bCs/>
        </w:rPr>
        <w:t>различные предложения</w:t>
      </w:r>
    </w:p>
    <w:p w14:paraId="55B26ED5" w14:textId="77777777" w:rsidR="00844344" w:rsidRPr="00933222" w:rsidRDefault="00844344" w:rsidP="00844344">
      <w:pPr>
        <w:pStyle w:val="HChG"/>
        <w:keepNext w:val="0"/>
        <w:keepLines w:val="0"/>
        <w:rPr>
          <w:sz w:val="20"/>
        </w:rPr>
      </w:pPr>
      <w:r w:rsidRPr="00933222">
        <w:tab/>
      </w:r>
      <w:r w:rsidRPr="00933222">
        <w:tab/>
      </w:r>
      <w:r w:rsidRPr="00933222">
        <w:rPr>
          <w:bCs/>
        </w:rPr>
        <w:t>Пересылка по почте освобожденных упаковок класса 7 с</w:t>
      </w:r>
      <w:r>
        <w:rPr>
          <w:bCs/>
          <w:lang w:val="en-US"/>
        </w:rPr>
        <w:t> </w:t>
      </w:r>
      <w:r w:rsidRPr="00933222">
        <w:rPr>
          <w:bCs/>
        </w:rPr>
        <w:t>ограниченной активностью</w:t>
      </w:r>
    </w:p>
    <w:p w14:paraId="3952C363" w14:textId="77777777" w:rsidR="00844344" w:rsidRDefault="00844344" w:rsidP="00844344">
      <w:pPr>
        <w:pStyle w:val="H1G"/>
        <w:keepNext w:val="0"/>
        <w:keepLines w:val="0"/>
        <w:rPr>
          <w:b w:val="0"/>
          <w:sz w:val="20"/>
        </w:rPr>
      </w:pPr>
      <w:r w:rsidRPr="00933222">
        <w:tab/>
      </w:r>
      <w:r w:rsidRPr="00933222">
        <w:tab/>
      </w:r>
      <w:r w:rsidRPr="00933222">
        <w:rPr>
          <w:bCs/>
        </w:rPr>
        <w:t>Передано правительством Швейцарии</w:t>
      </w:r>
      <w:r w:rsidRPr="00844344">
        <w:rPr>
          <w:rStyle w:val="FootnoteReference"/>
          <w:b w:val="0"/>
          <w:sz w:val="20"/>
          <w:vertAlign w:val="baseline"/>
        </w:rPr>
        <w:footnoteReference w:customMarkFollows="1" w:id="1"/>
        <w:sym w:font="Symbol" w:char="F02A"/>
      </w:r>
    </w:p>
    <w:tbl>
      <w:tblPr>
        <w:tblStyle w:val="TableGrid"/>
        <w:tblW w:w="0" w:type="auto"/>
        <w:jc w:val="center"/>
        <w:tblLook w:val="05E0" w:firstRow="1" w:lastRow="1" w:firstColumn="1" w:lastColumn="1" w:noHBand="0" w:noVBand="1"/>
      </w:tblPr>
      <w:tblGrid>
        <w:gridCol w:w="9628"/>
      </w:tblGrid>
      <w:tr w:rsidR="00844344" w:rsidRPr="00844344" w14:paraId="26C4F9ED" w14:textId="77777777" w:rsidTr="00850215">
        <w:trPr>
          <w:jc w:val="center"/>
        </w:trPr>
        <w:tc>
          <w:tcPr>
            <w:tcW w:w="9637" w:type="dxa"/>
            <w:tcBorders>
              <w:bottom w:val="nil"/>
            </w:tcBorders>
          </w:tcPr>
          <w:p w14:paraId="371E76EC" w14:textId="77777777" w:rsidR="00844344" w:rsidRPr="00844344" w:rsidRDefault="00844344" w:rsidP="00850215">
            <w:pPr>
              <w:tabs>
                <w:tab w:val="left" w:pos="255"/>
              </w:tabs>
              <w:spacing w:before="240" w:after="120"/>
              <w:rPr>
                <w:rFonts w:cs="Times New Roman"/>
                <w:sz w:val="24"/>
              </w:rPr>
            </w:pPr>
            <w:r w:rsidRPr="00844344">
              <w:rPr>
                <w:rFonts w:cs="Times New Roman"/>
              </w:rPr>
              <w:tab/>
            </w:r>
            <w:r w:rsidRPr="00844344">
              <w:rPr>
                <w:rFonts w:cs="Times New Roman"/>
                <w:i/>
                <w:sz w:val="24"/>
              </w:rPr>
              <w:t>Резюме</w:t>
            </w:r>
          </w:p>
        </w:tc>
      </w:tr>
      <w:tr w:rsidR="00844344" w:rsidRPr="00844344" w14:paraId="4BAE62A3" w14:textId="77777777" w:rsidTr="00850215">
        <w:trPr>
          <w:jc w:val="center"/>
        </w:trPr>
        <w:tc>
          <w:tcPr>
            <w:tcW w:w="9637" w:type="dxa"/>
            <w:tcBorders>
              <w:top w:val="nil"/>
              <w:bottom w:val="nil"/>
            </w:tcBorders>
            <w:shd w:val="clear" w:color="auto" w:fill="auto"/>
          </w:tcPr>
          <w:p w14:paraId="6DB4C9CB" w14:textId="77777777" w:rsidR="00844344" w:rsidRPr="00844344" w:rsidRDefault="00844344" w:rsidP="00844344">
            <w:pPr>
              <w:pStyle w:val="SingleTxtG"/>
              <w:tabs>
                <w:tab w:val="left" w:pos="3537"/>
              </w:tabs>
              <w:ind w:left="3537" w:hanging="2403"/>
            </w:pPr>
            <w:r w:rsidRPr="00844344">
              <w:rPr>
                <w:b/>
              </w:rPr>
              <w:t>Существо предложения:</w:t>
            </w:r>
            <w:r w:rsidRPr="00933222">
              <w:tab/>
              <w:t>Правила перевозки МАГАТЭ, а также Типовые правила ООН и последующие соглашения по видам транспорта устанавливают упрощенные требования в отношении пересылки по почте освобожденных упаковок класса 7, имеющих пониженный предельный уровень активности, который составляет одну десятую от уровня, предусмотренного соответственно в таблице 2.7.2.4.1.2 Типовых правил ООН и в таблице 2.2.7.2.4.1.2 ДОПОГ. Для обеспечения непрерывной пересылки по почте этих упаковок предлагается включить в ДОПОГ существующие положения Конвенции ВПС. Упрощенные требования для пересылки по почте предусматриваются в соответствии с Конвенцией ВПС.</w:t>
            </w:r>
          </w:p>
        </w:tc>
      </w:tr>
      <w:tr w:rsidR="00844344" w:rsidRPr="00844344" w14:paraId="48F2A18D" w14:textId="77777777" w:rsidTr="00850215">
        <w:trPr>
          <w:jc w:val="center"/>
        </w:trPr>
        <w:tc>
          <w:tcPr>
            <w:tcW w:w="9637" w:type="dxa"/>
            <w:tcBorders>
              <w:top w:val="nil"/>
              <w:bottom w:val="nil"/>
            </w:tcBorders>
            <w:shd w:val="clear" w:color="auto" w:fill="auto"/>
          </w:tcPr>
          <w:p w14:paraId="7C0AE4A6" w14:textId="77777777" w:rsidR="00844344" w:rsidRPr="00844344" w:rsidRDefault="00844344" w:rsidP="00844344">
            <w:pPr>
              <w:pStyle w:val="SingleTxtG"/>
              <w:tabs>
                <w:tab w:val="left" w:pos="3537"/>
              </w:tabs>
              <w:ind w:left="3537" w:hanging="2403"/>
            </w:pPr>
            <w:r w:rsidRPr="00844344">
              <w:rPr>
                <w:b/>
              </w:rPr>
              <w:t>Предлагаемое решение:</w:t>
            </w:r>
            <w:r w:rsidRPr="00933222">
              <w:tab/>
              <w:t>Включить новое специальное положение в главу 3.3</w:t>
            </w:r>
            <w:r w:rsidRPr="00844344">
              <w:t>.</w:t>
            </w:r>
          </w:p>
        </w:tc>
      </w:tr>
      <w:tr w:rsidR="00844344" w:rsidRPr="00844344" w14:paraId="07155A5A" w14:textId="77777777" w:rsidTr="00850215">
        <w:trPr>
          <w:jc w:val="center"/>
        </w:trPr>
        <w:tc>
          <w:tcPr>
            <w:tcW w:w="9637" w:type="dxa"/>
            <w:tcBorders>
              <w:top w:val="nil"/>
              <w:bottom w:val="nil"/>
            </w:tcBorders>
            <w:shd w:val="clear" w:color="auto" w:fill="auto"/>
          </w:tcPr>
          <w:p w14:paraId="1F2C71C5" w14:textId="77777777" w:rsidR="00844344" w:rsidRPr="00844344" w:rsidRDefault="00844344" w:rsidP="00844344">
            <w:pPr>
              <w:pStyle w:val="SingleTxtG"/>
              <w:tabs>
                <w:tab w:val="left" w:pos="3537"/>
              </w:tabs>
              <w:ind w:left="3537" w:hanging="2403"/>
              <w:rPr>
                <w:b/>
              </w:rPr>
            </w:pPr>
            <w:r w:rsidRPr="00844344">
              <w:rPr>
                <w:b/>
              </w:rPr>
              <w:t>Справочные документы:</w:t>
            </w:r>
            <w:r w:rsidRPr="00933222">
              <w:tab/>
              <w:t>Неофициальный документ INF.4 105-й сессии Рабочей группы. Международное бюро Всемирного почтового союза: Руководство по Конвенции ВПС, Берн, 2018 год</w:t>
            </w:r>
            <w:r w:rsidRPr="00844344">
              <w:t>.</w:t>
            </w:r>
          </w:p>
        </w:tc>
      </w:tr>
      <w:tr w:rsidR="00844344" w:rsidRPr="00844344" w14:paraId="4FFDC2E1" w14:textId="77777777" w:rsidTr="00850215">
        <w:trPr>
          <w:jc w:val="center"/>
        </w:trPr>
        <w:tc>
          <w:tcPr>
            <w:tcW w:w="9637" w:type="dxa"/>
            <w:tcBorders>
              <w:top w:val="nil"/>
            </w:tcBorders>
          </w:tcPr>
          <w:p w14:paraId="5937E29F" w14:textId="77777777" w:rsidR="00844344" w:rsidRPr="00844344" w:rsidRDefault="00844344" w:rsidP="00850215">
            <w:pPr>
              <w:rPr>
                <w:rFonts w:cs="Times New Roman"/>
              </w:rPr>
            </w:pPr>
          </w:p>
        </w:tc>
      </w:tr>
    </w:tbl>
    <w:p w14:paraId="552A18C4" w14:textId="77777777" w:rsidR="00844344" w:rsidRDefault="00844344" w:rsidP="00844344">
      <w:pPr>
        <w:rPr>
          <w:lang w:eastAsia="ru-RU"/>
        </w:rPr>
      </w:pPr>
    </w:p>
    <w:p w14:paraId="4B04E7AD" w14:textId="77777777" w:rsidR="00844344" w:rsidRDefault="00844344" w:rsidP="00844344">
      <w:pPr>
        <w:rPr>
          <w:lang w:eastAsia="ru-RU"/>
        </w:rPr>
      </w:pPr>
    </w:p>
    <w:p w14:paraId="1638B4D6" w14:textId="77777777" w:rsidR="00844344" w:rsidRPr="00933222" w:rsidRDefault="00844344" w:rsidP="00844344">
      <w:pPr>
        <w:pStyle w:val="HChG"/>
      </w:pPr>
      <w:r w:rsidRPr="00933222">
        <w:lastRenderedPageBreak/>
        <w:tab/>
      </w:r>
      <w:r w:rsidRPr="00933222">
        <w:tab/>
      </w:r>
      <w:r w:rsidRPr="00933222">
        <w:rPr>
          <w:bCs/>
        </w:rPr>
        <w:t>Введение</w:t>
      </w:r>
    </w:p>
    <w:p w14:paraId="187E392E" w14:textId="77777777" w:rsidR="00844344" w:rsidRPr="00933222" w:rsidRDefault="00844344" w:rsidP="00844344">
      <w:pPr>
        <w:pStyle w:val="SingleTxtG"/>
      </w:pPr>
      <w:r w:rsidRPr="00933222">
        <w:t>1.</w:t>
      </w:r>
      <w:r w:rsidRPr="00933222">
        <w:tab/>
        <w:t>Правила перевозки МАГАТЭ (SSR</w:t>
      </w:r>
      <w:r w:rsidR="0036352B">
        <w:t>-</w:t>
      </w:r>
      <w:r w:rsidRPr="00933222">
        <w:t>6) содержат пункт 580, непосредственно касающийся пересылки по почте:</w:t>
      </w:r>
    </w:p>
    <w:p w14:paraId="3D645F78" w14:textId="77777777" w:rsidR="00844344" w:rsidRPr="00933222" w:rsidRDefault="00844344" w:rsidP="00844344">
      <w:pPr>
        <w:pStyle w:val="ListParagraph"/>
        <w:autoSpaceDE w:val="0"/>
        <w:autoSpaceDN w:val="0"/>
        <w:adjustRightInd w:val="0"/>
        <w:snapToGrid w:val="0"/>
        <w:spacing w:before="120" w:after="120" w:line="240" w:lineRule="auto"/>
        <w:ind w:left="1134" w:right="1134"/>
        <w:contextualSpacing w:val="0"/>
        <w:jc w:val="both"/>
        <w:rPr>
          <w:lang w:val="ru-RU"/>
        </w:rPr>
      </w:pPr>
      <w:r>
        <w:rPr>
          <w:lang w:val="ru-RU"/>
        </w:rPr>
        <w:t>«</w:t>
      </w:r>
      <w:r w:rsidRPr="00933222">
        <w:rPr>
          <w:i/>
          <w:iCs/>
          <w:lang w:val="ru-RU"/>
        </w:rPr>
        <w:t>Груз</w:t>
      </w:r>
      <w:r w:rsidRPr="00933222">
        <w:rPr>
          <w:lang w:val="ru-RU"/>
        </w:rPr>
        <w:t xml:space="preserve">, удовлетворяющий требованиям пункта 515, активность </w:t>
      </w:r>
      <w:r w:rsidRPr="00933222">
        <w:rPr>
          <w:i/>
          <w:iCs/>
          <w:lang w:val="ru-RU"/>
        </w:rPr>
        <w:t xml:space="preserve">радиоактивного содержимого </w:t>
      </w:r>
      <w:r w:rsidRPr="00933222">
        <w:rPr>
          <w:lang w:val="ru-RU"/>
        </w:rPr>
        <w:t>которого не превышает одной десятой доли пределов, указанных в таблице 4, и который не содержит гексафторида урана, может быть принят национальными почтовыми органами к внутренней пересылке при условии соблюдения таких дополнительных требований, которые могут быть установлены этими органами</w:t>
      </w:r>
      <w:r>
        <w:rPr>
          <w:lang w:val="ru-RU"/>
        </w:rPr>
        <w:t>»</w:t>
      </w:r>
      <w:r w:rsidRPr="00933222">
        <w:rPr>
          <w:lang w:val="ru-RU"/>
        </w:rPr>
        <w:t>.</w:t>
      </w:r>
    </w:p>
    <w:p w14:paraId="4EAF5C8E" w14:textId="77777777" w:rsidR="00844344" w:rsidRPr="00933222" w:rsidRDefault="00844344" w:rsidP="00844344">
      <w:pPr>
        <w:pStyle w:val="SingleTxtG"/>
      </w:pPr>
      <w:r w:rsidRPr="00933222">
        <w:t>2.</w:t>
      </w:r>
      <w:r w:rsidRPr="00933222">
        <w:tab/>
        <w:t>Данный пункт касается положений об освобожденных упаковках (пункт 515) и таблицы 4, которая была включена в ДОПОГ в качестве пункта 2.2.7.2.4.1.2. Указанный пункт был включен и в издание Правил перевозки МАГАТЭ 2018 года без каких-либо изменений.</w:t>
      </w:r>
    </w:p>
    <w:p w14:paraId="387E84E2" w14:textId="77777777" w:rsidR="00844344" w:rsidRPr="00933222" w:rsidRDefault="00844344" w:rsidP="00844344">
      <w:pPr>
        <w:pStyle w:val="SingleTxtG"/>
        <w:spacing w:before="120"/>
      </w:pPr>
      <w:r w:rsidRPr="00933222">
        <w:t>3.</w:t>
      </w:r>
      <w:r w:rsidRPr="00933222">
        <w:tab/>
        <w:t>В пункте 1.1.1.6 b) Типовых правил ООН содержится напоминание о том, что в соответствии с Конвенцией Всемирного почтового союза аналогичное изъятие, которое предусмотрено выше в отношении МАГАТЭ, применяется также в отношении пересылки по международной почте:</w:t>
      </w:r>
    </w:p>
    <w:p w14:paraId="68BCAF03" w14:textId="77777777" w:rsidR="00844344" w:rsidRPr="00933222" w:rsidRDefault="00844344" w:rsidP="00844344">
      <w:pPr>
        <w:pStyle w:val="SingleTxtG"/>
        <w:spacing w:before="120"/>
      </w:pPr>
      <w:r w:rsidRPr="00933222">
        <w:tab/>
      </w:r>
      <w:r>
        <w:t>«</w:t>
      </w:r>
      <w:r w:rsidRPr="00933222">
        <w:t>Радиоактивный материал в освобожденной упаковке в соответствии с требованиями подраздела 1.5.1.5, активность которого не превышает одной десятой доли пределов, указанных в таблице 2.7.2.4.1.2, и который не соответствует определениям и критериям других классов, кроме класса 7, или подклассов, определенных в части 2</w:t>
      </w:r>
      <w:r>
        <w:t>»</w:t>
      </w:r>
      <w:r w:rsidRPr="00933222">
        <w:t>.</w:t>
      </w:r>
    </w:p>
    <w:p w14:paraId="2992E8EC" w14:textId="77777777" w:rsidR="00844344" w:rsidRPr="00933222" w:rsidRDefault="00844344" w:rsidP="00844344">
      <w:pPr>
        <w:pStyle w:val="SingleTxtG"/>
        <w:spacing w:before="120"/>
      </w:pPr>
      <w:r w:rsidRPr="00933222">
        <w:t>4.</w:t>
      </w:r>
      <w:r w:rsidRPr="00933222">
        <w:tab/>
        <w:t>Применительно к воздушному транспорту это положение изложено в пункте</w:t>
      </w:r>
      <w:r>
        <w:t> </w:t>
      </w:r>
      <w:r w:rsidRPr="00933222">
        <w:t>2.4.2 с) ИАТА-ПОГ следующим образом:</w:t>
      </w:r>
    </w:p>
    <w:p w14:paraId="03FE6F9E" w14:textId="77777777" w:rsidR="00844344" w:rsidRPr="00933222" w:rsidRDefault="00844344" w:rsidP="00844344">
      <w:pPr>
        <w:pStyle w:val="SingleTxtG"/>
        <w:spacing w:before="120"/>
      </w:pPr>
      <w:r>
        <w:t>«</w:t>
      </w:r>
      <w:r w:rsidRPr="00933222">
        <w:t>Радиоактивный материал, при условии, что его активность не превышает одной десятой доли пределов, разрешенных в таблице 10.3.D. Положения, касающиеся документации (подраздел 10.8), к такому радиоактивному материалу не применяются</w:t>
      </w:r>
      <w:r>
        <w:t>»</w:t>
      </w:r>
      <w:r w:rsidRPr="00933222">
        <w:t>.</w:t>
      </w:r>
    </w:p>
    <w:p w14:paraId="530CB79F" w14:textId="77777777" w:rsidR="00844344" w:rsidRPr="00933222" w:rsidRDefault="00844344" w:rsidP="00844344">
      <w:pPr>
        <w:pStyle w:val="SingleTxtG"/>
      </w:pPr>
      <w:r w:rsidRPr="00933222">
        <w:t>5.</w:t>
      </w:r>
      <w:r w:rsidRPr="00933222">
        <w:tab/>
        <w:t>Применительно к пересылке по почте в Конвенции ВПС данное положение изложено в статье 19-006:</w:t>
      </w:r>
    </w:p>
    <w:p w14:paraId="29ED2395" w14:textId="77777777" w:rsidR="00844344" w:rsidRPr="00844344" w:rsidRDefault="00844344" w:rsidP="00844344">
      <w:pPr>
        <w:pStyle w:val="SingleTxtG"/>
        <w:ind w:left="1701"/>
        <w:rPr>
          <w:i/>
          <w:color w:val="000000"/>
        </w:rPr>
      </w:pPr>
      <w:r w:rsidRPr="00844344">
        <w:rPr>
          <w:i/>
        </w:rPr>
        <w:t>1.</w:t>
      </w:r>
      <w:r>
        <w:rPr>
          <w:i/>
        </w:rPr>
        <w:tab/>
      </w:r>
      <w:r w:rsidRPr="00844344">
        <w:rPr>
          <w:i/>
        </w:rPr>
        <w:t>Почтовые отправления с радиоактивными веществами, вложение и заделка которых соответствуют правилам Международного агентства по атомной энергии, допускаются к пересылке по почте при наличии предварительного разрешения компетентных организаций страны подачи, если только радиоактивность каждого освобожденного отправления не превышает одну десятую радиоактивности, разрешенной в соответствии с таблицей 3 (Пределы радиоактивности для освобожденных отправлений) действующего издания Правил безопасной перевозки радиоактивных материалов (TS–R–1) МАГАТЭ, и оно не содержит гексафторид урана.</w:t>
      </w:r>
    </w:p>
    <w:p w14:paraId="097AD649" w14:textId="77777777" w:rsidR="00844344" w:rsidRPr="00844344" w:rsidRDefault="00844344" w:rsidP="00844344">
      <w:pPr>
        <w:pStyle w:val="SingleTxtG"/>
        <w:ind w:left="1701"/>
        <w:rPr>
          <w:i/>
          <w:color w:val="000000"/>
        </w:rPr>
      </w:pPr>
      <w:r w:rsidRPr="00844344">
        <w:rPr>
          <w:i/>
        </w:rPr>
        <w:t>2.</w:t>
      </w:r>
      <w:r>
        <w:rPr>
          <w:i/>
        </w:rPr>
        <w:tab/>
      </w:r>
      <w:r w:rsidRPr="00844344">
        <w:rPr>
          <w:i/>
        </w:rPr>
        <w:t>На внешней оболочке отправлений с радиоактивными веществами отправитель должен разместить приведенный ниже ярлык и проставить применяемый номер ООН. Кроме того, помимо фамилии и адреса отправителя на ней должна быть сделана прописными буквами отметка о возврате отправлений в случае невручения.</w:t>
      </w:r>
    </w:p>
    <w:p w14:paraId="487B691D" w14:textId="77777777" w:rsidR="00844344" w:rsidRPr="00844344" w:rsidRDefault="00844344" w:rsidP="00844344">
      <w:pPr>
        <w:pStyle w:val="SingleTxtG"/>
        <w:ind w:left="1701"/>
        <w:rPr>
          <w:i/>
          <w:color w:val="000000"/>
        </w:rPr>
      </w:pPr>
      <w:r w:rsidRPr="00844344">
        <w:rPr>
          <w:i/>
        </w:rPr>
        <w:t>3.</w:t>
      </w:r>
      <w:r>
        <w:rPr>
          <w:i/>
        </w:rPr>
        <w:tab/>
      </w:r>
      <w:r w:rsidRPr="00844344">
        <w:rPr>
          <w:i/>
        </w:rPr>
        <w:t xml:space="preserve">На внутренней оболочке отправитель должен указать свою фамилию, адрес и вложение отправления. </w:t>
      </w:r>
    </w:p>
    <w:p w14:paraId="417C5906" w14:textId="77777777" w:rsidR="00844344" w:rsidRPr="00844344" w:rsidRDefault="00844344" w:rsidP="00844344">
      <w:pPr>
        <w:pStyle w:val="SingleTxtG"/>
        <w:ind w:left="1701"/>
        <w:rPr>
          <w:i/>
          <w:color w:val="000000"/>
        </w:rPr>
      </w:pPr>
      <w:r w:rsidRPr="00844344">
        <w:rPr>
          <w:i/>
        </w:rPr>
        <w:t>4.</w:t>
      </w:r>
      <w:r>
        <w:rPr>
          <w:i/>
        </w:rPr>
        <w:tab/>
      </w:r>
      <w:r w:rsidRPr="00844344">
        <w:rPr>
          <w:i/>
        </w:rPr>
        <w:t>В случае возврата порожней упаковки в место подачи ярлык, соответствующий представленному выше образцу, должен быть отчетливо зачеркнут.</w:t>
      </w:r>
    </w:p>
    <w:p w14:paraId="5A700CB3" w14:textId="77777777" w:rsidR="00844344" w:rsidRPr="00933222" w:rsidRDefault="00844344" w:rsidP="00844344">
      <w:pPr>
        <w:pStyle w:val="SingleTxtG"/>
      </w:pPr>
      <w:r w:rsidRPr="00933222">
        <w:t>6.</w:t>
      </w:r>
      <w:r w:rsidRPr="00933222">
        <w:tab/>
        <w:t>Ярлык (знак опасности), упомянутый в пункте 4, приводится ниже. Такой ярлык позволяет различать освобожденные упаковки, отвечающие обычным требованиям в отношении пределов активности, и упаковки, отвечающие пониженным требованиям в отношении пределов активности, разрешенные для пересылки по почте:</w:t>
      </w:r>
    </w:p>
    <w:p w14:paraId="17A420D9" w14:textId="77777777" w:rsidR="00844344" w:rsidRPr="00933222" w:rsidRDefault="00844344" w:rsidP="00844344">
      <w:pPr>
        <w:pStyle w:val="SingleTxtG"/>
      </w:pPr>
      <w:r w:rsidRPr="00933222">
        <w:rPr>
          <w:noProof/>
          <w:lang w:val="en-GB" w:eastAsia="zh-CN"/>
        </w:rPr>
        <w:lastRenderedPageBreak/>
        <w:drawing>
          <wp:inline distT="0" distB="0" distL="0" distR="0" wp14:anchorId="4D037185" wp14:editId="1826DDA0">
            <wp:extent cx="4127350" cy="2910178"/>
            <wp:effectExtent l="0" t="0" r="6985" b="5080"/>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0786" cy="2919652"/>
                    </a:xfrm>
                    <a:prstGeom prst="rect">
                      <a:avLst/>
                    </a:prstGeom>
                    <a:noFill/>
                    <a:ln>
                      <a:noFill/>
                    </a:ln>
                  </pic:spPr>
                </pic:pic>
              </a:graphicData>
            </a:graphic>
          </wp:inline>
        </w:drawing>
      </w:r>
    </w:p>
    <w:p w14:paraId="0E8CD4F0" w14:textId="77777777" w:rsidR="00844344" w:rsidRPr="00933222" w:rsidRDefault="00844344" w:rsidP="00844344">
      <w:pPr>
        <w:pStyle w:val="SingleTxtG"/>
      </w:pPr>
      <w:r w:rsidRPr="00933222">
        <w:t>Что касается аспектов безопасности, то к статье 19-006 был добавлен следующий комментарий:</w:t>
      </w:r>
    </w:p>
    <w:p w14:paraId="4BD1C631" w14:textId="77777777" w:rsidR="00844344" w:rsidRPr="00844344" w:rsidRDefault="00844344" w:rsidP="0036352B">
      <w:pPr>
        <w:pStyle w:val="Pa35"/>
        <w:spacing w:after="120"/>
        <w:ind w:left="1701"/>
        <w:jc w:val="both"/>
        <w:rPr>
          <w:rFonts w:ascii="Times New Roman" w:hAnsi="Times New Roman"/>
          <w:b/>
          <w:color w:val="000000"/>
          <w:sz w:val="20"/>
          <w:szCs w:val="20"/>
          <w:lang w:val="ru-RU"/>
        </w:rPr>
      </w:pPr>
      <w:r w:rsidRPr="00844344">
        <w:rPr>
          <w:rFonts w:ascii="Times New Roman" w:hAnsi="Times New Roman"/>
          <w:b/>
          <w:sz w:val="20"/>
          <w:szCs w:val="20"/>
          <w:lang w:val="ru-RU"/>
        </w:rPr>
        <w:t xml:space="preserve">Комментарий </w:t>
      </w:r>
    </w:p>
    <w:p w14:paraId="49AD18D2" w14:textId="77777777" w:rsidR="00844344" w:rsidRPr="00844344" w:rsidRDefault="00844344" w:rsidP="00844344">
      <w:pPr>
        <w:pStyle w:val="SingleTxtG"/>
        <w:ind w:left="1701" w:hanging="567"/>
        <w:rPr>
          <w:i/>
        </w:rPr>
      </w:pPr>
      <w:r>
        <w:rPr>
          <w:i/>
        </w:rPr>
        <w:tab/>
      </w:r>
      <w:r w:rsidRPr="00844344">
        <w:rPr>
          <w:i/>
        </w:rPr>
        <w:t>1.</w:t>
      </w:r>
      <w:r w:rsidRPr="00844344">
        <w:rPr>
          <w:i/>
        </w:rPr>
        <w:tab/>
        <w:t>В данном случае, пересылка радиоактивных материалов по почте ограничивается грузами, освобожденными от специальных транспортных предписаний по смыслу Правил безопасной перевозки радиоактивных материалов МАГАТЭ по причине весьма низкой активности их вложения.</w:t>
      </w:r>
    </w:p>
    <w:p w14:paraId="109E1406" w14:textId="77777777" w:rsidR="00844344" w:rsidRPr="00933222" w:rsidRDefault="00844344" w:rsidP="00844344">
      <w:pPr>
        <w:pStyle w:val="SingleTxtG"/>
      </w:pPr>
      <w:r w:rsidRPr="00933222">
        <w:t>7.</w:t>
      </w:r>
      <w:r w:rsidRPr="00933222">
        <w:tab/>
        <w:t>Вышеупомянутые положения введены для обеспечения возможности пересылки освобожденных количеств по почте. Что касается дорожного транспорта (ДОПОГ), то непрерывная пересылка освобожденных упаковок по почте не представляется возможной в силу требования в отношении наличия средств пожаротушения, в обычном порядке предусмотренных пунктом 1.1.3.6.2 ДОПОГ. Многие транспортные средства не оснащены огнетушителем массой 2 кг (см. примеры в приложении). В силу этого почтовые услуги в отношении автомобильной перевозки для освобожденных упаковок класса 7 вообще не предлагаются.</w:t>
      </w:r>
    </w:p>
    <w:p w14:paraId="1B72D497" w14:textId="77777777" w:rsidR="00844344" w:rsidRPr="00933222" w:rsidRDefault="00844344" w:rsidP="00844344">
      <w:pPr>
        <w:pStyle w:val="SingleTxtG"/>
      </w:pPr>
      <w:r w:rsidRPr="00933222">
        <w:t>8.</w:t>
      </w:r>
      <w:r w:rsidRPr="00933222">
        <w:tab/>
        <w:t>Другие опасные грузы, представляющие значительный повышенный риск, такие как материалы класса 3 в ограниченных количествах (до 8 тонн), могут перевозиться почтовыми службами без особых требований к противопожарному оборудованию.</w:t>
      </w:r>
    </w:p>
    <w:p w14:paraId="1F52775B" w14:textId="77777777" w:rsidR="00844344" w:rsidRPr="00933222" w:rsidRDefault="00844344" w:rsidP="00844344">
      <w:pPr>
        <w:pStyle w:val="SingleTxtG"/>
      </w:pPr>
      <w:r w:rsidRPr="00933222">
        <w:t>9.</w:t>
      </w:r>
      <w:r w:rsidRPr="00933222">
        <w:tab/>
        <w:t>В ходе 105-й сессии Рабочей группы некоторые делегации утверждали, что требование, касающееся противопожарного оборудования, применимо в отношении всех транспортных средств, перевозящих опасные грузы, при этом ряд делегаций отметили, что специальное положение S5 применяется ко всем видам перевозки освобожденных упаковок, а не только к перевозкам почтовыми службами. По этим причинам они не поддержали идею распространения этого изъятия на все случаи (пункт 45 доклада). Другие делегации указали, что данное изъятие может быть рассмотрено на национальном уровне.</w:t>
      </w:r>
    </w:p>
    <w:p w14:paraId="39B99103" w14:textId="77777777" w:rsidR="00844344" w:rsidRPr="00933222" w:rsidRDefault="00844344" w:rsidP="00844344">
      <w:pPr>
        <w:pStyle w:val="SingleTxtG"/>
      </w:pPr>
      <w:r w:rsidRPr="00933222">
        <w:t>10.</w:t>
      </w:r>
      <w:r w:rsidRPr="00933222">
        <w:tab/>
        <w:t>Как уже разъяснялось выше, не соответствует действительности то, что требование о противопожарном оборудовании применяется ко всем транспортным средствам, перевозящим опасные грузы. В случае перевозок в соответствии с главами</w:t>
      </w:r>
      <w:r>
        <w:t> </w:t>
      </w:r>
      <w:r w:rsidRPr="00933222">
        <w:t xml:space="preserve">3.4 и 3.5 такое оборудование не требуется, даже при очень большом количестве опасных веществ. Что касается применения ко всем видам транспорта, а не только к доставке почтой, то такое изъятие действительно предполагается для всех видов. Причина в том, что такие освобожденные упаковки уже достаточно безопасны для применения к ним упрошенного режима в соответствии с документами таких международных организаций, как Конвенция Всемирного почтового союза, в которой </w:t>
      </w:r>
      <w:r w:rsidRPr="00933222">
        <w:lastRenderedPageBreak/>
        <w:t xml:space="preserve">разрешена перевозка этих грузов, и в соответствии с пунктом 580 Правил </w:t>
      </w:r>
      <w:r w:rsidR="00DF0BD1">
        <w:br/>
      </w:r>
      <w:r w:rsidRPr="00933222">
        <w:t>перевозки SSR-6 МАГАТЭ.</w:t>
      </w:r>
    </w:p>
    <w:p w14:paraId="1EFCE759" w14:textId="77777777" w:rsidR="00844344" w:rsidRPr="00933222" w:rsidRDefault="00844344" w:rsidP="00844344">
      <w:pPr>
        <w:pStyle w:val="SingleTxtG"/>
      </w:pPr>
      <w:r w:rsidRPr="00933222">
        <w:t>11.</w:t>
      </w:r>
      <w:r w:rsidRPr="00933222">
        <w:tab/>
        <w:t>Положения о пересылке освобожденных упаковок почтой были включены в Типовые правила ООН и ИАТА-ПОГ, однако они не в полной мере отражены в правилах, регулирующих наземные и морские перевозки. Более того, даже нормативные положения по опасным грузам не полностью согласованы с положениями Конвенции ВПС. Для обеспечения мультимодальной доставки освобожденных посылок почтой, в частности воздушным, автомобильным и железнодорожным транспортом, ниже излагается специальное положение, основанное на существующ</w:t>
      </w:r>
      <w:r w:rsidR="0036352B">
        <w:t>ей</w:t>
      </w:r>
      <w:r w:rsidRPr="00933222">
        <w:t xml:space="preserve"> стать</w:t>
      </w:r>
      <w:r w:rsidR="0036352B">
        <w:t>е</w:t>
      </w:r>
      <w:r w:rsidRPr="00933222">
        <w:t xml:space="preserve"> 19-006 Конвенции ВПС. Представленное предложение подготовлено с учетом комментария к указанной статье, который позволяет упростить пересылку по почте, что подтверждается Правилами МАГАТЭ.</w:t>
      </w:r>
    </w:p>
    <w:p w14:paraId="67441134" w14:textId="77777777" w:rsidR="00844344" w:rsidRPr="00933222" w:rsidRDefault="00844344" w:rsidP="00844344">
      <w:pPr>
        <w:pStyle w:val="HChG"/>
      </w:pPr>
      <w:r w:rsidRPr="00933222">
        <w:tab/>
      </w:r>
      <w:r w:rsidRPr="00933222">
        <w:tab/>
      </w:r>
      <w:r w:rsidRPr="00933222">
        <w:rPr>
          <w:bCs/>
        </w:rPr>
        <w:t>Предложение</w:t>
      </w:r>
    </w:p>
    <w:p w14:paraId="3954E9DB" w14:textId="77777777" w:rsidR="00844344" w:rsidRPr="00933222" w:rsidRDefault="00844344" w:rsidP="00844344">
      <w:pPr>
        <w:pStyle w:val="SingleTxtG"/>
      </w:pPr>
      <w:r w:rsidRPr="00933222">
        <w:t>12.</w:t>
      </w:r>
      <w:r w:rsidRPr="00933222">
        <w:tab/>
        <w:t xml:space="preserve">В качестве специального положения главы 3.3 </w:t>
      </w:r>
      <w:r w:rsidRPr="00933222">
        <w:rPr>
          <w:b/>
          <w:bCs/>
        </w:rPr>
        <w:t xml:space="preserve">ДОПОГ </w:t>
      </w:r>
      <w:r w:rsidRPr="00933222">
        <w:t>следует добавить следующий текст, выделенный жирным шрифтом. Данное специальное положение следует назначить позициям под № ООН 2910 и ООН 2911:</w:t>
      </w:r>
    </w:p>
    <w:p w14:paraId="099C5AF7" w14:textId="77777777" w:rsidR="00844344" w:rsidRPr="00933222" w:rsidRDefault="0036352B" w:rsidP="00844344">
      <w:pPr>
        <w:spacing w:after="200"/>
        <w:ind w:left="1701" w:right="1134"/>
        <w:jc w:val="both"/>
        <w:rPr>
          <w:b/>
        </w:rPr>
      </w:pPr>
      <w:r>
        <w:rPr>
          <w:b/>
          <w:bCs/>
        </w:rPr>
        <w:t>«</w:t>
      </w:r>
      <w:r w:rsidR="00844344" w:rsidRPr="00933222">
        <w:rPr>
          <w:b/>
          <w:bCs/>
        </w:rPr>
        <w:t>СП XYZ</w:t>
      </w:r>
      <w:r>
        <w:rPr>
          <w:b/>
          <w:bCs/>
        </w:rPr>
        <w:tab/>
      </w:r>
      <w:r w:rsidR="00844344" w:rsidRPr="00933222">
        <w:rPr>
          <w:b/>
          <w:bCs/>
        </w:rPr>
        <w:t>На радиоактивный материал в освобожденной упаковке, который не соответствует определениям и критериям других классов, кроме класса 7, или подклассов, определенных в части 2, и который предлагается для перевозки, не распространяются положения пунктов</w:t>
      </w:r>
      <w:r w:rsidR="006A3BAE">
        <w:rPr>
          <w:b/>
          <w:bCs/>
        </w:rPr>
        <w:t> </w:t>
      </w:r>
      <w:r w:rsidR="00844344" w:rsidRPr="00933222">
        <w:rPr>
          <w:b/>
          <w:bCs/>
        </w:rPr>
        <w:t>5.1.5.4, 7.5.11 CV33</w:t>
      </w:r>
      <w:r>
        <w:rPr>
          <w:b/>
          <w:bCs/>
        </w:rPr>
        <w:t xml:space="preserve"> </w:t>
      </w:r>
      <w:r w:rsidR="00844344" w:rsidRPr="00933222">
        <w:rPr>
          <w:b/>
          <w:bCs/>
        </w:rPr>
        <w:t>(6), при этом он не подпадает под требования к противопожарному оборудованию в пунктах 8.1.4.2</w:t>
      </w:r>
      <w:r w:rsidR="006A3BAE">
        <w:rPr>
          <w:b/>
          <w:bCs/>
        </w:rPr>
        <w:t>–</w:t>
      </w:r>
      <w:r w:rsidR="00844344" w:rsidRPr="00933222">
        <w:rPr>
          <w:b/>
          <w:bCs/>
        </w:rPr>
        <w:t>8.1.4.5, если он отвечает следующим требованиям:</w:t>
      </w:r>
    </w:p>
    <w:p w14:paraId="4E5A787E" w14:textId="77777777" w:rsidR="00844344" w:rsidRPr="006A3BAE" w:rsidRDefault="0036352B" w:rsidP="006A3BAE">
      <w:pPr>
        <w:spacing w:after="200"/>
        <w:ind w:left="1701" w:right="1134"/>
        <w:jc w:val="both"/>
        <w:rPr>
          <w:b/>
          <w:bCs/>
        </w:rPr>
      </w:pPr>
      <w:r>
        <w:rPr>
          <w:b/>
          <w:bCs/>
        </w:rPr>
        <w:tab/>
      </w:r>
      <w:r w:rsidR="00844344" w:rsidRPr="006A3BAE">
        <w:rPr>
          <w:b/>
          <w:bCs/>
        </w:rPr>
        <w:tab/>
      </w:r>
      <w:r w:rsidR="006A3BAE">
        <w:rPr>
          <w:b/>
          <w:bCs/>
        </w:rPr>
        <w:t>а)</w:t>
      </w:r>
      <w:r w:rsidR="006A3BAE">
        <w:rPr>
          <w:b/>
          <w:bCs/>
        </w:rPr>
        <w:tab/>
      </w:r>
      <w:r w:rsidR="00844344" w:rsidRPr="00933222">
        <w:rPr>
          <w:b/>
          <w:bCs/>
        </w:rPr>
        <w:t>Почтовые отправления с радиоактивными веществами, вложение и заделка которых соответствуют правилам Международного агентства по атомной энергии, допускаются к пересылке по почте при наличии предварительного разрешения компетентных организаций страны подачи, если только радиоактивность каждого освобожденного отправления не превышает одну десятую радиоактивности, разрешенной в соответствии с таблицей 2 в пункте 2.2.7.2.4.1.2 настоящих Правил, и оно не содержит гексафторид урана.</w:t>
      </w:r>
    </w:p>
    <w:p w14:paraId="7FCD4D8A" w14:textId="77777777" w:rsidR="00844344" w:rsidRPr="006A3BAE" w:rsidRDefault="00844344" w:rsidP="006A3BAE">
      <w:pPr>
        <w:spacing w:after="200"/>
        <w:ind w:left="1701" w:right="1134"/>
        <w:jc w:val="both"/>
        <w:rPr>
          <w:b/>
          <w:bCs/>
        </w:rPr>
      </w:pPr>
      <w:r w:rsidRPr="006A3BAE">
        <w:rPr>
          <w:b/>
          <w:bCs/>
        </w:rPr>
        <w:tab/>
      </w:r>
      <w:r w:rsidR="0036352B">
        <w:rPr>
          <w:b/>
          <w:bCs/>
        </w:rPr>
        <w:tab/>
      </w:r>
      <w:r w:rsidR="006A3BAE">
        <w:rPr>
          <w:b/>
          <w:bCs/>
          <w:lang w:val="en-US"/>
        </w:rPr>
        <w:t>b</w:t>
      </w:r>
      <w:r w:rsidR="006A3BAE">
        <w:rPr>
          <w:b/>
          <w:bCs/>
        </w:rPr>
        <w:t>)</w:t>
      </w:r>
      <w:r w:rsidR="006A3BAE">
        <w:rPr>
          <w:b/>
          <w:bCs/>
        </w:rPr>
        <w:tab/>
      </w:r>
      <w:r w:rsidRPr="00933222">
        <w:rPr>
          <w:b/>
          <w:bCs/>
        </w:rPr>
        <w:t>На внешней оболочке отправлений с радиоактивными веществами отправитель должен разместить приведенный ниже знак опасности и проставить применяемый номер ООН.</w:t>
      </w:r>
      <w:r w:rsidRPr="006A3BAE">
        <w:rPr>
          <w:b/>
          <w:bCs/>
        </w:rPr>
        <w:t xml:space="preserve"> </w:t>
      </w:r>
      <w:r w:rsidRPr="00933222">
        <w:rPr>
          <w:b/>
          <w:bCs/>
        </w:rPr>
        <w:t>Кроме того, помимо фамилии и адреса отправителя на ней должна быть сделана прописными буквами отметка о возврате отправлений в случае невручения.</w:t>
      </w:r>
    </w:p>
    <w:p w14:paraId="0224AA30" w14:textId="77777777" w:rsidR="00844344" w:rsidRPr="006A3BAE" w:rsidRDefault="0036352B" w:rsidP="006A3BAE">
      <w:pPr>
        <w:spacing w:after="200"/>
        <w:ind w:left="1701" w:right="1134"/>
        <w:jc w:val="both"/>
        <w:rPr>
          <w:b/>
          <w:bCs/>
        </w:rPr>
      </w:pPr>
      <w:r>
        <w:rPr>
          <w:b/>
          <w:bCs/>
        </w:rPr>
        <w:tab/>
      </w:r>
      <w:r>
        <w:rPr>
          <w:b/>
          <w:bCs/>
        </w:rPr>
        <w:tab/>
      </w:r>
      <w:r w:rsidR="006A3BAE">
        <w:rPr>
          <w:b/>
          <w:bCs/>
        </w:rPr>
        <w:t>с)</w:t>
      </w:r>
      <w:r w:rsidR="00844344" w:rsidRPr="006A3BAE">
        <w:rPr>
          <w:b/>
          <w:bCs/>
        </w:rPr>
        <w:tab/>
      </w:r>
      <w:r w:rsidR="00844344" w:rsidRPr="00933222">
        <w:rPr>
          <w:b/>
          <w:bCs/>
        </w:rPr>
        <w:t>На внутренней оболочке отправитель должен указать свою фамилию, адрес и вложение отправления.</w:t>
      </w:r>
      <w:r w:rsidR="00844344" w:rsidRPr="006A3BAE">
        <w:rPr>
          <w:b/>
          <w:bCs/>
        </w:rPr>
        <w:t xml:space="preserve"> </w:t>
      </w:r>
    </w:p>
    <w:p w14:paraId="53A19B13" w14:textId="77777777" w:rsidR="00844344" w:rsidRPr="006A3BAE" w:rsidRDefault="0036352B" w:rsidP="006A3BAE">
      <w:pPr>
        <w:spacing w:after="200"/>
        <w:ind w:left="1701" w:right="1134"/>
        <w:jc w:val="both"/>
        <w:rPr>
          <w:b/>
          <w:bCs/>
        </w:rPr>
      </w:pPr>
      <w:r w:rsidRPr="00C24DF5">
        <w:rPr>
          <w:b/>
          <w:bCs/>
        </w:rPr>
        <w:tab/>
      </w:r>
      <w:r w:rsidRPr="00C24DF5">
        <w:rPr>
          <w:b/>
          <w:bCs/>
        </w:rPr>
        <w:tab/>
      </w:r>
      <w:r w:rsidR="006A3BAE">
        <w:rPr>
          <w:b/>
          <w:bCs/>
          <w:lang w:val="en-US"/>
        </w:rPr>
        <w:t>d</w:t>
      </w:r>
      <w:r w:rsidR="006A3BAE">
        <w:rPr>
          <w:b/>
          <w:bCs/>
        </w:rPr>
        <w:t>)</w:t>
      </w:r>
      <w:r w:rsidR="00844344" w:rsidRPr="006A3BAE">
        <w:rPr>
          <w:b/>
          <w:bCs/>
        </w:rPr>
        <w:tab/>
      </w:r>
      <w:r w:rsidR="00844344" w:rsidRPr="00933222">
        <w:rPr>
          <w:b/>
          <w:bCs/>
        </w:rPr>
        <w:t>В случае возврата порожней упаковки в место подачи знак опасности, соответствующий представленному ниже образцу, должен быть отчетливо зачеркнут.</w:t>
      </w:r>
      <w:r w:rsidR="006A3BAE">
        <w:rPr>
          <w:b/>
          <w:bCs/>
        </w:rPr>
        <w:t>»</w:t>
      </w:r>
      <w:r w:rsidR="00844344" w:rsidRPr="006A3BAE">
        <w:rPr>
          <w:b/>
          <w:bCs/>
        </w:rPr>
        <w:t>.</w:t>
      </w:r>
    </w:p>
    <w:p w14:paraId="79C7051D" w14:textId="77777777" w:rsidR="00844344" w:rsidRPr="00933222" w:rsidRDefault="00844344" w:rsidP="00844344">
      <w:pPr>
        <w:pStyle w:val="SingleTxtG"/>
        <w:ind w:left="1778"/>
      </w:pPr>
      <w:r w:rsidRPr="00933222">
        <w:rPr>
          <w:noProof/>
          <w:lang w:val="en-GB" w:eastAsia="zh-CN"/>
        </w:rPr>
        <w:lastRenderedPageBreak/>
        <w:drawing>
          <wp:inline distT="0" distB="0" distL="0" distR="0" wp14:anchorId="26110297" wp14:editId="759D2EEC">
            <wp:extent cx="4127350" cy="2910178"/>
            <wp:effectExtent l="0" t="0" r="6985"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0786" cy="2919652"/>
                    </a:xfrm>
                    <a:prstGeom prst="rect">
                      <a:avLst/>
                    </a:prstGeom>
                    <a:noFill/>
                    <a:ln>
                      <a:noFill/>
                    </a:ln>
                  </pic:spPr>
                </pic:pic>
              </a:graphicData>
            </a:graphic>
          </wp:inline>
        </w:drawing>
      </w:r>
    </w:p>
    <w:p w14:paraId="631C18E0" w14:textId="77777777" w:rsidR="00844344" w:rsidRPr="006A3BAE" w:rsidRDefault="006A3BAE" w:rsidP="006A3BAE">
      <w:pPr>
        <w:pStyle w:val="SingleTxtG"/>
        <w:ind w:left="1701" w:hanging="567"/>
        <w:rPr>
          <w:b/>
          <w:color w:val="000000"/>
        </w:rPr>
      </w:pPr>
      <w:r>
        <w:rPr>
          <w:b/>
        </w:rPr>
        <w:tab/>
      </w:r>
      <w:r>
        <w:rPr>
          <w:b/>
        </w:rPr>
        <w:tab/>
      </w:r>
      <w:r w:rsidR="00844344" w:rsidRPr="006A3BAE">
        <w:rPr>
          <w:b/>
        </w:rPr>
        <w:t>Примечание: В данном случае, пересылка по почте радиоактивных материалов ограничивается грузами, освобожденными от специальных транспортных предписаний по смыслу Правил безопасной перевозки радиоактивных материалов МАГАТЭ по причине весьма низкой активности их вложения.</w:t>
      </w:r>
    </w:p>
    <w:p w14:paraId="47F34694" w14:textId="77777777" w:rsidR="00844344" w:rsidRPr="00933222" w:rsidRDefault="00844344" w:rsidP="00844344">
      <w:pPr>
        <w:pStyle w:val="HChG"/>
      </w:pPr>
      <w:r w:rsidRPr="00933222">
        <w:tab/>
      </w:r>
      <w:r w:rsidRPr="00933222">
        <w:tab/>
      </w:r>
      <w:r w:rsidRPr="00933222">
        <w:rPr>
          <w:bCs/>
        </w:rPr>
        <w:t>Обоснование</w:t>
      </w:r>
    </w:p>
    <w:p w14:paraId="5AE7899C" w14:textId="77777777" w:rsidR="00844344" w:rsidRPr="00933222" w:rsidRDefault="00844344" w:rsidP="00844344">
      <w:pPr>
        <w:pStyle w:val="SingleTxtG"/>
      </w:pPr>
      <w:r w:rsidRPr="00933222">
        <w:t>11.</w:t>
      </w:r>
      <w:r w:rsidRPr="00933222">
        <w:tab/>
        <w:t>В связи с низким предельным уровнем активности, равным одной десятой, для освобожденных упаковок класса 7 были предложены упрощенные требования в отношении их пересылки, обоснованные в комментарии в Конвенции ВПС, который содержит ссылку на Правила МАГАТЭ.</w:t>
      </w:r>
    </w:p>
    <w:p w14:paraId="7F970A72" w14:textId="77777777" w:rsidR="00844344" w:rsidRPr="00933222" w:rsidRDefault="00844344" w:rsidP="00844344">
      <w:pPr>
        <w:pStyle w:val="SingleTxtG"/>
      </w:pPr>
      <w:r w:rsidRPr="00933222">
        <w:t>12.</w:t>
      </w:r>
      <w:r w:rsidRPr="00933222">
        <w:tab/>
        <w:t>Данное предложение обеспечивает непрерывную мультимодальную пересылку освобожденных упаковок класса 7 со сниженным пределом активности, равным одной десятой от того, который предусмотрен в таблице 2.2.7.2.4.1.2, как это первоначально предполагалось путем осуществления пункта 580 Правил перевозки МАГАТЭ в Типовых правилах и последующих соглашениях для различных видов перевозки, включая ДОПОГ. Такие упаковки четко идентифицируются с помощью маркировки, уже используемой в соответствии с Конвенцией ВПС.</w:t>
      </w:r>
    </w:p>
    <w:p w14:paraId="6078C361" w14:textId="77777777" w:rsidR="00E12C5F" w:rsidRPr="006A3BAE" w:rsidRDefault="006A3BAE" w:rsidP="006A3BAE">
      <w:pPr>
        <w:spacing w:before="240"/>
        <w:jc w:val="center"/>
        <w:rPr>
          <w:u w:val="single"/>
        </w:rPr>
      </w:pPr>
      <w:r>
        <w:rPr>
          <w:u w:val="single"/>
        </w:rPr>
        <w:tab/>
      </w:r>
      <w:r>
        <w:rPr>
          <w:u w:val="single"/>
        </w:rPr>
        <w:tab/>
      </w:r>
      <w:r>
        <w:rPr>
          <w:u w:val="single"/>
        </w:rPr>
        <w:tab/>
      </w:r>
    </w:p>
    <w:sectPr w:rsidR="00E12C5F" w:rsidRPr="006A3BAE" w:rsidSect="00CE22CD">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EA633" w14:textId="77777777" w:rsidR="007F4037" w:rsidRPr="00A312BC" w:rsidRDefault="007F4037" w:rsidP="00A312BC"/>
  </w:endnote>
  <w:endnote w:type="continuationSeparator" w:id="0">
    <w:p w14:paraId="12CD6DA7" w14:textId="77777777" w:rsidR="007F4037" w:rsidRPr="00A312BC" w:rsidRDefault="007F403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Com 55 Roman">
    <w:altName w:val="Arial"/>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D323F" w14:textId="032FAD7B" w:rsidR="00CE22CD" w:rsidRPr="00CE22CD" w:rsidRDefault="00CE22CD">
    <w:pPr>
      <w:pStyle w:val="Footer"/>
    </w:pPr>
    <w:r w:rsidRPr="00CE22CD">
      <w:rPr>
        <w:b/>
        <w:sz w:val="18"/>
      </w:rPr>
      <w:fldChar w:fldCharType="begin"/>
    </w:r>
    <w:r w:rsidRPr="00CE22CD">
      <w:rPr>
        <w:b/>
        <w:sz w:val="18"/>
      </w:rPr>
      <w:instrText xml:space="preserve"> PAGE  \* MERGEFORMAT </w:instrText>
    </w:r>
    <w:r w:rsidRPr="00CE22CD">
      <w:rPr>
        <w:b/>
        <w:sz w:val="18"/>
      </w:rPr>
      <w:fldChar w:fldCharType="separate"/>
    </w:r>
    <w:r w:rsidR="00A272D6">
      <w:rPr>
        <w:b/>
        <w:noProof/>
        <w:sz w:val="18"/>
      </w:rPr>
      <w:t>2</w:t>
    </w:r>
    <w:r w:rsidRPr="00CE22CD">
      <w:rPr>
        <w:b/>
        <w:sz w:val="18"/>
      </w:rPr>
      <w:fldChar w:fldCharType="end"/>
    </w:r>
    <w:r>
      <w:rPr>
        <w:b/>
        <w:sz w:val="18"/>
      </w:rPr>
      <w:tab/>
    </w:r>
    <w:r>
      <w:t>GE.19-02284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790D" w14:textId="49FC2673" w:rsidR="00CE22CD" w:rsidRPr="00CE22CD" w:rsidRDefault="00CE22CD" w:rsidP="00CE22CD">
    <w:pPr>
      <w:pStyle w:val="Footer"/>
      <w:tabs>
        <w:tab w:val="clear" w:pos="9639"/>
        <w:tab w:val="right" w:pos="9638"/>
      </w:tabs>
      <w:rPr>
        <w:b/>
        <w:sz w:val="18"/>
      </w:rPr>
    </w:pPr>
    <w:r>
      <w:t>GE.19-02284</w:t>
    </w:r>
    <w:r>
      <w:tab/>
    </w:r>
    <w:r w:rsidRPr="00CE22CD">
      <w:rPr>
        <w:b/>
        <w:sz w:val="18"/>
      </w:rPr>
      <w:fldChar w:fldCharType="begin"/>
    </w:r>
    <w:r w:rsidRPr="00CE22CD">
      <w:rPr>
        <w:b/>
        <w:sz w:val="18"/>
      </w:rPr>
      <w:instrText xml:space="preserve"> PAGE  \* MERGEFORMAT </w:instrText>
    </w:r>
    <w:r w:rsidRPr="00CE22CD">
      <w:rPr>
        <w:b/>
        <w:sz w:val="18"/>
      </w:rPr>
      <w:fldChar w:fldCharType="separate"/>
    </w:r>
    <w:r w:rsidR="00A272D6">
      <w:rPr>
        <w:b/>
        <w:noProof/>
        <w:sz w:val="18"/>
      </w:rPr>
      <w:t>5</w:t>
    </w:r>
    <w:r w:rsidRPr="00CE22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C1F70" w14:textId="77777777" w:rsidR="00042B72" w:rsidRPr="00CE22CD" w:rsidRDefault="00CE22CD" w:rsidP="00CE22CD">
    <w:pPr>
      <w:spacing w:before="120" w:line="240" w:lineRule="auto"/>
    </w:pPr>
    <w:r>
      <w:t>GE.</w:t>
    </w:r>
    <w:r w:rsidR="00DF71B9">
      <w:rPr>
        <w:b/>
        <w:noProof/>
        <w:lang w:val="en-GB" w:eastAsia="zh-CN"/>
      </w:rPr>
      <w:drawing>
        <wp:anchor distT="0" distB="0" distL="114300" distR="114300" simplePos="0" relativeHeight="251658240" behindDoc="0" locked="0" layoutInCell="1" allowOverlap="1" wp14:anchorId="7A983014" wp14:editId="3B7967E7">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19-02284  (R)</w:t>
    </w:r>
    <w:r>
      <w:rPr>
        <w:lang w:val="en-US"/>
      </w:rPr>
      <w:t xml:space="preserve">  260219  270219</w:t>
    </w:r>
    <w:r>
      <w:br/>
    </w:r>
    <w:r w:rsidRPr="00CE22CD">
      <w:rPr>
        <w:rFonts w:ascii="C39T30Lfz" w:hAnsi="C39T30Lfz"/>
        <w:kern w:val="14"/>
        <w:sz w:val="56"/>
      </w:rPr>
      <w:t></w:t>
    </w:r>
    <w:r w:rsidRPr="00CE22CD">
      <w:rPr>
        <w:rFonts w:ascii="C39T30Lfz" w:hAnsi="C39T30Lfz"/>
        <w:kern w:val="14"/>
        <w:sz w:val="56"/>
      </w:rPr>
      <w:t></w:t>
    </w:r>
    <w:r w:rsidRPr="00CE22CD">
      <w:rPr>
        <w:rFonts w:ascii="C39T30Lfz" w:hAnsi="C39T30Lfz"/>
        <w:kern w:val="14"/>
        <w:sz w:val="56"/>
      </w:rPr>
      <w:t></w:t>
    </w:r>
    <w:r w:rsidRPr="00CE22CD">
      <w:rPr>
        <w:rFonts w:ascii="C39T30Lfz" w:hAnsi="C39T30Lfz"/>
        <w:kern w:val="14"/>
        <w:sz w:val="56"/>
      </w:rPr>
      <w:t></w:t>
    </w:r>
    <w:r w:rsidRPr="00CE22CD">
      <w:rPr>
        <w:rFonts w:ascii="C39T30Lfz" w:hAnsi="C39T30Lfz"/>
        <w:kern w:val="14"/>
        <w:sz w:val="56"/>
      </w:rPr>
      <w:t></w:t>
    </w:r>
    <w:r w:rsidRPr="00CE22CD">
      <w:rPr>
        <w:rFonts w:ascii="C39T30Lfz" w:hAnsi="C39T30Lfz"/>
        <w:kern w:val="14"/>
        <w:sz w:val="56"/>
      </w:rPr>
      <w:t></w:t>
    </w:r>
    <w:r w:rsidRPr="00CE22CD">
      <w:rPr>
        <w:rFonts w:ascii="C39T30Lfz" w:hAnsi="C39T30Lfz"/>
        <w:kern w:val="14"/>
        <w:sz w:val="56"/>
      </w:rPr>
      <w:t></w:t>
    </w:r>
    <w:r w:rsidRPr="00CE22CD">
      <w:rPr>
        <w:rFonts w:ascii="C39T30Lfz" w:hAnsi="C39T30Lfz"/>
        <w:kern w:val="14"/>
        <w:sz w:val="56"/>
      </w:rPr>
      <w:t></w:t>
    </w:r>
    <w:r w:rsidRPr="00CE22CD">
      <w:rPr>
        <w:rFonts w:ascii="C39T30Lfz" w:hAnsi="C39T30Lfz"/>
        <w:kern w:val="14"/>
        <w:sz w:val="56"/>
      </w:rPr>
      <w:t></w:t>
    </w:r>
    <w:r>
      <w:rPr>
        <w:noProof/>
        <w:lang w:val="en-GB" w:eastAsia="zh-CN"/>
      </w:rPr>
      <w:drawing>
        <wp:anchor distT="0" distB="0" distL="114300" distR="114300" simplePos="0" relativeHeight="251659264" behindDoc="0" locked="0" layoutInCell="1" allowOverlap="1" wp14:anchorId="3B93CD7A" wp14:editId="303EA2E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5/2019/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2019/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E0C4C" w14:textId="77777777" w:rsidR="007F4037" w:rsidRPr="001075E9" w:rsidRDefault="007F4037" w:rsidP="001075E9">
      <w:pPr>
        <w:tabs>
          <w:tab w:val="right" w:pos="2155"/>
        </w:tabs>
        <w:spacing w:after="80" w:line="240" w:lineRule="auto"/>
        <w:ind w:left="680"/>
        <w:rPr>
          <w:u w:val="single"/>
        </w:rPr>
      </w:pPr>
      <w:r>
        <w:rPr>
          <w:u w:val="single"/>
        </w:rPr>
        <w:tab/>
      </w:r>
    </w:p>
  </w:footnote>
  <w:footnote w:type="continuationSeparator" w:id="0">
    <w:p w14:paraId="3C2F1356" w14:textId="77777777" w:rsidR="007F4037" w:rsidRDefault="007F4037" w:rsidP="00407B78">
      <w:pPr>
        <w:tabs>
          <w:tab w:val="right" w:pos="2155"/>
        </w:tabs>
        <w:spacing w:after="80"/>
        <w:ind w:left="680"/>
        <w:rPr>
          <w:u w:val="single"/>
        </w:rPr>
      </w:pPr>
      <w:r>
        <w:rPr>
          <w:u w:val="single"/>
        </w:rPr>
        <w:tab/>
      </w:r>
    </w:p>
  </w:footnote>
  <w:footnote w:id="1">
    <w:p w14:paraId="6DFB583E" w14:textId="77777777" w:rsidR="00844344" w:rsidRPr="000D0956" w:rsidRDefault="00844344" w:rsidP="00844344">
      <w:pPr>
        <w:pStyle w:val="FootnoteText"/>
        <w:tabs>
          <w:tab w:val="clear" w:pos="1021"/>
        </w:tabs>
        <w:ind w:left="1418" w:right="1260" w:hanging="284"/>
      </w:pPr>
      <w:r w:rsidRPr="00844344">
        <w:rPr>
          <w:rStyle w:val="FootnoteReference"/>
          <w:sz w:val="20"/>
          <w:vertAlign w:val="baseline"/>
        </w:rPr>
        <w:sym w:font="Symbol" w:char="F02A"/>
      </w:r>
      <w:r>
        <w:tab/>
        <w:t xml:space="preserve">В соответствии с программой работы Комитета по внутреннему транспорту </w:t>
      </w:r>
      <w:r>
        <w:br/>
        <w:t>на 2018–2019 годы (ECE/TRANS/WP.15/237, приложение V (9.1)).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2F634" w14:textId="67D39770" w:rsidR="00CE22CD" w:rsidRPr="00CE22CD" w:rsidRDefault="00C24DF5">
    <w:pPr>
      <w:pStyle w:val="Header"/>
    </w:pPr>
    <w:fldSimple w:instr=" TITLE  \* MERGEFORMAT ">
      <w:r>
        <w:t>ECE/TRANS/WP.15/2019/2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CDB2D" w14:textId="3FC70A22" w:rsidR="00CE22CD" w:rsidRPr="00CE22CD" w:rsidRDefault="00C24DF5" w:rsidP="00CE22CD">
    <w:pPr>
      <w:pStyle w:val="Header"/>
      <w:jc w:val="right"/>
    </w:pPr>
    <w:fldSimple w:instr=" TITLE  \* MERGEFORMAT ">
      <w:r>
        <w:t>ECE/TRANS/WP.15/2019/2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D00198"/>
    <w:multiLevelType w:val="hybridMultilevel"/>
    <w:tmpl w:val="9912C054"/>
    <w:lvl w:ilvl="0" w:tplc="1D627BDA">
      <w:start w:val="1"/>
      <w:numFmt w:val="lowerLetter"/>
      <w:lvlText w:val="%1)"/>
      <w:lvlJc w:val="left"/>
      <w:pPr>
        <w:ind w:left="2138" w:hanging="360"/>
      </w:pPr>
      <w:rPr>
        <w:rFonts w:hint="default"/>
      </w:rPr>
    </w:lvl>
    <w:lvl w:ilvl="1" w:tplc="08070019">
      <w:start w:val="1"/>
      <w:numFmt w:val="lowerLetter"/>
      <w:lvlText w:val="%2."/>
      <w:lvlJc w:val="left"/>
      <w:pPr>
        <w:ind w:left="1440" w:hanging="360"/>
      </w:pPr>
    </w:lvl>
    <w:lvl w:ilvl="2" w:tplc="08070017">
      <w:start w:val="1"/>
      <w:numFmt w:val="lowerLetter"/>
      <w:lvlText w:val="%3)"/>
      <w:lvlJc w:val="lef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2"/>
    <w:lvlOverride w:ilvl="2">
      <w:lvl w:ilvl="2" w:tplc="08070017">
        <w:start w:val="1"/>
        <w:numFmt w:val="lowerLetter"/>
        <w:lvlText w:val="%3)"/>
        <w:lvlJc w:val="left"/>
        <w:pPr>
          <w:ind w:left="2160" w:hanging="180"/>
        </w:p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43"/>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6352B"/>
    <w:rsid w:val="00381C24"/>
    <w:rsid w:val="00387CD4"/>
    <w:rsid w:val="003958D0"/>
    <w:rsid w:val="003A0D43"/>
    <w:rsid w:val="003A48CE"/>
    <w:rsid w:val="003B00E5"/>
    <w:rsid w:val="003D4A53"/>
    <w:rsid w:val="003E0B46"/>
    <w:rsid w:val="00407B78"/>
    <w:rsid w:val="00424203"/>
    <w:rsid w:val="00452493"/>
    <w:rsid w:val="00453318"/>
    <w:rsid w:val="00454AF2"/>
    <w:rsid w:val="00454E07"/>
    <w:rsid w:val="00472C5C"/>
    <w:rsid w:val="004D21D9"/>
    <w:rsid w:val="004E05B7"/>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A3BAE"/>
    <w:rsid w:val="006C2031"/>
    <w:rsid w:val="006D461A"/>
    <w:rsid w:val="006F35EE"/>
    <w:rsid w:val="007021FF"/>
    <w:rsid w:val="00712895"/>
    <w:rsid w:val="00734ACB"/>
    <w:rsid w:val="00757357"/>
    <w:rsid w:val="00792497"/>
    <w:rsid w:val="007F4037"/>
    <w:rsid w:val="00806737"/>
    <w:rsid w:val="00825F8D"/>
    <w:rsid w:val="00834B71"/>
    <w:rsid w:val="00844344"/>
    <w:rsid w:val="0086445C"/>
    <w:rsid w:val="00894693"/>
    <w:rsid w:val="008A08D7"/>
    <w:rsid w:val="008A37C8"/>
    <w:rsid w:val="008B6909"/>
    <w:rsid w:val="008D53B6"/>
    <w:rsid w:val="008E3F9E"/>
    <w:rsid w:val="008F7609"/>
    <w:rsid w:val="00906890"/>
    <w:rsid w:val="00911BE4"/>
    <w:rsid w:val="00951972"/>
    <w:rsid w:val="009608F3"/>
    <w:rsid w:val="009A24AC"/>
    <w:rsid w:val="009C59D7"/>
    <w:rsid w:val="009C6FE6"/>
    <w:rsid w:val="009D7E7D"/>
    <w:rsid w:val="00A14DA8"/>
    <w:rsid w:val="00A272D6"/>
    <w:rsid w:val="00A312BC"/>
    <w:rsid w:val="00A84021"/>
    <w:rsid w:val="00A84D35"/>
    <w:rsid w:val="00A917B3"/>
    <w:rsid w:val="00AB4B51"/>
    <w:rsid w:val="00B10CC7"/>
    <w:rsid w:val="00B36DF7"/>
    <w:rsid w:val="00B539E7"/>
    <w:rsid w:val="00B62458"/>
    <w:rsid w:val="00B67B22"/>
    <w:rsid w:val="00BC18B2"/>
    <w:rsid w:val="00BC5B43"/>
    <w:rsid w:val="00BD33EE"/>
    <w:rsid w:val="00BE1CC7"/>
    <w:rsid w:val="00C106D6"/>
    <w:rsid w:val="00C119AE"/>
    <w:rsid w:val="00C24DF5"/>
    <w:rsid w:val="00C60F0C"/>
    <w:rsid w:val="00C71E84"/>
    <w:rsid w:val="00C805C9"/>
    <w:rsid w:val="00C92939"/>
    <w:rsid w:val="00CA1679"/>
    <w:rsid w:val="00CB151C"/>
    <w:rsid w:val="00CE1294"/>
    <w:rsid w:val="00CE22CD"/>
    <w:rsid w:val="00CE5A1A"/>
    <w:rsid w:val="00CF55F6"/>
    <w:rsid w:val="00D33D63"/>
    <w:rsid w:val="00D5253A"/>
    <w:rsid w:val="00D873A8"/>
    <w:rsid w:val="00D90028"/>
    <w:rsid w:val="00D90138"/>
    <w:rsid w:val="00D9145B"/>
    <w:rsid w:val="00DD78D1"/>
    <w:rsid w:val="00DE32CD"/>
    <w:rsid w:val="00DF0BD1"/>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35212E"/>
  <w15:docId w15:val="{B1306B91-6753-40FE-9E06-FB2F966D9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4">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5_GR"/>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5_GR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rsid w:val="00844344"/>
    <w:rPr>
      <w:lang w:val="ru-RU" w:eastAsia="en-US"/>
    </w:rPr>
  </w:style>
  <w:style w:type="character" w:customStyle="1" w:styleId="HChGChar">
    <w:name w:val="_ H _Ch_G Char"/>
    <w:link w:val="HChG"/>
    <w:rsid w:val="00844344"/>
    <w:rPr>
      <w:b/>
      <w:sz w:val="28"/>
      <w:lang w:val="ru-RU" w:eastAsia="ru-RU"/>
    </w:rPr>
  </w:style>
  <w:style w:type="character" w:customStyle="1" w:styleId="H1GChar">
    <w:name w:val="_ H_1_G Char"/>
    <w:link w:val="H1G"/>
    <w:rsid w:val="00844344"/>
    <w:rPr>
      <w:b/>
      <w:sz w:val="24"/>
      <w:lang w:val="ru-RU" w:eastAsia="ru-RU"/>
    </w:rPr>
  </w:style>
  <w:style w:type="paragraph" w:styleId="ListParagraph">
    <w:name w:val="List Paragraph"/>
    <w:basedOn w:val="Normal"/>
    <w:uiPriority w:val="34"/>
    <w:qFormat/>
    <w:rsid w:val="00844344"/>
    <w:pPr>
      <w:ind w:left="720"/>
      <w:contextualSpacing/>
    </w:pPr>
    <w:rPr>
      <w:rFonts w:eastAsia="Times New Roman" w:cs="Times New Roman"/>
      <w:szCs w:val="20"/>
      <w:lang w:val="en-GB"/>
    </w:rPr>
  </w:style>
  <w:style w:type="paragraph" w:customStyle="1" w:styleId="Pa25">
    <w:name w:val="Pa2+5"/>
    <w:basedOn w:val="Normal"/>
    <w:next w:val="Normal"/>
    <w:uiPriority w:val="99"/>
    <w:rsid w:val="00844344"/>
    <w:pPr>
      <w:suppressAutoHyphens w:val="0"/>
      <w:autoSpaceDE w:val="0"/>
      <w:autoSpaceDN w:val="0"/>
      <w:adjustRightInd w:val="0"/>
      <w:spacing w:line="261" w:lineRule="atLeast"/>
    </w:pPr>
    <w:rPr>
      <w:rFonts w:ascii="HelveticaNeueLT Com 55 Roman" w:eastAsia="Times New Roman" w:hAnsi="HelveticaNeueLT Com 55 Roman" w:cs="Times New Roman"/>
      <w:sz w:val="24"/>
      <w:szCs w:val="24"/>
      <w:lang w:val="de-CH"/>
    </w:rPr>
  </w:style>
  <w:style w:type="paragraph" w:customStyle="1" w:styleId="Pa35">
    <w:name w:val="Pa3+5"/>
    <w:basedOn w:val="Normal"/>
    <w:next w:val="Normal"/>
    <w:uiPriority w:val="99"/>
    <w:rsid w:val="00844344"/>
    <w:pPr>
      <w:suppressAutoHyphens w:val="0"/>
      <w:autoSpaceDE w:val="0"/>
      <w:autoSpaceDN w:val="0"/>
      <w:adjustRightInd w:val="0"/>
      <w:spacing w:line="201" w:lineRule="atLeast"/>
    </w:pPr>
    <w:rPr>
      <w:rFonts w:ascii="HelveticaNeueLT Com 55 Roman" w:eastAsia="Times New Roman" w:hAnsi="HelveticaNeueLT Com 55 Roman" w:cs="Times New Roman"/>
      <w:sz w:val="24"/>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1587</Words>
  <Characters>9050</Characters>
  <Application>Microsoft Office Word</Application>
  <DocSecurity>0</DocSecurity>
  <Lines>75</Lines>
  <Paragraphs>21</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ECE/TRANS/WP.15/2019/2</vt:lpstr>
      <vt:lpstr>ECE/TRANS/WP.15/2019/2</vt:lpstr>
      <vt:lpstr>A/</vt:lpstr>
    </vt:vector>
  </TitlesOfParts>
  <Company>DCM</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ECE/TRANS/WP.15/2019/2</dc:title>
  <dc:subject/>
  <dc:creator>Ekaterina SALYNSKAYA</dc:creator>
  <cp:keywords/>
  <cp:lastModifiedBy>Christine Barrio-Champeau</cp:lastModifiedBy>
  <cp:revision>2</cp:revision>
  <cp:lastPrinted>2019-02-27T13:27:00Z</cp:lastPrinted>
  <dcterms:created xsi:type="dcterms:W3CDTF">2019-03-21T15:14:00Z</dcterms:created>
  <dcterms:modified xsi:type="dcterms:W3CDTF">2019-03-21T15:14:00Z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