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484B04">
        <w:rPr>
          <w:b/>
        </w:rPr>
        <w:t>21</w:t>
      </w:r>
      <w:r w:rsidR="00174567">
        <w:rPr>
          <w:b/>
        </w:rPr>
        <w:t xml:space="preserve"> October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484B04" w:rsidRPr="008D650B" w:rsidRDefault="00484B04" w:rsidP="00484B04">
      <w:pPr>
        <w:rPr>
          <w:lang w:val="en-US"/>
        </w:rPr>
      </w:pPr>
      <w:r>
        <w:t>Item 5 (b) of the provisional agenda</w:t>
      </w:r>
    </w:p>
    <w:p w:rsidR="00484B04" w:rsidRDefault="00484B04" w:rsidP="00484B04">
      <w:pPr>
        <w:rPr>
          <w:b/>
          <w:bCs/>
        </w:rPr>
      </w:pPr>
      <w:r>
        <w:rPr>
          <w:b/>
          <w:bCs/>
        </w:rPr>
        <w:t xml:space="preserve">Proposals for amendments to annexes A and B of ADR: </w:t>
      </w:r>
    </w:p>
    <w:p w:rsidR="00484B04" w:rsidRPr="008D650B" w:rsidRDefault="00484B04" w:rsidP="00484B04">
      <w:pPr>
        <w:rPr>
          <w:b/>
          <w:bCs/>
          <w:lang w:val="en-US"/>
        </w:rPr>
      </w:pPr>
      <w:r>
        <w:rPr>
          <w:b/>
          <w:bCs/>
        </w:rPr>
        <w:t>miscellaneous proposals</w:t>
      </w:r>
    </w:p>
    <w:p w:rsidR="00484B04" w:rsidRPr="008D650B" w:rsidRDefault="00484B04" w:rsidP="00484B04">
      <w:pPr>
        <w:pStyle w:val="HChG"/>
        <w:rPr>
          <w:lang w:val="en-US"/>
        </w:rPr>
      </w:pPr>
      <w:r>
        <w:tab/>
      </w:r>
      <w:r>
        <w:tab/>
        <w:t>Changes to proposal in document ECE/TRANS/WP.15/2019/17 regarding the m</w:t>
      </w:r>
      <w:r>
        <w:rPr>
          <w:bCs/>
        </w:rPr>
        <w:t>arking of transport units and containers loaded with limited quantities</w:t>
      </w:r>
    </w:p>
    <w:p w:rsidR="00484B04" w:rsidRDefault="00484B04" w:rsidP="00484B04">
      <w:pPr>
        <w:pStyle w:val="H1G"/>
        <w:rPr>
          <w:b w:val="0"/>
          <w:bCs/>
          <w:sz w:val="20"/>
        </w:rPr>
      </w:pPr>
      <w:r>
        <w:tab/>
      </w:r>
      <w:r>
        <w:tab/>
      </w:r>
      <w:r>
        <w:rPr>
          <w:bCs/>
        </w:rPr>
        <w:t>Transmitted by the Government of Switzerland</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484B04" w:rsidTr="00EB6D13">
        <w:trPr>
          <w:jc w:val="center"/>
        </w:trPr>
        <w:tc>
          <w:tcPr>
            <w:tcW w:w="9637" w:type="dxa"/>
            <w:tcBorders>
              <w:bottom w:val="nil"/>
            </w:tcBorders>
          </w:tcPr>
          <w:p w:rsidR="00484B04" w:rsidRPr="00CD0A92" w:rsidRDefault="00484B04" w:rsidP="00EB6D13">
            <w:pPr>
              <w:tabs>
                <w:tab w:val="left" w:pos="255"/>
              </w:tabs>
              <w:suppressAutoHyphens w:val="0"/>
              <w:spacing w:before="240" w:after="120"/>
              <w:rPr>
                <w:sz w:val="24"/>
              </w:rPr>
            </w:pPr>
            <w:r>
              <w:tab/>
            </w:r>
            <w:r>
              <w:rPr>
                <w:i/>
                <w:sz w:val="24"/>
              </w:rPr>
              <w:t>Summary</w:t>
            </w:r>
          </w:p>
        </w:tc>
      </w:tr>
      <w:tr w:rsidR="00484B04" w:rsidTr="00EB6D13">
        <w:trPr>
          <w:jc w:val="center"/>
        </w:trPr>
        <w:tc>
          <w:tcPr>
            <w:tcW w:w="9637" w:type="dxa"/>
            <w:tcBorders>
              <w:top w:val="nil"/>
              <w:bottom w:val="nil"/>
            </w:tcBorders>
            <w:shd w:val="clear" w:color="auto" w:fill="auto"/>
          </w:tcPr>
          <w:p w:rsidR="00484B04" w:rsidRPr="001819AF" w:rsidRDefault="00484B04" w:rsidP="00484B04">
            <w:pPr>
              <w:pStyle w:val="SingleTxtG"/>
              <w:tabs>
                <w:tab w:val="left" w:pos="3260"/>
              </w:tabs>
              <w:ind w:left="3260" w:hanging="2126"/>
              <w:rPr>
                <w:bCs/>
              </w:rPr>
            </w:pPr>
            <w:r>
              <w:rPr>
                <w:b/>
                <w:szCs w:val="22"/>
              </w:rPr>
              <w:t>Executive s</w:t>
            </w:r>
            <w:r w:rsidRPr="004F0D24">
              <w:rPr>
                <w:b/>
                <w:szCs w:val="22"/>
              </w:rPr>
              <w:t>ummary</w:t>
            </w:r>
            <w:r>
              <w:rPr>
                <w:szCs w:val="22"/>
              </w:rPr>
              <w:t>:</w:t>
            </w:r>
            <w:r>
              <w:rPr>
                <w:szCs w:val="22"/>
              </w:rPr>
              <w:tab/>
              <w:t xml:space="preserve">Changes to the proposals in document </w:t>
            </w:r>
            <w:r>
              <w:t>ECE/TRANS/WP.15/2019/17 coul</w:t>
            </w:r>
            <w:r w:rsidR="00986547">
              <w:t>d</w:t>
            </w:r>
            <w:r>
              <w:t xml:space="preserve"> consist</w:t>
            </w:r>
            <w:r w:rsidR="00986547">
              <w:t xml:space="preserve"> in</w:t>
            </w:r>
            <w:r>
              <w:t xml:space="preserve"> adding the reference to container in 1.9.5.3.6 or in repealing </w:t>
            </w:r>
            <w:r w:rsidR="00986547">
              <w:t>t</w:t>
            </w:r>
            <w:r>
              <w:t xml:space="preserve">he text of the second paragraph in 3.4.13 </w:t>
            </w:r>
            <w:r w:rsidR="00986547">
              <w:t>(</w:t>
            </w:r>
            <w:r>
              <w:t>b)</w:t>
            </w:r>
            <w:r w:rsidR="00986547">
              <w:t>.</w:t>
            </w:r>
          </w:p>
        </w:tc>
      </w:tr>
      <w:tr w:rsidR="00484B04" w:rsidTr="00EB6D13">
        <w:trPr>
          <w:jc w:val="center"/>
        </w:trPr>
        <w:tc>
          <w:tcPr>
            <w:tcW w:w="9637" w:type="dxa"/>
            <w:tcBorders>
              <w:top w:val="nil"/>
              <w:bottom w:val="nil"/>
            </w:tcBorders>
            <w:shd w:val="clear" w:color="auto" w:fill="auto"/>
          </w:tcPr>
          <w:p w:rsidR="00484B04" w:rsidRPr="00084034" w:rsidRDefault="00484B04" w:rsidP="00484B04">
            <w:pPr>
              <w:pStyle w:val="SingleTxtG"/>
              <w:tabs>
                <w:tab w:val="left" w:pos="3260"/>
              </w:tabs>
              <w:ind w:left="3260" w:hanging="2126"/>
              <w:rPr>
                <w:color w:val="6699FF"/>
                <w:szCs w:val="22"/>
              </w:rPr>
            </w:pPr>
            <w:r w:rsidRPr="004F0D24">
              <w:rPr>
                <w:b/>
                <w:szCs w:val="22"/>
              </w:rPr>
              <w:t>Action to be taken</w:t>
            </w:r>
            <w:r>
              <w:rPr>
                <w:szCs w:val="22"/>
              </w:rPr>
              <w:t>:</w:t>
            </w:r>
            <w:r>
              <w:rPr>
                <w:szCs w:val="22"/>
              </w:rPr>
              <w:tab/>
            </w:r>
            <w:r>
              <w:t>Amend subsection 3.4.13 (b) in ADR.</w:t>
            </w:r>
          </w:p>
        </w:tc>
      </w:tr>
      <w:tr w:rsidR="00484B04" w:rsidTr="00EB6D13">
        <w:trPr>
          <w:jc w:val="center"/>
        </w:trPr>
        <w:tc>
          <w:tcPr>
            <w:tcW w:w="9637" w:type="dxa"/>
            <w:tcBorders>
              <w:top w:val="nil"/>
              <w:bottom w:val="nil"/>
            </w:tcBorders>
            <w:shd w:val="clear" w:color="auto" w:fill="auto"/>
          </w:tcPr>
          <w:p w:rsidR="00484B04" w:rsidRPr="00084034" w:rsidRDefault="00484B04" w:rsidP="00484B04">
            <w:pPr>
              <w:pStyle w:val="SingleTxtG"/>
              <w:tabs>
                <w:tab w:val="left" w:pos="3260"/>
              </w:tabs>
              <w:ind w:left="3260" w:hanging="2126"/>
              <w:jc w:val="left"/>
              <w:rPr>
                <w:color w:val="6699FF"/>
                <w:szCs w:val="22"/>
              </w:rPr>
            </w:pPr>
            <w:r>
              <w:rPr>
                <w:b/>
                <w:szCs w:val="22"/>
              </w:rPr>
              <w:t>Related documents</w:t>
            </w:r>
            <w:r>
              <w:rPr>
                <w:szCs w:val="22"/>
              </w:rPr>
              <w:t>:</w:t>
            </w:r>
            <w:r>
              <w:rPr>
                <w:szCs w:val="22"/>
              </w:rPr>
              <w:tab/>
            </w:r>
            <w:r>
              <w:t>Informal document INF.23 from the 105th session of the Working Party (WP.15), ECE/TRANS/WP.15/AC.1/2018/14 and OTIF/RID/CE/GTP/2017/9 (Sweden), ECE/TRANS/WP.15/2019/7 and informal document INF. 7 from the 106th session of WP.15, ECE/TRANS/WP.15/2019/17.</w:t>
            </w:r>
          </w:p>
        </w:tc>
      </w:tr>
      <w:tr w:rsidR="00484B04" w:rsidTr="00EB6D13">
        <w:trPr>
          <w:jc w:val="center"/>
        </w:trPr>
        <w:tc>
          <w:tcPr>
            <w:tcW w:w="9637" w:type="dxa"/>
            <w:tcBorders>
              <w:top w:val="nil"/>
            </w:tcBorders>
          </w:tcPr>
          <w:p w:rsidR="00484B04" w:rsidRDefault="00484B04" w:rsidP="00EB6D13">
            <w:pPr>
              <w:suppressAutoHyphens w:val="0"/>
            </w:pPr>
          </w:p>
        </w:tc>
      </w:tr>
    </w:tbl>
    <w:p w:rsidR="00484B04" w:rsidRPr="008D650B" w:rsidRDefault="00484B04" w:rsidP="00484B04">
      <w:pPr>
        <w:pStyle w:val="HChG"/>
        <w:rPr>
          <w:lang w:val="en-US"/>
        </w:rPr>
      </w:pPr>
      <w:r>
        <w:tab/>
      </w:r>
      <w:r>
        <w:tab/>
      </w:r>
      <w:r>
        <w:rPr>
          <w:bCs/>
        </w:rPr>
        <w:t>Background</w:t>
      </w:r>
    </w:p>
    <w:p w:rsidR="00484B04" w:rsidRDefault="00484B04" w:rsidP="00484B04">
      <w:pPr>
        <w:pStyle w:val="SingleTxtG"/>
      </w:pPr>
      <w:r>
        <w:t>1.</w:t>
      </w:r>
      <w:r>
        <w:tab/>
        <w:t>Further to the proposal of Switzerland (ECE/TRANS/WP.15/2019/7) at the 106th session and in ECE/TRANS/WP.15/2019/17 of this session concerning the marking of containers loaded with packaging in limited quantities in accordance with Chapter 3.4, we have analysed again the provisions concerning the marking laid down in 3.</w:t>
      </w:r>
      <w:r w:rsidR="00986547">
        <w:t>4.</w:t>
      </w:r>
      <w:r>
        <w:t xml:space="preserve">14 </w:t>
      </w:r>
      <w:r w:rsidR="00986547">
        <w:t>(</w:t>
      </w:r>
      <w:r>
        <w:t>b). The second paragraph in 3.</w:t>
      </w:r>
      <w:r w:rsidR="00986547">
        <w:t>4.</w:t>
      </w:r>
      <w:r>
        <w:t xml:space="preserve">14 </w:t>
      </w:r>
      <w:r w:rsidR="00986547">
        <w:t>(</w:t>
      </w:r>
      <w:r>
        <w:t xml:space="preserve">b) </w:t>
      </w:r>
      <w:r w:rsidRPr="002B4137">
        <w:t>means an ex</w:t>
      </w:r>
      <w:r>
        <w:t>emption from the general orange-coloured marking</w:t>
      </w:r>
      <w:r w:rsidRPr="002B4137">
        <w:t xml:space="preserve"> rule set </w:t>
      </w:r>
      <w:r w:rsidR="00986547">
        <w:t>in</w:t>
      </w:r>
      <w:r w:rsidRPr="002B4137">
        <w:t xml:space="preserve"> 5.3.2 which requires the </w:t>
      </w:r>
      <w:r>
        <w:t>transport units</w:t>
      </w:r>
      <w:r w:rsidRPr="002B4137">
        <w:t xml:space="preserve"> to be </w:t>
      </w:r>
      <w:r>
        <w:t>marked</w:t>
      </w:r>
      <w:r w:rsidRPr="002B4137">
        <w:t xml:space="preserve"> in general in the case of the transport of dangerous goods. The only exception to orange</w:t>
      </w:r>
      <w:r>
        <w:t xml:space="preserve"> marking </w:t>
      </w:r>
      <w:r w:rsidRPr="002B4137">
        <w:t>is</w:t>
      </w:r>
      <w:r>
        <w:t xml:space="preserve"> the one laid down in</w:t>
      </w:r>
      <w:r w:rsidRPr="002B4137">
        <w:t xml:space="preserve"> 1.1.3.6 that sets the quantities of goods that, when not exceeded, allow</w:t>
      </w:r>
      <w:r>
        <w:t>s</w:t>
      </w:r>
      <w:r w:rsidRPr="002B4137">
        <w:t xml:space="preserve"> </w:t>
      </w:r>
      <w:r>
        <w:t>waiving the marking.</w:t>
      </w:r>
    </w:p>
    <w:p w:rsidR="00484B04" w:rsidRDefault="00484B04" w:rsidP="00484B04">
      <w:pPr>
        <w:pStyle w:val="SingleTxtG"/>
      </w:pPr>
      <w:r>
        <w:t>2.</w:t>
      </w:r>
      <w:r>
        <w:tab/>
        <w:t xml:space="preserve">The same principle should be applied in </w:t>
      </w:r>
      <w:r w:rsidR="00986547">
        <w:t>C</w:t>
      </w:r>
      <w:r>
        <w:t>hapter 3.4. This means only when the quantity of 8 tonnes fixed in 3.4.14 is not exceeded is it allow</w:t>
      </w:r>
      <w:r w:rsidR="00986547">
        <w:t>ed</w:t>
      </w:r>
      <w:r>
        <w:t xml:space="preserve"> to waive the marking of the transport unit according to 3.4.15. </w:t>
      </w:r>
    </w:p>
    <w:p w:rsidR="00484B04" w:rsidRDefault="00484B04" w:rsidP="00484B04">
      <w:pPr>
        <w:pStyle w:val="SingleTxtG"/>
      </w:pPr>
      <w:r>
        <w:t>3.</w:t>
      </w:r>
      <w:r>
        <w:tab/>
        <w:t>T</w:t>
      </w:r>
      <w:r w:rsidRPr="00182CFE">
        <w:t>he second paragraph of 3.4.13 (b)</w:t>
      </w:r>
      <w:r>
        <w:t xml:space="preserve"> questions however t</w:t>
      </w:r>
      <w:r w:rsidRPr="00182CFE">
        <w:t xml:space="preserve">his principle </w:t>
      </w:r>
      <w:r>
        <w:t xml:space="preserve">because it states that </w:t>
      </w:r>
      <w:r w:rsidRPr="00182CFE">
        <w:t>even when the quantity transported per</w:t>
      </w:r>
      <w:r>
        <w:t xml:space="preserve"> transport unit</w:t>
      </w:r>
      <w:r w:rsidRPr="00182CFE">
        <w:t xml:space="preserve"> exceeds 8 tonnes, the marking of the transport unit can be waived when the container itself is marked </w:t>
      </w:r>
      <w:r w:rsidR="00986547">
        <w:t xml:space="preserve">in accordance </w:t>
      </w:r>
      <w:r w:rsidRPr="00182CFE">
        <w:t>with 3.4.15</w:t>
      </w:r>
      <w:r>
        <w:t>.</w:t>
      </w:r>
      <w:r w:rsidRPr="00182CFE">
        <w:t xml:space="preserve"> </w:t>
      </w:r>
    </w:p>
    <w:p w:rsidR="00484B04" w:rsidRDefault="00484B04" w:rsidP="00484B04">
      <w:pPr>
        <w:pStyle w:val="SingleTxtG"/>
      </w:pPr>
      <w:r>
        <w:t>4.</w:t>
      </w:r>
      <w:r>
        <w:tab/>
        <w:t xml:space="preserve">It is true that the placarding of vehicles is waived according to 5.3.1.3 as long as the placards affixed to the containers are visible from outside. </w:t>
      </w:r>
      <w:r w:rsidR="007D39D1" w:rsidRPr="00887969">
        <w:t>However,</w:t>
      </w:r>
      <w:r w:rsidRPr="00887969">
        <w:t xml:space="preserve"> in this case the orange </w:t>
      </w:r>
      <w:r>
        <w:t xml:space="preserve">marking </w:t>
      </w:r>
      <w:r w:rsidRPr="00887969">
        <w:t>of the transport unit</w:t>
      </w:r>
      <w:r>
        <w:t xml:space="preserve"> following 5.3.2</w:t>
      </w:r>
      <w:r w:rsidRPr="00887969">
        <w:t xml:space="preserve"> remains applicable if the quantities established </w:t>
      </w:r>
      <w:r>
        <w:lastRenderedPageBreak/>
        <w:t>in</w:t>
      </w:r>
      <w:r w:rsidRPr="00887969">
        <w:t xml:space="preserve"> 1.1.3.6 are exceeded</w:t>
      </w:r>
      <w:r>
        <w:t xml:space="preserve">. This marking of the transport unit allows to apply the road signals restricting the passage of dangerous goods as </w:t>
      </w:r>
      <w:r w:rsidR="00986547">
        <w:t>th</w:t>
      </w:r>
      <w:r>
        <w:t xml:space="preserve">is the case in 1.9.5.3.6 for tunnels. </w:t>
      </w:r>
    </w:p>
    <w:p w:rsidR="00484B04" w:rsidRDefault="00484B04" w:rsidP="00484B04">
      <w:pPr>
        <w:pStyle w:val="SingleTxtG"/>
      </w:pPr>
      <w:r>
        <w:t>5.</w:t>
      </w:r>
      <w:r>
        <w:tab/>
      </w:r>
      <w:r w:rsidRPr="006149AD">
        <w:t xml:space="preserve">On the </w:t>
      </w:r>
      <w:r>
        <w:t>contrary</w:t>
      </w:r>
      <w:r w:rsidRPr="006149AD">
        <w:t>, the non-marking of the transport unit that appears in the second paragraph of 3.4.13 (b) prevents the application of p</w:t>
      </w:r>
      <w:r>
        <w:t xml:space="preserve">rohibitions of tunnels. For this </w:t>
      </w:r>
      <w:r w:rsidR="007D39D1">
        <w:t>reason,</w:t>
      </w:r>
      <w:r>
        <w:t xml:space="preserve"> </w:t>
      </w:r>
      <w:r w:rsidRPr="004641ED">
        <w:t xml:space="preserve">in document </w:t>
      </w:r>
      <w:r>
        <w:t xml:space="preserve">ECE/TRANS/WP.15/2019/17 </w:t>
      </w:r>
      <w:r w:rsidRPr="004641ED">
        <w:t>we attempted to circumvent the problem of this exemption by referring</w:t>
      </w:r>
      <w:r>
        <w:t xml:space="preserve"> in </w:t>
      </w:r>
      <w:r w:rsidRPr="004641ED">
        <w:t xml:space="preserve">various </w:t>
      </w:r>
      <w:r>
        <w:t xml:space="preserve">texts </w:t>
      </w:r>
      <w:r w:rsidRPr="004641ED">
        <w:t xml:space="preserve">where it is relevant to </w:t>
      </w:r>
      <w:r>
        <w:t xml:space="preserve">the </w:t>
      </w:r>
      <w:r w:rsidRPr="004641ED">
        <w:t xml:space="preserve">container marking. </w:t>
      </w:r>
      <w:r w:rsidRPr="006B3D97">
        <w:t xml:space="preserve">In doing this exercise we have observed that although the first paragraph of 1.9.5.3.6 refers to the transport units carrying containers for which markings are prescribed according to 3.4.13, the second paragraph of 1.9.5.3.6 does subject to restrictions in tunnels </w:t>
      </w:r>
      <w:r>
        <w:t xml:space="preserve">only </w:t>
      </w:r>
      <w:r w:rsidRPr="006B3D97">
        <w:t xml:space="preserve">transport units bearing the prescribed marking </w:t>
      </w:r>
      <w:r>
        <w:t>in</w:t>
      </w:r>
      <w:r w:rsidRPr="006B3D97">
        <w:t xml:space="preserve"> 3.4.13 and does not </w:t>
      </w:r>
      <w:r>
        <w:t>mention</w:t>
      </w:r>
      <w:r w:rsidRPr="006B3D97">
        <w:t xml:space="preserve"> containers. Therefore, the reference to containers should be added in this second paragraph</w:t>
      </w:r>
      <w:r>
        <w:t xml:space="preserve"> of 1.9.5.3.6 in order to allow the application of the restrictions in tunnels to containers (Proposal 1a)</w:t>
      </w:r>
      <w:r w:rsidRPr="006B3D97">
        <w:t xml:space="preserve">. </w:t>
      </w:r>
    </w:p>
    <w:p w:rsidR="00484B04" w:rsidRDefault="00484B04" w:rsidP="00484B04">
      <w:pPr>
        <w:pStyle w:val="SingleTxtG"/>
      </w:pPr>
      <w:r>
        <w:t>6.</w:t>
      </w:r>
      <w:r>
        <w:tab/>
      </w:r>
      <w:r w:rsidRPr="006B3D97">
        <w:t xml:space="preserve">However, we are of the view that, for reasons </w:t>
      </w:r>
      <w:r>
        <w:t xml:space="preserve">of coherence </w:t>
      </w:r>
      <w:r w:rsidRPr="006B3D97">
        <w:t xml:space="preserve">with what exists in Chapter 5.3, the exemption from marking of the transport unit established in the second paragraph of 3.4.13 (b) should be </w:t>
      </w:r>
      <w:r>
        <w:t>abolished</w:t>
      </w:r>
      <w:r w:rsidRPr="006B3D97">
        <w:t xml:space="preserve">. </w:t>
      </w:r>
      <w:r>
        <w:t>Placards</w:t>
      </w:r>
      <w:r w:rsidRPr="006B3D97">
        <w:t xml:space="preserve"> do not have the same function as</w:t>
      </w:r>
      <w:r>
        <w:t xml:space="preserve"> marks referred to in 3.4.15</w:t>
      </w:r>
      <w:r w:rsidRPr="006B3D97">
        <w:t>. The marks according to the 3.4.15 are the equivalent of the orange</w:t>
      </w:r>
      <w:r>
        <w:t>-coloured plates</w:t>
      </w:r>
      <w:r w:rsidRPr="006B3D97">
        <w:t xml:space="preserve"> of 5.3.2 and both markings must be treated in the same way to allow the application of the regulations.</w:t>
      </w:r>
    </w:p>
    <w:p w:rsidR="00484B04" w:rsidRDefault="00484B04" w:rsidP="00484B04">
      <w:pPr>
        <w:pStyle w:val="SingleTxtG"/>
      </w:pPr>
      <w:r>
        <w:t>7.</w:t>
      </w:r>
      <w:r>
        <w:tab/>
        <w:t xml:space="preserve">We propose to repeal the second paragraph of 3.4.13 </w:t>
      </w:r>
      <w:r w:rsidR="00986547">
        <w:t>(</w:t>
      </w:r>
      <w:r>
        <w:t xml:space="preserve">b) instead </w:t>
      </w:r>
      <w:r w:rsidR="00986547">
        <w:t>of adding</w:t>
      </w:r>
      <w:r>
        <w:t xml:space="preserve"> texts elsewhere in order to circumvent the impossibility to apply the prohibitions in tunnels for containers (Proposal 1b).</w:t>
      </w:r>
      <w:r w:rsidRPr="006149AD">
        <w:t xml:space="preserve"> </w:t>
      </w:r>
    </w:p>
    <w:p w:rsidR="00484B04" w:rsidRPr="008D650B" w:rsidRDefault="00484B04" w:rsidP="00484B04">
      <w:pPr>
        <w:pStyle w:val="HChG"/>
        <w:rPr>
          <w:lang w:val="en-US"/>
        </w:rPr>
      </w:pPr>
      <w:r>
        <w:tab/>
      </w:r>
      <w:r>
        <w:tab/>
      </w:r>
      <w:r>
        <w:rPr>
          <w:bCs/>
        </w:rPr>
        <w:t>Proposal</w:t>
      </w:r>
      <w:r>
        <w:t xml:space="preserve"> 1a</w:t>
      </w:r>
    </w:p>
    <w:p w:rsidR="00484B04" w:rsidRPr="006164DE" w:rsidRDefault="00484B04" w:rsidP="00484B04">
      <w:pPr>
        <w:pStyle w:val="SingleTxtG"/>
      </w:pPr>
      <w:r>
        <w:t>8</w:t>
      </w:r>
      <w:r w:rsidRPr="006164DE">
        <w:t>.</w:t>
      </w:r>
      <w:r w:rsidRPr="006164DE">
        <w:tab/>
        <w:t>Modify the second paragraph in 1.9.5.3.6 as follows</w:t>
      </w:r>
      <w:r>
        <w:t xml:space="preserve"> </w:t>
      </w:r>
      <w:r w:rsidRPr="00ED65E5">
        <w:t>(</w:t>
      </w:r>
      <w:r w:rsidRPr="0092054A">
        <w:t>added text underlined in bold</w:t>
      </w:r>
      <w:r>
        <w:t>)</w:t>
      </w:r>
      <w:r w:rsidRPr="006164DE">
        <w:t>:</w:t>
      </w:r>
    </w:p>
    <w:p w:rsidR="00484B04" w:rsidRPr="006164DE" w:rsidRDefault="00484B04" w:rsidP="00484B04">
      <w:pPr>
        <w:pStyle w:val="BodyTextIndent2"/>
        <w:spacing w:after="200"/>
        <w:ind w:left="1440" w:hanging="306"/>
      </w:pPr>
      <w:r w:rsidRPr="006164DE">
        <w:t>1.9.5.3.6</w:t>
      </w:r>
      <w:r w:rsidRPr="006164DE">
        <w:tab/>
        <w:t>….</w:t>
      </w:r>
    </w:p>
    <w:p w:rsidR="00484B04" w:rsidRPr="006C61B3" w:rsidRDefault="00484B04" w:rsidP="00484B04">
      <w:pPr>
        <w:pStyle w:val="SingleTxtG"/>
      </w:pPr>
      <w:r w:rsidRPr="006C61B3">
        <w:tab/>
        <w:t xml:space="preserve">Tunnel restrictions shall not apply when dangerous goods are carried in accordance with 1.1.3, except when transport units </w:t>
      </w:r>
      <w:r w:rsidRPr="006164DE">
        <w:rPr>
          <w:b/>
          <w:u w:val="single"/>
        </w:rPr>
        <w:t xml:space="preserve">and containers </w:t>
      </w:r>
      <w:r w:rsidRPr="006C61B3">
        <w:t>carrying such goods</w:t>
      </w:r>
      <w:r>
        <w:t xml:space="preserve"> </w:t>
      </w:r>
      <w:r w:rsidRPr="006C61B3">
        <w:t>are marked in accordance with 3.4.13 subject to 3.4.14.</w:t>
      </w:r>
      <w:r w:rsidRPr="006164DE">
        <w:t xml:space="preserve"> </w:t>
      </w:r>
    </w:p>
    <w:p w:rsidR="00484B04" w:rsidRPr="008D650B" w:rsidRDefault="00484B04" w:rsidP="00484B04">
      <w:pPr>
        <w:pStyle w:val="HChG"/>
        <w:rPr>
          <w:lang w:val="en-US"/>
        </w:rPr>
      </w:pPr>
      <w:r>
        <w:tab/>
      </w:r>
      <w:r>
        <w:tab/>
      </w:r>
      <w:r>
        <w:rPr>
          <w:bCs/>
        </w:rPr>
        <w:t>Proposal</w:t>
      </w:r>
      <w:r>
        <w:t xml:space="preserve"> 1b</w:t>
      </w:r>
    </w:p>
    <w:p w:rsidR="00484B04" w:rsidRDefault="00484B04" w:rsidP="00484B04">
      <w:pPr>
        <w:pStyle w:val="SingleTxtG"/>
      </w:pPr>
      <w:r>
        <w:t>9.</w:t>
      </w:r>
      <w:r>
        <w:tab/>
        <w:t xml:space="preserve">Delete the second paragraph in 3.4.13 </w:t>
      </w:r>
      <w:r w:rsidR="00986547">
        <w:t>(</w:t>
      </w:r>
      <w:r>
        <w:t>b)</w:t>
      </w:r>
      <w:r w:rsidR="00895383">
        <w:t>.</w:t>
      </w:r>
      <w:bookmarkStart w:id="0" w:name="_GoBack"/>
      <w:bookmarkEnd w:id="0"/>
    </w:p>
    <w:p w:rsidR="00484B04" w:rsidRPr="009976A1" w:rsidRDefault="00484B04" w:rsidP="00484B04">
      <w:pPr>
        <w:spacing w:before="240"/>
        <w:jc w:val="center"/>
        <w:rPr>
          <w:u w:val="single"/>
        </w:rPr>
      </w:pPr>
      <w:r>
        <w:rPr>
          <w:u w:val="single"/>
        </w:rPr>
        <w:tab/>
      </w:r>
      <w:r>
        <w:rPr>
          <w:u w:val="single"/>
        </w:rPr>
        <w:tab/>
      </w:r>
      <w:r>
        <w:rPr>
          <w:u w:val="single"/>
        </w:rPr>
        <w:tab/>
      </w:r>
    </w:p>
    <w:sectPr w:rsidR="00484B04" w:rsidRPr="009976A1" w:rsidSect="00A47B40">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96" w:rsidRDefault="001A7096"/>
  </w:endnote>
  <w:endnote w:type="continuationSeparator" w:id="0">
    <w:p w:rsidR="001A7096" w:rsidRDefault="001A7096"/>
  </w:endnote>
  <w:endnote w:type="continuationNotice" w:id="1">
    <w:p w:rsidR="001A7096" w:rsidRDefault="001A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96" w:rsidRPr="000B175B" w:rsidRDefault="001A7096" w:rsidP="000B175B">
      <w:pPr>
        <w:tabs>
          <w:tab w:val="right" w:pos="2155"/>
        </w:tabs>
        <w:spacing w:after="80"/>
        <w:ind w:left="680"/>
        <w:rPr>
          <w:u w:val="single"/>
        </w:rPr>
      </w:pPr>
      <w:r>
        <w:rPr>
          <w:u w:val="single"/>
        </w:rPr>
        <w:tab/>
      </w:r>
    </w:p>
  </w:footnote>
  <w:footnote w:type="continuationSeparator" w:id="0">
    <w:p w:rsidR="001A7096" w:rsidRPr="00FC68B7" w:rsidRDefault="001A7096" w:rsidP="00FC68B7">
      <w:pPr>
        <w:tabs>
          <w:tab w:val="left" w:pos="2155"/>
        </w:tabs>
        <w:spacing w:after="80"/>
        <w:ind w:left="680"/>
        <w:rPr>
          <w:u w:val="single"/>
        </w:rPr>
      </w:pPr>
      <w:r>
        <w:rPr>
          <w:u w:val="single"/>
        </w:rPr>
        <w:tab/>
      </w:r>
    </w:p>
  </w:footnote>
  <w:footnote w:type="continuationNotice" w:id="1">
    <w:p w:rsidR="001A7096" w:rsidRDefault="001A7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484B04">
      <w:rPr>
        <w:sz w:val="28"/>
        <w:szCs w:val="28"/>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3E1860">
      <w:rPr>
        <w:sz w:val="28"/>
        <w:szCs w:val="28"/>
        <w:lang w:val="fr-CH"/>
      </w:rPr>
      <w:t>5</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484B04">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1"/>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D34E0"/>
    <w:rsid w:val="000E0415"/>
    <w:rsid w:val="000F1C7D"/>
    <w:rsid w:val="001054BC"/>
    <w:rsid w:val="001103AA"/>
    <w:rsid w:val="0011284E"/>
    <w:rsid w:val="00115F70"/>
    <w:rsid w:val="0011666B"/>
    <w:rsid w:val="001208E2"/>
    <w:rsid w:val="00126112"/>
    <w:rsid w:val="00146570"/>
    <w:rsid w:val="00155068"/>
    <w:rsid w:val="001626E2"/>
    <w:rsid w:val="00165F3A"/>
    <w:rsid w:val="00174567"/>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8078E"/>
    <w:rsid w:val="00381475"/>
    <w:rsid w:val="003A021A"/>
    <w:rsid w:val="003A6810"/>
    <w:rsid w:val="003A68B8"/>
    <w:rsid w:val="003C2CC4"/>
    <w:rsid w:val="003D12F5"/>
    <w:rsid w:val="003D4B23"/>
    <w:rsid w:val="003D6B2A"/>
    <w:rsid w:val="003E1860"/>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4B04"/>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00C8"/>
    <w:rsid w:val="007B6BA5"/>
    <w:rsid w:val="007B7349"/>
    <w:rsid w:val="007C3390"/>
    <w:rsid w:val="007C4F4B"/>
    <w:rsid w:val="007D39D1"/>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86547"/>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3545"/>
    <w:rsid w:val="00A44EAC"/>
    <w:rsid w:val="00A47B40"/>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41FE"/>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3145"/>
    <w:rsid w:val="00DA3C1C"/>
    <w:rsid w:val="00DB1444"/>
    <w:rsid w:val="00DB2A91"/>
    <w:rsid w:val="00DD29BD"/>
    <w:rsid w:val="00DE1D53"/>
    <w:rsid w:val="00DE4750"/>
    <w:rsid w:val="00DF0F1A"/>
    <w:rsid w:val="00E046DF"/>
    <w:rsid w:val="00E06C45"/>
    <w:rsid w:val="00E15557"/>
    <w:rsid w:val="00E17C63"/>
    <w:rsid w:val="00E240D2"/>
    <w:rsid w:val="00E27346"/>
    <w:rsid w:val="00E51DA4"/>
    <w:rsid w:val="00E53BC3"/>
    <w:rsid w:val="00E67364"/>
    <w:rsid w:val="00E71610"/>
    <w:rsid w:val="00E71BC8"/>
    <w:rsid w:val="00E72409"/>
    <w:rsid w:val="00E7260F"/>
    <w:rsid w:val="00E73F5D"/>
    <w:rsid w:val="00E74859"/>
    <w:rsid w:val="00E75880"/>
    <w:rsid w:val="00E76186"/>
    <w:rsid w:val="00E77E4E"/>
    <w:rsid w:val="00E8771C"/>
    <w:rsid w:val="00E96630"/>
    <w:rsid w:val="00E973AE"/>
    <w:rsid w:val="00EA3763"/>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A01CAB"/>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FF02-0259-429A-A36E-39210A4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698</Words>
  <Characters>3980</Characters>
  <Application>Microsoft Office Word</Application>
  <DocSecurity>0</DocSecurity>
  <Lines>33</Lines>
  <Paragraphs>9</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1126259</vt:lpstr>
      <vt:lpstr>1126259</vt:lpstr>
      <vt:lpstr>1126259</vt:lpstr>
    </vt:vector>
  </TitlesOfParts>
  <Company>CSD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Christine Barrio-Champeau</cp:lastModifiedBy>
  <cp:revision>5</cp:revision>
  <cp:lastPrinted>2019-10-21T09:44:00Z</cp:lastPrinted>
  <dcterms:created xsi:type="dcterms:W3CDTF">2019-10-21T09:34:00Z</dcterms:created>
  <dcterms:modified xsi:type="dcterms:W3CDTF">2019-10-23T08:54:00Z</dcterms:modified>
</cp:coreProperties>
</file>