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174567">
        <w:rPr>
          <w:b/>
        </w:rPr>
        <w:t>9 October</w:t>
      </w:r>
      <w:r w:rsidR="00326872">
        <w:rPr>
          <w:b/>
        </w:rPr>
        <w:t xml:space="preserve"> </w:t>
      </w:r>
      <w:r w:rsidR="00925C25">
        <w:rPr>
          <w:b/>
        </w:rPr>
        <w:t>2019</w:t>
      </w:r>
    </w:p>
    <w:p w:rsidR="00925C25" w:rsidRPr="00260DE5" w:rsidRDefault="00925C25" w:rsidP="00925C25">
      <w:r w:rsidRPr="00260DE5">
        <w:t>Geneva, 1</w:t>
      </w:r>
      <w:r w:rsidR="00C952F0">
        <w:t>1</w:t>
      </w:r>
      <w:r w:rsidRPr="00260DE5">
        <w:t>-1</w:t>
      </w:r>
      <w:r w:rsidR="00C952F0">
        <w:t>5</w:t>
      </w:r>
      <w:r w:rsidRPr="00260DE5">
        <w:t xml:space="preserve"> </w:t>
      </w:r>
      <w:r w:rsidR="00C952F0">
        <w:t>November</w:t>
      </w:r>
      <w:r w:rsidRPr="00260DE5">
        <w:t xml:space="preserve"> 2019</w:t>
      </w:r>
    </w:p>
    <w:p w:rsidR="004C39E8" w:rsidRPr="00BA64A8" w:rsidRDefault="004C39E8" w:rsidP="004C39E8">
      <w:r w:rsidRPr="00BA64A8">
        <w:rPr>
          <w:rFonts w:eastAsia="SimSun"/>
        </w:rPr>
        <w:t xml:space="preserve">Item </w:t>
      </w:r>
      <w:r>
        <w:t xml:space="preserve">5 (b) </w:t>
      </w:r>
      <w:r w:rsidRPr="00BA64A8">
        <w:t>of the provisional agenda</w:t>
      </w:r>
    </w:p>
    <w:p w:rsidR="004C39E8" w:rsidRPr="00AD5C88" w:rsidRDefault="004C39E8" w:rsidP="004C39E8">
      <w:pPr>
        <w:rPr>
          <w:b/>
          <w:bCs/>
        </w:rPr>
      </w:pPr>
      <w:r w:rsidRPr="00AD5C88">
        <w:rPr>
          <w:b/>
          <w:bCs/>
        </w:rPr>
        <w:t>Proposals for amendments to annexes A and B of ADR</w:t>
      </w:r>
      <w:r>
        <w:rPr>
          <w:b/>
          <w:bCs/>
        </w:rPr>
        <w:t>:</w:t>
      </w:r>
    </w:p>
    <w:p w:rsidR="004C39E8" w:rsidRPr="00AD5C88" w:rsidRDefault="004C39E8" w:rsidP="004C39E8">
      <w:pPr>
        <w:rPr>
          <w:b/>
          <w:bCs/>
        </w:rPr>
      </w:pPr>
      <w:r>
        <w:rPr>
          <w:b/>
          <w:bCs/>
          <w:szCs w:val="24"/>
        </w:rPr>
        <w:t>m</w:t>
      </w:r>
      <w:r w:rsidRPr="00AD5C88">
        <w:rPr>
          <w:b/>
          <w:bCs/>
          <w:szCs w:val="24"/>
        </w:rPr>
        <w:t>iscellaneous proposals</w:t>
      </w:r>
    </w:p>
    <w:p w:rsidR="004C39E8" w:rsidRPr="00B573A9" w:rsidRDefault="004C39E8" w:rsidP="004C39E8">
      <w:pPr>
        <w:pStyle w:val="HChG"/>
        <w:keepNext w:val="0"/>
        <w:keepLines w:val="0"/>
        <w:rPr>
          <w:sz w:val="20"/>
        </w:rPr>
      </w:pPr>
      <w:r>
        <w:tab/>
      </w:r>
      <w:r>
        <w:tab/>
      </w:r>
      <w:r>
        <w:rPr>
          <w:lang w:val="en-US"/>
        </w:rPr>
        <w:t>Changes of the loaded products in tank-vehicles</w:t>
      </w:r>
    </w:p>
    <w:p w:rsidR="004C39E8" w:rsidRDefault="004C39E8" w:rsidP="004C39E8">
      <w:pPr>
        <w:pStyle w:val="H1G"/>
        <w:keepNext w:val="0"/>
        <w:keepLines w:val="0"/>
      </w:pPr>
      <w:r w:rsidRPr="00B573A9">
        <w:rPr>
          <w:b w:val="0"/>
          <w:sz w:val="20"/>
        </w:rPr>
        <w:tab/>
      </w:r>
      <w:r w:rsidRPr="00B573A9">
        <w:rPr>
          <w:b w:val="0"/>
          <w:sz w:val="20"/>
        </w:rPr>
        <w:tab/>
      </w:r>
      <w:r>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4C39E8" w:rsidRPr="00E62341" w:rsidTr="0061514F">
        <w:trPr>
          <w:jc w:val="center"/>
        </w:trPr>
        <w:tc>
          <w:tcPr>
            <w:tcW w:w="9637" w:type="dxa"/>
            <w:tcBorders>
              <w:bottom w:val="nil"/>
            </w:tcBorders>
            <w:shd w:val="clear" w:color="auto" w:fill="auto"/>
          </w:tcPr>
          <w:p w:rsidR="004C39E8" w:rsidRPr="002820E6" w:rsidRDefault="004C39E8" w:rsidP="0061514F">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4C39E8" w:rsidRPr="00E62341" w:rsidTr="0061514F">
        <w:trPr>
          <w:jc w:val="center"/>
        </w:trPr>
        <w:tc>
          <w:tcPr>
            <w:tcW w:w="9637" w:type="dxa"/>
            <w:tcBorders>
              <w:top w:val="nil"/>
              <w:bottom w:val="nil"/>
            </w:tcBorders>
            <w:shd w:val="clear" w:color="auto" w:fill="auto"/>
          </w:tcPr>
          <w:p w:rsidR="004C39E8" w:rsidRPr="002820E6" w:rsidRDefault="004C39E8" w:rsidP="0061514F">
            <w:pPr>
              <w:pStyle w:val="SingleTxtG"/>
              <w:tabs>
                <w:tab w:val="left" w:pos="3260"/>
              </w:tabs>
              <w:ind w:left="3260" w:hanging="2126"/>
              <w:rPr>
                <w:b/>
                <w:szCs w:val="22"/>
              </w:rPr>
            </w:pPr>
            <w:r w:rsidRPr="002820E6">
              <w:rPr>
                <w:b/>
                <w:szCs w:val="22"/>
              </w:rPr>
              <w:t>Executive summary</w:t>
            </w:r>
            <w:r w:rsidRPr="002820E6">
              <w:rPr>
                <w:szCs w:val="22"/>
              </w:rPr>
              <w:t>:</w:t>
            </w:r>
            <w:r w:rsidRPr="002820E6">
              <w:rPr>
                <w:szCs w:val="22"/>
              </w:rPr>
              <w:tab/>
            </w:r>
            <w:r>
              <w:rPr>
                <w:lang w:val="en-US"/>
              </w:rPr>
              <w:t xml:space="preserve">Tank-vehicles changing the loaded products don’t identify the real dangers present in their compartment and equipment. </w:t>
            </w:r>
          </w:p>
        </w:tc>
      </w:tr>
      <w:tr w:rsidR="004C39E8" w:rsidRPr="00E62341" w:rsidTr="0061514F">
        <w:trPr>
          <w:jc w:val="center"/>
        </w:trPr>
        <w:tc>
          <w:tcPr>
            <w:tcW w:w="9637" w:type="dxa"/>
            <w:tcBorders>
              <w:top w:val="nil"/>
              <w:bottom w:val="nil"/>
            </w:tcBorders>
            <w:shd w:val="clear" w:color="auto" w:fill="auto"/>
          </w:tcPr>
          <w:p w:rsidR="004C39E8" w:rsidRDefault="004C39E8" w:rsidP="0061514F">
            <w:pPr>
              <w:pStyle w:val="SingleTxtG"/>
              <w:tabs>
                <w:tab w:val="left" w:pos="3260"/>
              </w:tabs>
              <w:ind w:left="3260" w:hanging="2126"/>
              <w:rPr>
                <w:rFonts w:eastAsia="Arial"/>
              </w:rPr>
            </w:pPr>
            <w:r w:rsidRPr="00C97CF6">
              <w:rPr>
                <w:rFonts w:eastAsia="Arial"/>
                <w:b/>
              </w:rPr>
              <w:t>Action to be taken</w:t>
            </w:r>
            <w:r w:rsidRPr="00C97CF6">
              <w:rPr>
                <w:rFonts w:eastAsia="Arial"/>
              </w:rPr>
              <w:t>:</w:t>
            </w:r>
            <w:r w:rsidRPr="00C97CF6">
              <w:rPr>
                <w:rFonts w:eastAsia="Arial"/>
              </w:rPr>
              <w:tab/>
            </w:r>
            <w:r>
              <w:rPr>
                <w:lang w:val="en-US"/>
              </w:rPr>
              <w:t>Introduce provisions in order to identify the most dangerous goods in case of changes of loads.</w:t>
            </w:r>
          </w:p>
          <w:p w:rsidR="004C39E8" w:rsidRPr="002820E6" w:rsidRDefault="004C39E8" w:rsidP="0061514F">
            <w:pPr>
              <w:pStyle w:val="SingleTxtG"/>
              <w:tabs>
                <w:tab w:val="left" w:pos="3260"/>
              </w:tabs>
              <w:ind w:left="3260" w:hanging="2126"/>
              <w:jc w:val="left"/>
              <w:rPr>
                <w:rFonts w:eastAsia="Arial"/>
                <w:highlight w:val="yellow"/>
              </w:rPr>
            </w:pPr>
            <w:r w:rsidRPr="00C97CF6">
              <w:rPr>
                <w:rFonts w:eastAsia="Arial"/>
                <w:b/>
              </w:rPr>
              <w:t>Related documents</w:t>
            </w:r>
            <w:r w:rsidRPr="00C97CF6">
              <w:rPr>
                <w:rFonts w:eastAsia="Arial"/>
              </w:rPr>
              <w:t>:</w:t>
            </w:r>
            <w:r>
              <w:rPr>
                <w:rFonts w:eastAsia="Arial"/>
              </w:rPr>
              <w:tab/>
              <w:t>Informal document IN</w:t>
            </w:r>
            <w:r w:rsidR="00174567">
              <w:rPr>
                <w:rFonts w:eastAsia="Arial"/>
              </w:rPr>
              <w:t>F</w:t>
            </w:r>
            <w:r>
              <w:rPr>
                <w:rFonts w:eastAsia="Arial"/>
              </w:rPr>
              <w:t>.45 form the Joint Meeting of September 2019, INF.24 from the 105</w:t>
            </w:r>
            <w:r w:rsidRPr="00AC6439">
              <w:rPr>
                <w:rFonts w:eastAsia="Arial"/>
                <w:vertAlign w:val="superscript"/>
              </w:rPr>
              <w:t>th</w:t>
            </w:r>
            <w:r>
              <w:rPr>
                <w:rFonts w:eastAsia="Arial"/>
              </w:rPr>
              <w:t xml:space="preserve"> session of the Working Party and </w:t>
            </w:r>
            <w:r w:rsidRPr="00BC48F9">
              <w:t>ECE/TRANS/WP.15/2019/9</w:t>
            </w:r>
          </w:p>
        </w:tc>
      </w:tr>
      <w:tr w:rsidR="004C39E8" w:rsidRPr="00E62341" w:rsidTr="0061514F">
        <w:trPr>
          <w:jc w:val="center"/>
        </w:trPr>
        <w:tc>
          <w:tcPr>
            <w:tcW w:w="9637" w:type="dxa"/>
            <w:tcBorders>
              <w:top w:val="nil"/>
            </w:tcBorders>
            <w:shd w:val="clear" w:color="auto" w:fill="auto"/>
          </w:tcPr>
          <w:p w:rsidR="004C39E8" w:rsidRPr="00E62341" w:rsidRDefault="004C39E8" w:rsidP="0061514F">
            <w:pPr>
              <w:suppressAutoHyphens w:val="0"/>
              <w:rPr>
                <w:rFonts w:eastAsia="Arial"/>
              </w:rPr>
            </w:pPr>
          </w:p>
        </w:tc>
      </w:tr>
    </w:tbl>
    <w:p w:rsidR="004C39E8" w:rsidRPr="0037099C" w:rsidRDefault="004C39E8" w:rsidP="004C39E8">
      <w:pPr>
        <w:pStyle w:val="HChG"/>
        <w:rPr>
          <w:lang w:val="nl-NL"/>
        </w:rPr>
      </w:pPr>
      <w:r>
        <w:tab/>
      </w:r>
      <w:r>
        <w:tab/>
      </w:r>
      <w:r w:rsidRPr="00042219">
        <w:t>Introduction</w:t>
      </w:r>
    </w:p>
    <w:p w:rsidR="004C39E8" w:rsidRDefault="004C39E8" w:rsidP="004C39E8">
      <w:pPr>
        <w:pStyle w:val="SingleTxtG"/>
        <w:rPr>
          <w:rFonts w:eastAsiaTheme="minorEastAsia"/>
          <w:lang w:val="en-US" w:eastAsia="zh-CN"/>
        </w:rPr>
      </w:pPr>
      <w:r>
        <w:rPr>
          <w:rFonts w:eastAsiaTheme="minorEastAsia"/>
          <w:lang w:val="en-US" w:eastAsia="zh-CN"/>
        </w:rPr>
        <w:t>1.</w:t>
      </w:r>
      <w:r>
        <w:rPr>
          <w:rFonts w:eastAsiaTheme="minorEastAsia"/>
          <w:lang w:val="en-US" w:eastAsia="zh-CN"/>
        </w:rPr>
        <w:tab/>
        <w:t xml:space="preserve">At the </w:t>
      </w:r>
      <w:r>
        <w:rPr>
          <w:rFonts w:eastAsia="Arial"/>
        </w:rPr>
        <w:t>105</w:t>
      </w:r>
      <w:r w:rsidRPr="00AC6439">
        <w:rPr>
          <w:rFonts w:eastAsia="Arial"/>
          <w:vertAlign w:val="superscript"/>
        </w:rPr>
        <w:t>th</w:t>
      </w:r>
      <w:r>
        <w:rPr>
          <w:rFonts w:eastAsia="Arial"/>
        </w:rPr>
        <w:t xml:space="preserve"> (</w:t>
      </w:r>
      <w:r w:rsidR="00174567">
        <w:rPr>
          <w:rFonts w:eastAsia="Arial"/>
        </w:rPr>
        <w:t>Informal document</w:t>
      </w:r>
      <w:bookmarkStart w:id="0" w:name="_GoBack"/>
      <w:bookmarkEnd w:id="0"/>
      <w:r>
        <w:rPr>
          <w:rFonts w:eastAsia="Arial"/>
        </w:rPr>
        <w:t xml:space="preserve"> INF.24) and 106</w:t>
      </w:r>
      <w:r w:rsidRPr="00BC48F9">
        <w:rPr>
          <w:rFonts w:eastAsia="Arial"/>
          <w:vertAlign w:val="superscript"/>
        </w:rPr>
        <w:t>th</w:t>
      </w:r>
      <w:r>
        <w:rPr>
          <w:rFonts w:eastAsia="Arial"/>
        </w:rPr>
        <w:t xml:space="preserve"> (Document </w:t>
      </w:r>
      <w:r w:rsidRPr="00BC48F9">
        <w:t>ECE/TRANS/WP.15/2019/9</w:t>
      </w:r>
      <w:r>
        <w:t xml:space="preserve">) </w:t>
      </w:r>
      <w:r w:rsidRPr="00BC48F9">
        <w:rPr>
          <w:rFonts w:eastAsia="Arial"/>
        </w:rPr>
        <w:t>sessions</w:t>
      </w:r>
      <w:r>
        <w:rPr>
          <w:rFonts w:eastAsia="Arial"/>
        </w:rPr>
        <w:t xml:space="preserve"> of the Working Party,</w:t>
      </w:r>
      <w:r>
        <w:rPr>
          <w:rFonts w:eastAsiaTheme="minorEastAsia"/>
          <w:lang w:val="en-US" w:eastAsia="zh-CN"/>
        </w:rPr>
        <w:t xml:space="preserve"> the question of changes of the loaded products in tank-vehicles was discussed. In order to allow a </w:t>
      </w:r>
      <w:proofErr w:type="gramStart"/>
      <w:r>
        <w:rPr>
          <w:rFonts w:eastAsiaTheme="minorEastAsia"/>
          <w:lang w:val="en-US" w:eastAsia="zh-CN"/>
        </w:rPr>
        <w:t>more deep</w:t>
      </w:r>
      <w:proofErr w:type="gramEnd"/>
      <w:r>
        <w:rPr>
          <w:rFonts w:eastAsiaTheme="minorEastAsia"/>
          <w:lang w:val="en-US" w:eastAsia="zh-CN"/>
        </w:rPr>
        <w:t xml:space="preserve"> discussion, we present the following document again.</w:t>
      </w:r>
    </w:p>
    <w:p w:rsidR="004C39E8" w:rsidRDefault="004C39E8" w:rsidP="004C39E8">
      <w:pPr>
        <w:pStyle w:val="SingleTxtG"/>
      </w:pPr>
      <w:r>
        <w:rPr>
          <w:rFonts w:eastAsiaTheme="minorEastAsia"/>
          <w:lang w:val="en-US" w:eastAsia="zh-CN"/>
        </w:rPr>
        <w:t>2.</w:t>
      </w:r>
      <w:r>
        <w:rPr>
          <w:rFonts w:eastAsiaTheme="minorEastAsia"/>
          <w:lang w:val="en-US" w:eastAsia="zh-CN"/>
        </w:rPr>
        <w:tab/>
      </w:r>
      <w:r w:rsidRPr="00E51BB3">
        <w:t>After discussion, the Working Party decided to transmit the documents to the Joint Meeting’s Working Group on Tanks for consideration</w:t>
      </w:r>
      <w:r>
        <w:rPr>
          <w:rFonts w:eastAsiaTheme="minorEastAsia"/>
          <w:lang w:val="en-US" w:eastAsia="zh-CN"/>
        </w:rPr>
        <w:t xml:space="preserve">. The Report of the </w:t>
      </w:r>
      <w:r w:rsidRPr="00E51BB3">
        <w:t xml:space="preserve">Working Group on Tanks </w:t>
      </w:r>
      <w:r>
        <w:t xml:space="preserve">presented his answers to the questions posed in the document </w:t>
      </w:r>
      <w:r w:rsidRPr="00BC48F9">
        <w:t>ECE/TRANS/WP.15/2019/9</w:t>
      </w:r>
      <w:r>
        <w:t>. conclusion in the report INF.45 of the Joint Meeting:</w:t>
      </w:r>
    </w:p>
    <w:p w:rsidR="004C39E8" w:rsidRDefault="00174567" w:rsidP="004C39E8">
      <w:pPr>
        <w:pStyle w:val="SingleTxtG"/>
      </w:pPr>
      <w:r>
        <w:tab/>
      </w:r>
      <w:r>
        <w:tab/>
      </w:r>
      <w:r w:rsidR="004C39E8">
        <w:t>a)</w:t>
      </w:r>
      <w:r>
        <w:tab/>
      </w:r>
      <w:r w:rsidR="004C39E8">
        <w:t>It is confirmed that on road fuel tankers changes in load in compartments occurs. It is also said that compartments of these tanks drain very well and that only a small amount of fuel remains in the tank. It is also confirmed that depending on the design of the discharge system other hydrocarbons remain, especially in metering devices. Cleaning is in general avoided due to the residue of water after cleaning.</w:t>
      </w:r>
    </w:p>
    <w:p w:rsidR="004C39E8" w:rsidRDefault="00174567" w:rsidP="004C39E8">
      <w:pPr>
        <w:pStyle w:val="SingleTxtG"/>
      </w:pPr>
      <w:r>
        <w:tab/>
      </w:r>
      <w:r>
        <w:tab/>
      </w:r>
      <w:r w:rsidR="004C39E8">
        <w:t>b)</w:t>
      </w:r>
      <w:r>
        <w:tab/>
      </w:r>
      <w:r w:rsidR="004C39E8">
        <w:t>It was noted that only a small amount of petrol in Biodiesel may change the flash point so that it may become a flammable substance.</w:t>
      </w:r>
    </w:p>
    <w:p w:rsidR="004C39E8" w:rsidRDefault="00174567" w:rsidP="004C39E8">
      <w:pPr>
        <w:pStyle w:val="SingleTxtG"/>
      </w:pPr>
      <w:r>
        <w:tab/>
      </w:r>
      <w:r>
        <w:tab/>
      </w:r>
      <w:r w:rsidR="004C39E8">
        <w:t>c)</w:t>
      </w:r>
      <w:r>
        <w:tab/>
      </w:r>
      <w:r w:rsidR="004C39E8">
        <w:t xml:space="preserve">The presence of orange plates from the previous load, in this case for petrol (1203/33) while Biodiesel (Fame) is carried, is found to be correct according to 5.3.2.1.7 because of the empty uncleaned compartment that had contained petrol before. Whether this empty uncleaned requirement would also apply to residue in the discharge system could not be answered. On the other </w:t>
      </w:r>
      <w:proofErr w:type="gramStart"/>
      <w:r w:rsidR="004C39E8">
        <w:t>hand</w:t>
      </w:r>
      <w:proofErr w:type="gramEnd"/>
      <w:r w:rsidR="004C39E8">
        <w:t xml:space="preserve"> in the case of additive devices in special provision 664 (g) the marking and placarding is not affected by the additive.</w:t>
      </w:r>
    </w:p>
    <w:p w:rsidR="004C39E8" w:rsidRDefault="00174567" w:rsidP="004C39E8">
      <w:pPr>
        <w:pStyle w:val="SingleTxtG"/>
      </w:pPr>
      <w:r>
        <w:tab/>
      </w:r>
      <w:r>
        <w:tab/>
      </w:r>
      <w:r w:rsidR="004C39E8">
        <w:t>d)</w:t>
      </w:r>
      <w:r>
        <w:tab/>
      </w:r>
      <w:r w:rsidR="004C39E8">
        <w:t xml:space="preserve">It was recognized that more discussion was </w:t>
      </w:r>
      <w:proofErr w:type="gramStart"/>
      <w:r w:rsidR="004C39E8">
        <w:t>needed</w:t>
      </w:r>
      <w:proofErr w:type="gramEnd"/>
      <w:r w:rsidR="004C39E8">
        <w:t xml:space="preserve"> and that clarification might be helpful, but care should be taken not to overcomplicate the regulation.</w:t>
      </w:r>
    </w:p>
    <w:p w:rsidR="004C39E8" w:rsidRDefault="004C39E8" w:rsidP="004C39E8">
      <w:pPr>
        <w:pStyle w:val="SingleTxtG"/>
        <w:rPr>
          <w:rFonts w:eastAsiaTheme="minorEastAsia"/>
          <w:lang w:val="en-US" w:eastAsia="zh-CN"/>
        </w:rPr>
      </w:pPr>
      <w:r>
        <w:rPr>
          <w:rFonts w:eastAsiaTheme="minorEastAsia"/>
          <w:lang w:val="en-US" w:eastAsia="zh-CN"/>
        </w:rPr>
        <w:lastRenderedPageBreak/>
        <w:t>3.</w:t>
      </w:r>
      <w:r>
        <w:rPr>
          <w:rFonts w:eastAsiaTheme="minorEastAsia"/>
          <w:lang w:val="en-US" w:eastAsia="zh-CN"/>
        </w:rPr>
        <w:tab/>
        <w:t xml:space="preserve">Based on </w:t>
      </w:r>
      <w:proofErr w:type="gramStart"/>
      <w:r>
        <w:rPr>
          <w:rFonts w:eastAsiaTheme="minorEastAsia"/>
          <w:lang w:val="en-US" w:eastAsia="zh-CN"/>
        </w:rPr>
        <w:t>this conclusions</w:t>
      </w:r>
      <w:proofErr w:type="gramEnd"/>
      <w:r>
        <w:rPr>
          <w:rFonts w:eastAsiaTheme="minorEastAsia"/>
          <w:lang w:val="en-US" w:eastAsia="zh-CN"/>
        </w:rPr>
        <w:t xml:space="preserve"> we believe the easiest way to take in consideration the safety concerns and the control difficulties of drivers and control bodies are faced with is to provide texts </w:t>
      </w:r>
      <w:r w:rsidRPr="00426C4A">
        <w:rPr>
          <w:rFonts w:eastAsiaTheme="minorEastAsia"/>
          <w:lang w:val="en-US" w:eastAsia="zh-CN"/>
        </w:rPr>
        <w:t>requiring the marking</w:t>
      </w:r>
      <w:r>
        <w:rPr>
          <w:rFonts w:eastAsiaTheme="minorEastAsia"/>
          <w:lang w:val="en-US" w:eastAsia="zh-CN"/>
        </w:rPr>
        <w:t xml:space="preserve"> of the most dangerous substances.</w:t>
      </w:r>
    </w:p>
    <w:p w:rsidR="004C39E8" w:rsidRPr="004032E3" w:rsidRDefault="004C39E8" w:rsidP="004C39E8">
      <w:pPr>
        <w:pStyle w:val="HChG"/>
        <w:ind w:firstLine="0"/>
        <w:rPr>
          <w:lang w:val="en-US"/>
        </w:rPr>
      </w:pPr>
      <w:r>
        <w:rPr>
          <w:lang w:val="en-US"/>
        </w:rPr>
        <w:t>Proposal</w:t>
      </w:r>
    </w:p>
    <w:p w:rsidR="004C39E8" w:rsidRPr="00CB75A0" w:rsidRDefault="004C39E8" w:rsidP="004C39E8">
      <w:pPr>
        <w:pStyle w:val="SingleTxtG"/>
        <w:tabs>
          <w:tab w:val="left" w:pos="1701"/>
        </w:tabs>
        <w:ind w:left="2268" w:hanging="1134"/>
        <w:rPr>
          <w:lang w:val="en-US"/>
        </w:rPr>
      </w:pPr>
      <w:r w:rsidRPr="00CB75A0">
        <w:rPr>
          <w:lang w:val="en-US"/>
        </w:rPr>
        <w:t>9.</w:t>
      </w:r>
      <w:r w:rsidRPr="00CB75A0">
        <w:rPr>
          <w:lang w:val="en-US"/>
        </w:rPr>
        <w:tab/>
        <w:t>Add a new paragraph 5.3.2.1.9 with following text:</w:t>
      </w:r>
    </w:p>
    <w:p w:rsidR="004C39E8" w:rsidRPr="0051261D" w:rsidRDefault="004C39E8" w:rsidP="004C39E8">
      <w:pPr>
        <w:pStyle w:val="SingleTxtG"/>
        <w:tabs>
          <w:tab w:val="left" w:pos="1701"/>
        </w:tabs>
        <w:ind w:left="2127" w:hanging="993"/>
      </w:pPr>
      <w:r>
        <w:rPr>
          <w:lang w:val="en-US"/>
        </w:rPr>
        <w:t>5.3.2.1.9</w:t>
      </w:r>
      <w:r>
        <w:rPr>
          <w:lang w:val="en-US"/>
        </w:rPr>
        <w:tab/>
        <w:t>T</w:t>
      </w:r>
      <w:proofErr w:type="spellStart"/>
      <w:r w:rsidRPr="00E536CD">
        <w:t>ank</w:t>
      </w:r>
      <w:proofErr w:type="spellEnd"/>
      <w:r w:rsidRPr="00E536CD">
        <w:t>-vehicles or transport units</w:t>
      </w:r>
      <w:r>
        <w:t xml:space="preserve"> </w:t>
      </w:r>
      <w:r w:rsidRPr="00E536CD">
        <w:t xml:space="preserve">having one or more tanks </w:t>
      </w:r>
      <w:r>
        <w:t xml:space="preserve">aimed to change the load and have changed the load without cleaning of the tank, including </w:t>
      </w:r>
      <w:r w:rsidRPr="0092192E">
        <w:t>its service and structural equipment</w:t>
      </w:r>
      <w:r>
        <w:t>, between</w:t>
      </w:r>
      <w:r w:rsidRPr="00E536CD">
        <w:t xml:space="preserve"> UN Nos. 1202, 1203 or 1223, or aviation fuel classified under UN Nos. 1268 or 1863, but no other dangerous substance</w:t>
      </w:r>
      <w:r>
        <w:t xml:space="preserve">, shall bear </w:t>
      </w:r>
      <w:r w:rsidRPr="00E536CD">
        <w:t xml:space="preserve">the orange-coloured plates prescribed in 5.3.2.1.2 affixed to the front and rear in accordance with 5.3.2.1.1 </w:t>
      </w:r>
      <w:r>
        <w:t>corresponding to</w:t>
      </w:r>
      <w:r w:rsidRPr="00E536CD">
        <w:t xml:space="preserve"> the hazard identification number and the UN number prescribed for the most hazardous substance </w:t>
      </w:r>
      <w:r>
        <w:t>which has been loaded</w:t>
      </w:r>
      <w:r w:rsidRPr="00E536CD">
        <w:t>, i.e. the substance with the lowest flash-point</w:t>
      </w:r>
      <w:r>
        <w:t>.</w:t>
      </w:r>
    </w:p>
    <w:p w:rsidR="00EF4E86" w:rsidRPr="00174567" w:rsidRDefault="00174567" w:rsidP="00174567">
      <w:pPr>
        <w:spacing w:before="240"/>
        <w:jc w:val="center"/>
        <w:rPr>
          <w:u w:val="single"/>
        </w:rPr>
      </w:pPr>
      <w:r>
        <w:rPr>
          <w:u w:val="single"/>
        </w:rPr>
        <w:tab/>
      </w:r>
      <w:r>
        <w:rPr>
          <w:u w:val="single"/>
        </w:rPr>
        <w:tab/>
      </w:r>
      <w:r>
        <w:rPr>
          <w:u w:val="single"/>
        </w:rPr>
        <w:tab/>
      </w:r>
    </w:p>
    <w:sectPr w:rsidR="00EF4E86" w:rsidRPr="00174567" w:rsidSect="00F77467">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96" w:rsidRDefault="001A7096"/>
  </w:endnote>
  <w:endnote w:type="continuationSeparator" w:id="0">
    <w:p w:rsidR="001A7096" w:rsidRDefault="001A7096"/>
  </w:endnote>
  <w:endnote w:type="continuationNotice" w:id="1">
    <w:p w:rsidR="001A7096" w:rsidRDefault="001A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96" w:rsidRPr="000B175B" w:rsidRDefault="001A7096" w:rsidP="000B175B">
      <w:pPr>
        <w:tabs>
          <w:tab w:val="right" w:pos="2155"/>
        </w:tabs>
        <w:spacing w:after="80"/>
        <w:ind w:left="680"/>
        <w:rPr>
          <w:u w:val="single"/>
        </w:rPr>
      </w:pPr>
      <w:r>
        <w:rPr>
          <w:u w:val="single"/>
        </w:rPr>
        <w:tab/>
      </w:r>
    </w:p>
  </w:footnote>
  <w:footnote w:type="continuationSeparator" w:id="0">
    <w:p w:rsidR="001A7096" w:rsidRPr="00FC68B7" w:rsidRDefault="001A7096" w:rsidP="00FC68B7">
      <w:pPr>
        <w:tabs>
          <w:tab w:val="left" w:pos="2155"/>
        </w:tabs>
        <w:spacing w:after="80"/>
        <w:ind w:left="680"/>
        <w:rPr>
          <w:u w:val="single"/>
        </w:rPr>
      </w:pPr>
      <w:r>
        <w:rPr>
          <w:u w:val="single"/>
        </w:rPr>
        <w:tab/>
      </w:r>
    </w:p>
  </w:footnote>
  <w:footnote w:type="continuationNotice" w:id="1">
    <w:p w:rsidR="001A7096" w:rsidRDefault="001A7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4C39E8">
      <w:rPr>
        <w:sz w:val="28"/>
        <w:szCs w:val="2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D302C6">
      <w:rPr>
        <w:sz w:val="28"/>
        <w:szCs w:val="28"/>
        <w:lang w:val="fr-CH"/>
      </w:rPr>
      <w:t>3</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4C39E8">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1"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8"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9"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1"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9"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33"/>
  </w:num>
  <w:num w:numId="15">
    <w:abstractNumId w:val="16"/>
  </w:num>
  <w:num w:numId="16">
    <w:abstractNumId w:val="13"/>
  </w:num>
  <w:num w:numId="17">
    <w:abstractNumId w:val="27"/>
  </w:num>
  <w:num w:numId="18">
    <w:abstractNumId w:val="41"/>
  </w:num>
  <w:num w:numId="19">
    <w:abstractNumId w:val="35"/>
  </w:num>
  <w:num w:numId="20">
    <w:abstractNumId w:val="14"/>
  </w:num>
  <w:num w:numId="21">
    <w:abstractNumId w:val="17"/>
  </w:num>
  <w:num w:numId="22">
    <w:abstractNumId w:val="29"/>
  </w:num>
  <w:num w:numId="23">
    <w:abstractNumId w:val="15"/>
  </w:num>
  <w:num w:numId="24">
    <w:abstractNumId w:val="28"/>
  </w:num>
  <w:num w:numId="25">
    <w:abstractNumId w:val="21"/>
  </w:num>
  <w:num w:numId="26">
    <w:abstractNumId w:val="25"/>
  </w:num>
  <w:num w:numId="27">
    <w:abstractNumId w:val="36"/>
  </w:num>
  <w:num w:numId="28">
    <w:abstractNumId w:val="40"/>
  </w:num>
  <w:num w:numId="29">
    <w:abstractNumId w:val="11"/>
  </w:num>
  <w:num w:numId="30">
    <w:abstractNumId w:val="19"/>
  </w:num>
  <w:num w:numId="31">
    <w:abstractNumId w:val="32"/>
  </w:num>
  <w:num w:numId="32">
    <w:abstractNumId w:val="37"/>
  </w:num>
  <w:num w:numId="33">
    <w:abstractNumId w:val="12"/>
  </w:num>
  <w:num w:numId="34">
    <w:abstractNumId w:val="24"/>
  </w:num>
  <w:num w:numId="35">
    <w:abstractNumId w:val="22"/>
  </w:num>
  <w:num w:numId="36">
    <w:abstractNumId w:val="34"/>
  </w:num>
  <w:num w:numId="37">
    <w:abstractNumId w:val="38"/>
  </w:num>
  <w:num w:numId="38">
    <w:abstractNumId w:val="31"/>
  </w:num>
  <w:num w:numId="39">
    <w:abstractNumId w:val="30"/>
  </w:num>
  <w:num w:numId="40">
    <w:abstractNumId w:val="39"/>
  </w:num>
  <w:num w:numId="41">
    <w:abstractNumId w:val="26"/>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1"/>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D34E0"/>
    <w:rsid w:val="000E0415"/>
    <w:rsid w:val="000F1C7D"/>
    <w:rsid w:val="001054BC"/>
    <w:rsid w:val="001103AA"/>
    <w:rsid w:val="0011284E"/>
    <w:rsid w:val="00115F70"/>
    <w:rsid w:val="0011666B"/>
    <w:rsid w:val="001208E2"/>
    <w:rsid w:val="00126112"/>
    <w:rsid w:val="00146570"/>
    <w:rsid w:val="00155068"/>
    <w:rsid w:val="001626E2"/>
    <w:rsid w:val="00165F3A"/>
    <w:rsid w:val="00174567"/>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8078E"/>
    <w:rsid w:val="00381475"/>
    <w:rsid w:val="003A021A"/>
    <w:rsid w:val="003A6810"/>
    <w:rsid w:val="003A68B8"/>
    <w:rsid w:val="003C2CC4"/>
    <w:rsid w:val="003D12F5"/>
    <w:rsid w:val="003D4B23"/>
    <w:rsid w:val="003D6B2A"/>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00C8"/>
    <w:rsid w:val="007B6BA5"/>
    <w:rsid w:val="007B7349"/>
    <w:rsid w:val="007C3390"/>
    <w:rsid w:val="007C4F4B"/>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3545"/>
    <w:rsid w:val="00A44EAC"/>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41FE"/>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3145"/>
    <w:rsid w:val="00DA3C1C"/>
    <w:rsid w:val="00DB1444"/>
    <w:rsid w:val="00DB2A91"/>
    <w:rsid w:val="00DD29BD"/>
    <w:rsid w:val="00DE1D53"/>
    <w:rsid w:val="00DE4750"/>
    <w:rsid w:val="00DF0F1A"/>
    <w:rsid w:val="00E046DF"/>
    <w:rsid w:val="00E06C45"/>
    <w:rsid w:val="00E15557"/>
    <w:rsid w:val="00E17C63"/>
    <w:rsid w:val="00E240D2"/>
    <w:rsid w:val="00E27346"/>
    <w:rsid w:val="00E51DA4"/>
    <w:rsid w:val="00E53BC3"/>
    <w:rsid w:val="00E71610"/>
    <w:rsid w:val="00E71BC8"/>
    <w:rsid w:val="00E72409"/>
    <w:rsid w:val="00E7260F"/>
    <w:rsid w:val="00E73F5D"/>
    <w:rsid w:val="00E74859"/>
    <w:rsid w:val="00E76186"/>
    <w:rsid w:val="00E77E4E"/>
    <w:rsid w:val="00E8771C"/>
    <w:rsid w:val="00E96630"/>
    <w:rsid w:val="00E973AE"/>
    <w:rsid w:val="00EA3763"/>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B8BF2"/>
  <w15:docId w15:val="{CEBDF466-1B57-4D5F-95ED-2179452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D286-18EB-47E6-AA76-FC9B078D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3061</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1126259</vt:lpstr>
      <vt:lpstr>1126259</vt:lpstr>
      <vt:lpstr>1126259</vt:lpstr>
    </vt:vector>
  </TitlesOfParts>
  <Company>CSD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Silvia</dc:creator>
  <cp:keywords/>
  <dc:description>Final</dc:description>
  <cp:lastModifiedBy>Christine Barrio-Champeau</cp:lastModifiedBy>
  <cp:revision>4</cp:revision>
  <cp:lastPrinted>2019-10-09T13:07:00Z</cp:lastPrinted>
  <dcterms:created xsi:type="dcterms:W3CDTF">2019-10-09T12:58:00Z</dcterms:created>
  <dcterms:modified xsi:type="dcterms:W3CDTF">2019-10-09T13:07:00Z</dcterms:modified>
</cp:coreProperties>
</file>