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E26EB" w14:textId="77777777" w:rsidR="00215A1B" w:rsidRPr="00560572" w:rsidRDefault="00215A1B" w:rsidP="00881CD2">
      <w:pPr>
        <w:suppressAutoHyphens/>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0897E9A1"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7CB3B5F6" w14:textId="77777777" w:rsidR="005E0CF7" w:rsidRPr="005E0CF7" w:rsidRDefault="005E0CF7" w:rsidP="00881CD2">
      <w:pPr>
        <w:suppressAutoHyphens/>
        <w:spacing w:before="120" w:after="0" w:line="240" w:lineRule="atLeast"/>
        <w:rPr>
          <w:b/>
          <w:szCs w:val="24"/>
        </w:rPr>
      </w:pPr>
      <w:r w:rsidRPr="00881CD2">
        <w:rPr>
          <w:b/>
          <w:sz w:val="24"/>
          <w:szCs w:val="24"/>
        </w:rPr>
        <w:t>Working</w:t>
      </w:r>
      <w:r w:rsidRPr="005E0CF7">
        <w:rPr>
          <w:b/>
          <w:szCs w:val="24"/>
        </w:rPr>
        <w:t xml:space="preserve"> Party on the Transport of Dangerous Goods</w:t>
      </w:r>
    </w:p>
    <w:p w14:paraId="15588D6A" w14:textId="05019CB1" w:rsidR="005E0CF7" w:rsidRPr="005E0CF7" w:rsidRDefault="006211FA" w:rsidP="00881CD2">
      <w:pPr>
        <w:suppressAutoHyphens/>
        <w:spacing w:before="120" w:after="0" w:line="240" w:lineRule="atLeast"/>
        <w:rPr>
          <w:b/>
          <w:szCs w:val="24"/>
        </w:rPr>
      </w:pPr>
      <w:r>
        <w:rPr>
          <w:b/>
          <w:szCs w:val="24"/>
        </w:rPr>
        <w:t>107th session</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00BF1C05">
        <w:rPr>
          <w:b/>
          <w:szCs w:val="24"/>
        </w:rPr>
        <w:t>6 November</w:t>
      </w:r>
      <w:r w:rsidR="005E0CF7" w:rsidRPr="005E0CF7">
        <w:rPr>
          <w:b/>
          <w:szCs w:val="24"/>
        </w:rPr>
        <w:t xml:space="preserve"> 2019</w:t>
      </w:r>
    </w:p>
    <w:p w14:paraId="0135D67B" w14:textId="77777777" w:rsidR="005E0CF7" w:rsidRPr="005E0CF7" w:rsidRDefault="005E0CF7" w:rsidP="005E0CF7">
      <w:pPr>
        <w:spacing w:after="0" w:line="240" w:lineRule="atLeast"/>
        <w:rPr>
          <w:szCs w:val="24"/>
        </w:rPr>
      </w:pPr>
      <w:r w:rsidRPr="005E0CF7">
        <w:rPr>
          <w:szCs w:val="24"/>
        </w:rPr>
        <w:t>Geneva, 11-15 November 2019</w:t>
      </w:r>
    </w:p>
    <w:p w14:paraId="0971DE4A" w14:textId="77777777" w:rsidR="005E0CF7" w:rsidRPr="005E0CF7" w:rsidRDefault="005E0CF7" w:rsidP="005E0CF7">
      <w:pPr>
        <w:spacing w:after="0" w:line="240" w:lineRule="atLeast"/>
        <w:rPr>
          <w:szCs w:val="24"/>
        </w:rPr>
      </w:pPr>
      <w:r w:rsidRPr="005E0CF7">
        <w:rPr>
          <w:szCs w:val="24"/>
        </w:rPr>
        <w:t>Item 5 (b) of the provisional agenda:</w:t>
      </w:r>
    </w:p>
    <w:p w14:paraId="706979CC" w14:textId="77777777" w:rsidR="005E0CF7" w:rsidRPr="005E0CF7" w:rsidRDefault="005E0CF7" w:rsidP="005E0CF7">
      <w:pPr>
        <w:spacing w:after="0" w:line="240" w:lineRule="atLeast"/>
        <w:rPr>
          <w:b/>
          <w:szCs w:val="24"/>
        </w:rPr>
      </w:pPr>
      <w:r w:rsidRPr="005E0CF7">
        <w:rPr>
          <w:b/>
          <w:szCs w:val="24"/>
        </w:rPr>
        <w:t>Proposals for amendments to annexes A and B of ADR:</w:t>
      </w:r>
    </w:p>
    <w:p w14:paraId="161B9625" w14:textId="2E2E76C8" w:rsidR="00427300" w:rsidRPr="00567AAE" w:rsidRDefault="00881CD2" w:rsidP="005E0CF7">
      <w:pPr>
        <w:spacing w:after="0" w:line="240" w:lineRule="atLeast"/>
        <w:rPr>
          <w:b/>
          <w:bCs/>
        </w:rPr>
      </w:pPr>
      <w:r>
        <w:rPr>
          <w:b/>
          <w:szCs w:val="24"/>
        </w:rPr>
        <w:t>m</w:t>
      </w:r>
      <w:r w:rsidR="005E0CF7" w:rsidRPr="005E0CF7">
        <w:rPr>
          <w:b/>
          <w:szCs w:val="24"/>
        </w:rPr>
        <w:t xml:space="preserve">iscellaneous </w:t>
      </w:r>
      <w:r w:rsidR="000040A4">
        <w:rPr>
          <w:b/>
          <w:szCs w:val="24"/>
        </w:rPr>
        <w:t>p</w:t>
      </w:r>
      <w:bookmarkStart w:id="0" w:name="_GoBack"/>
      <w:bookmarkEnd w:id="0"/>
      <w:r w:rsidR="005E0CF7" w:rsidRPr="005E0CF7">
        <w:rPr>
          <w:b/>
          <w:szCs w:val="24"/>
        </w:rPr>
        <w:t>roposals</w:t>
      </w:r>
    </w:p>
    <w:p w14:paraId="49747469" w14:textId="7FBAD820" w:rsidR="009B1876" w:rsidRPr="00B36DE4" w:rsidRDefault="009B1876" w:rsidP="009B1876">
      <w:pPr>
        <w:pStyle w:val="HChG"/>
        <w:rPr>
          <w:lang w:val="fr-CH"/>
        </w:rPr>
      </w:pPr>
      <w:r>
        <w:tab/>
      </w:r>
      <w:r w:rsidR="00427300">
        <w:tab/>
      </w:r>
      <w:r w:rsidRPr="00B36DE4">
        <w:rPr>
          <w:lang w:val="fr-CH"/>
        </w:rPr>
        <w:t>Comments on document ECE/TRANS/WP.15/2019/16</w:t>
      </w:r>
    </w:p>
    <w:p w14:paraId="13A2CAEC" w14:textId="77777777" w:rsidR="009B1876" w:rsidRPr="00AE400B" w:rsidRDefault="009B1876" w:rsidP="009B1876">
      <w:pPr>
        <w:pStyle w:val="H1G"/>
        <w:ind w:firstLine="0"/>
        <w:rPr>
          <w:b w:val="0"/>
          <w:sz w:val="20"/>
          <w:lang w:val="en-US"/>
        </w:rPr>
      </w:pPr>
      <w:r w:rsidRPr="00AE400B">
        <w:rPr>
          <w:lang w:val="en-US"/>
        </w:rPr>
        <w:t xml:space="preserve">Transmitted by the </w:t>
      </w:r>
      <w:r>
        <w:rPr>
          <w:lang w:val="en-US"/>
        </w:rPr>
        <w:t>Government of Switzerland</w:t>
      </w:r>
    </w:p>
    <w:p w14:paraId="674F6CFD" w14:textId="77777777" w:rsidR="009B1876" w:rsidRPr="001C101A" w:rsidRDefault="009B1876" w:rsidP="009B1876">
      <w:pPr>
        <w:pStyle w:val="HChG"/>
        <w:rPr>
          <w:lang w:val="en-US"/>
        </w:rPr>
      </w:pPr>
      <w:r w:rsidRPr="00153791">
        <w:rPr>
          <w:lang w:val="en-US"/>
        </w:rPr>
        <w:tab/>
      </w:r>
      <w:r w:rsidRPr="00153791">
        <w:rPr>
          <w:lang w:val="en-US"/>
        </w:rPr>
        <w:tab/>
      </w:r>
      <w:r w:rsidRPr="001C101A">
        <w:rPr>
          <w:lang w:val="en-US"/>
        </w:rPr>
        <w:t>Introduction</w:t>
      </w:r>
    </w:p>
    <w:p w14:paraId="6D151B05" w14:textId="59C2233E" w:rsidR="009B1876" w:rsidRDefault="009B1876" w:rsidP="009B1876">
      <w:pPr>
        <w:pStyle w:val="SingleTxtG"/>
        <w:rPr>
          <w:lang w:val="en-US"/>
        </w:rPr>
      </w:pPr>
      <w:r>
        <w:rPr>
          <w:lang w:val="en-US"/>
        </w:rPr>
        <w:t>1.</w:t>
      </w:r>
      <w:r>
        <w:rPr>
          <w:lang w:val="en-US"/>
        </w:rPr>
        <w:tab/>
        <w:t xml:space="preserve">During the last session in May Switzerland was of the opinion that substances of </w:t>
      </w:r>
      <w:r w:rsidRPr="001C101A">
        <w:rPr>
          <w:lang w:val="en-US"/>
        </w:rPr>
        <w:t>Division 1.3, other than compatibility group C</w:t>
      </w:r>
      <w:r>
        <w:rPr>
          <w:lang w:val="en-US"/>
        </w:rPr>
        <w:t xml:space="preserve">, </w:t>
      </w:r>
      <w:r w:rsidRPr="001C101A">
        <w:rPr>
          <w:lang w:val="en-US"/>
        </w:rPr>
        <w:t xml:space="preserve">Division </w:t>
      </w:r>
      <w:r w:rsidR="005E165F" w:rsidRPr="001C101A">
        <w:rPr>
          <w:lang w:val="en-US"/>
        </w:rPr>
        <w:t>1.4,</w:t>
      </w:r>
      <w:r w:rsidR="005E165F">
        <w:rPr>
          <w:lang w:val="en-US"/>
        </w:rPr>
        <w:t xml:space="preserve"> other</w:t>
      </w:r>
      <w:r>
        <w:rPr>
          <w:lang w:val="en-US"/>
        </w:rPr>
        <w:t xml:space="preserve"> than those appearing in Table 1.10.3.1.2 and Division 1.6 should remain subject to the supervision provisions of chapter 8.5. The text proposed by Sweden for S1(6) and S16 excludes from the obligation of supervision these substances because it only refers to substances appearing in 1.10.3. In order to avoid this inconvenient we have proposed in INF.19 of the session of May to adopt for S1(6) and S16 the same wording as for S21 as follows:</w:t>
      </w:r>
    </w:p>
    <w:p w14:paraId="5DBA8B59" w14:textId="77777777" w:rsidR="009B1876" w:rsidRDefault="009B1876" w:rsidP="009B1876">
      <w:pPr>
        <w:pStyle w:val="HChG"/>
        <w:rPr>
          <w:lang w:val="en-US"/>
        </w:rPr>
      </w:pPr>
      <w:r w:rsidRPr="00153791">
        <w:rPr>
          <w:lang w:val="en-US"/>
        </w:rPr>
        <w:tab/>
      </w:r>
      <w:r w:rsidRPr="00153791">
        <w:rPr>
          <w:lang w:val="en-US"/>
        </w:rPr>
        <w:tab/>
      </w:r>
      <w:r w:rsidRPr="001C101A">
        <w:rPr>
          <w:bCs/>
          <w:lang w:val="en-US"/>
        </w:rPr>
        <w:t>Proposal</w:t>
      </w:r>
    </w:p>
    <w:p w14:paraId="5880AAF9" w14:textId="77777777" w:rsidR="009B1876" w:rsidRPr="001C101A" w:rsidRDefault="009B1876" w:rsidP="009B1876">
      <w:pPr>
        <w:pStyle w:val="SingleTxtG"/>
        <w:rPr>
          <w:lang w:val="en-US"/>
        </w:rPr>
      </w:pPr>
      <w:r>
        <w:rPr>
          <w:lang w:val="en-US"/>
        </w:rPr>
        <w:t>2</w:t>
      </w:r>
      <w:r w:rsidRPr="001C101A">
        <w:rPr>
          <w:lang w:val="en-US"/>
        </w:rPr>
        <w:t>.</w:t>
      </w:r>
      <w:r w:rsidRPr="001C101A">
        <w:rPr>
          <w:lang w:val="en-US"/>
        </w:rPr>
        <w:tab/>
        <w:t>Amend the text in the additional provision S1(6) in chapter 8.5 as follows (changes underlined):</w:t>
      </w:r>
    </w:p>
    <w:p w14:paraId="5B2C03E6" w14:textId="5DD1E974" w:rsidR="009B1876" w:rsidRDefault="009B1876" w:rsidP="009B1876">
      <w:pPr>
        <w:spacing w:before="120" w:after="120"/>
        <w:ind w:left="1134"/>
        <w:rPr>
          <w:b/>
          <w:i/>
        </w:rPr>
      </w:pPr>
      <w:r>
        <w:rPr>
          <w:b/>
        </w:rPr>
        <w:t xml:space="preserve">“S1(6)  </w:t>
      </w:r>
      <w:r>
        <w:rPr>
          <w:b/>
        </w:rPr>
        <w:tab/>
      </w:r>
      <w:r w:rsidRPr="00316A1D">
        <w:rPr>
          <w:b/>
          <w:i/>
        </w:rPr>
        <w:t>Supervision of vehicles</w:t>
      </w:r>
    </w:p>
    <w:p w14:paraId="429E688B" w14:textId="77777777" w:rsidR="009B1876" w:rsidRPr="00381334" w:rsidRDefault="009B1876" w:rsidP="009B1876">
      <w:pPr>
        <w:pStyle w:val="SingleTxtG"/>
        <w:ind w:left="2268"/>
      </w:pPr>
      <w:r>
        <w:tab/>
      </w:r>
      <w:r w:rsidRPr="00381334">
        <w:t>The requirements of Chapter 8.4 shall be applicable only when substances and articles of Class 1 having a total net mass of explosive substance above the limits set below are carried in a vehicle:</w:t>
      </w:r>
    </w:p>
    <w:tbl>
      <w:tblPr>
        <w:tblW w:w="7159" w:type="dxa"/>
        <w:tblInd w:w="2055" w:type="dxa"/>
        <w:tblLayout w:type="fixed"/>
        <w:tblCellMar>
          <w:left w:w="70" w:type="dxa"/>
          <w:right w:w="70" w:type="dxa"/>
        </w:tblCellMar>
        <w:tblLook w:val="0000" w:firstRow="0" w:lastRow="0" w:firstColumn="0" w:lastColumn="0" w:noHBand="0" w:noVBand="0"/>
      </w:tblPr>
      <w:tblGrid>
        <w:gridCol w:w="6309"/>
        <w:gridCol w:w="850"/>
      </w:tblGrid>
      <w:tr w:rsidR="009B1876" w:rsidRPr="00041B7F" w14:paraId="32ABCDFB" w14:textId="77777777" w:rsidTr="00595BD0">
        <w:trPr>
          <w:cantSplit/>
        </w:trPr>
        <w:tc>
          <w:tcPr>
            <w:tcW w:w="6309" w:type="dxa"/>
          </w:tcPr>
          <w:p w14:paraId="521D7C1B" w14:textId="77777777" w:rsidR="009B1876" w:rsidRPr="00041B7F" w:rsidRDefault="009B1876" w:rsidP="00595BD0">
            <w:pPr>
              <w:keepNext/>
              <w:keepLines/>
              <w:tabs>
                <w:tab w:val="left" w:pos="1418"/>
              </w:tabs>
              <w:jc w:val="both"/>
            </w:pPr>
            <w:r w:rsidRPr="00041B7F">
              <w:t>Division 1.1:</w:t>
            </w:r>
          </w:p>
        </w:tc>
        <w:tc>
          <w:tcPr>
            <w:tcW w:w="850" w:type="dxa"/>
          </w:tcPr>
          <w:p w14:paraId="502EE8F5" w14:textId="77777777" w:rsidR="009B1876" w:rsidRPr="00041B7F" w:rsidRDefault="009B1876" w:rsidP="00595BD0">
            <w:pPr>
              <w:keepNext/>
              <w:keepLines/>
              <w:tabs>
                <w:tab w:val="left" w:pos="1418"/>
              </w:tabs>
              <w:jc w:val="center"/>
            </w:pPr>
            <w:r w:rsidRPr="00041B7F">
              <w:t>0 kg</w:t>
            </w:r>
          </w:p>
        </w:tc>
      </w:tr>
      <w:tr w:rsidR="009B1876" w:rsidRPr="00041B7F" w14:paraId="10BFCA6C" w14:textId="77777777" w:rsidTr="00595BD0">
        <w:trPr>
          <w:cantSplit/>
        </w:trPr>
        <w:tc>
          <w:tcPr>
            <w:tcW w:w="6309" w:type="dxa"/>
          </w:tcPr>
          <w:p w14:paraId="0409DAE6" w14:textId="77777777" w:rsidR="009B1876" w:rsidRPr="00041B7F" w:rsidRDefault="009B1876" w:rsidP="00595BD0">
            <w:pPr>
              <w:keepNext/>
              <w:keepLines/>
              <w:tabs>
                <w:tab w:val="left" w:pos="1418"/>
              </w:tabs>
              <w:jc w:val="both"/>
            </w:pPr>
            <w:r w:rsidRPr="00041B7F">
              <w:t>Division 1.2:</w:t>
            </w:r>
          </w:p>
        </w:tc>
        <w:tc>
          <w:tcPr>
            <w:tcW w:w="850" w:type="dxa"/>
          </w:tcPr>
          <w:p w14:paraId="091F4C53" w14:textId="77777777" w:rsidR="009B1876" w:rsidRPr="00041B7F" w:rsidRDefault="009B1876" w:rsidP="00595BD0">
            <w:pPr>
              <w:keepNext/>
              <w:keepLines/>
              <w:tabs>
                <w:tab w:val="left" w:pos="1418"/>
              </w:tabs>
              <w:jc w:val="center"/>
            </w:pPr>
            <w:r w:rsidRPr="00041B7F">
              <w:t>0 kg</w:t>
            </w:r>
          </w:p>
        </w:tc>
      </w:tr>
      <w:tr w:rsidR="009B1876" w:rsidRPr="00041B7F" w14:paraId="5041DEF1" w14:textId="77777777" w:rsidTr="00595BD0">
        <w:trPr>
          <w:cantSplit/>
        </w:trPr>
        <w:tc>
          <w:tcPr>
            <w:tcW w:w="6309" w:type="dxa"/>
          </w:tcPr>
          <w:p w14:paraId="28C5428A" w14:textId="77777777" w:rsidR="009B1876" w:rsidRPr="00041B7F" w:rsidRDefault="009B1876" w:rsidP="00595BD0">
            <w:pPr>
              <w:keepNext/>
              <w:keepLines/>
              <w:tabs>
                <w:tab w:val="left" w:pos="1418"/>
              </w:tabs>
              <w:jc w:val="both"/>
            </w:pPr>
            <w:r w:rsidRPr="00041B7F">
              <w:t>Division 1.3, compatibility group C:</w:t>
            </w:r>
          </w:p>
        </w:tc>
        <w:tc>
          <w:tcPr>
            <w:tcW w:w="850" w:type="dxa"/>
          </w:tcPr>
          <w:p w14:paraId="32966F8A" w14:textId="77777777" w:rsidR="009B1876" w:rsidRPr="00041B7F" w:rsidRDefault="009B1876" w:rsidP="00595BD0">
            <w:pPr>
              <w:keepNext/>
              <w:keepLines/>
              <w:tabs>
                <w:tab w:val="left" w:pos="1418"/>
              </w:tabs>
              <w:jc w:val="center"/>
              <w:rPr>
                <w:bCs/>
              </w:rPr>
            </w:pPr>
            <w:r w:rsidRPr="00041B7F">
              <w:rPr>
                <w:bCs/>
              </w:rPr>
              <w:t>0 kg</w:t>
            </w:r>
          </w:p>
        </w:tc>
      </w:tr>
      <w:tr w:rsidR="009B1876" w:rsidRPr="00981F8E" w14:paraId="3090A536" w14:textId="77777777" w:rsidTr="00595BD0">
        <w:trPr>
          <w:cantSplit/>
        </w:trPr>
        <w:tc>
          <w:tcPr>
            <w:tcW w:w="6309" w:type="dxa"/>
          </w:tcPr>
          <w:p w14:paraId="0A12AD47" w14:textId="77777777" w:rsidR="009B1876" w:rsidRPr="00981F8E" w:rsidRDefault="009B1876" w:rsidP="00595BD0">
            <w:pPr>
              <w:keepNext/>
              <w:keepLines/>
              <w:tabs>
                <w:tab w:val="left" w:pos="1418"/>
              </w:tabs>
              <w:jc w:val="both"/>
            </w:pPr>
            <w:r w:rsidRPr="00981F8E">
              <w:t>Division 1.3, other than compatibility group C:</w:t>
            </w:r>
          </w:p>
        </w:tc>
        <w:tc>
          <w:tcPr>
            <w:tcW w:w="850" w:type="dxa"/>
            <w:vAlign w:val="bottom"/>
          </w:tcPr>
          <w:p w14:paraId="098E3B96" w14:textId="77777777" w:rsidR="009B1876" w:rsidRPr="00981F8E" w:rsidRDefault="009B1876" w:rsidP="00595BD0">
            <w:pPr>
              <w:keepNext/>
              <w:keepLines/>
              <w:tabs>
                <w:tab w:val="left" w:pos="1418"/>
              </w:tabs>
              <w:jc w:val="center"/>
              <w:rPr>
                <w:bCs/>
              </w:rPr>
            </w:pPr>
            <w:r w:rsidRPr="00981F8E">
              <w:t>50 kg</w:t>
            </w:r>
          </w:p>
        </w:tc>
      </w:tr>
      <w:tr w:rsidR="009B1876" w:rsidRPr="00981F8E" w14:paraId="2ED482C0" w14:textId="77777777" w:rsidTr="00595BD0">
        <w:trPr>
          <w:cantSplit/>
        </w:trPr>
        <w:tc>
          <w:tcPr>
            <w:tcW w:w="6309" w:type="dxa"/>
          </w:tcPr>
          <w:p w14:paraId="381ED98A" w14:textId="77777777" w:rsidR="009B1876" w:rsidRPr="00981F8E" w:rsidRDefault="009B1876" w:rsidP="00595BD0">
            <w:pPr>
              <w:keepNext/>
              <w:keepLines/>
              <w:tabs>
                <w:tab w:val="left" w:pos="1418"/>
              </w:tabs>
              <w:jc w:val="both"/>
            </w:pPr>
            <w:r w:rsidRPr="00981F8E">
              <w:t>Division 1.4, other than those listed below:</w:t>
            </w:r>
          </w:p>
        </w:tc>
        <w:tc>
          <w:tcPr>
            <w:tcW w:w="850" w:type="dxa"/>
          </w:tcPr>
          <w:p w14:paraId="128C6392" w14:textId="77777777" w:rsidR="009B1876" w:rsidRPr="00981F8E" w:rsidRDefault="009B1876" w:rsidP="00595BD0">
            <w:pPr>
              <w:keepNext/>
              <w:keepLines/>
              <w:tabs>
                <w:tab w:val="left" w:pos="1418"/>
              </w:tabs>
              <w:jc w:val="center"/>
            </w:pPr>
            <w:r w:rsidRPr="00981F8E">
              <w:t>50 kg</w:t>
            </w:r>
          </w:p>
        </w:tc>
      </w:tr>
      <w:tr w:rsidR="009B1876" w:rsidRPr="00981F8E" w14:paraId="793E6D74" w14:textId="77777777" w:rsidTr="00595BD0">
        <w:trPr>
          <w:cantSplit/>
        </w:trPr>
        <w:tc>
          <w:tcPr>
            <w:tcW w:w="6309" w:type="dxa"/>
          </w:tcPr>
          <w:p w14:paraId="29A8C7C2" w14:textId="77777777" w:rsidR="009B1876" w:rsidRPr="00981F8E" w:rsidRDefault="009B1876" w:rsidP="00595BD0">
            <w:pPr>
              <w:keepNext/>
              <w:keepLines/>
              <w:tabs>
                <w:tab w:val="left" w:pos="1418"/>
              </w:tabs>
              <w:jc w:val="both"/>
            </w:pPr>
            <w:r w:rsidRPr="00981F8E">
              <w:t>Division 1.5:</w:t>
            </w:r>
          </w:p>
        </w:tc>
        <w:tc>
          <w:tcPr>
            <w:tcW w:w="850" w:type="dxa"/>
          </w:tcPr>
          <w:p w14:paraId="4B04264E" w14:textId="77777777" w:rsidR="009B1876" w:rsidRPr="00981F8E" w:rsidRDefault="009B1876" w:rsidP="00595BD0">
            <w:pPr>
              <w:keepNext/>
              <w:keepLines/>
              <w:tabs>
                <w:tab w:val="left" w:pos="1418"/>
              </w:tabs>
              <w:jc w:val="center"/>
            </w:pPr>
            <w:r w:rsidRPr="00981F8E">
              <w:t>0 kg</w:t>
            </w:r>
          </w:p>
        </w:tc>
      </w:tr>
      <w:tr w:rsidR="009B1876" w:rsidRPr="00041B7F" w14:paraId="5B0DD5E1" w14:textId="77777777" w:rsidTr="00595BD0">
        <w:trPr>
          <w:cantSplit/>
        </w:trPr>
        <w:tc>
          <w:tcPr>
            <w:tcW w:w="6309" w:type="dxa"/>
          </w:tcPr>
          <w:p w14:paraId="6AF9E34A" w14:textId="77777777" w:rsidR="009B1876" w:rsidRPr="00981F8E" w:rsidRDefault="009B1876" w:rsidP="00595BD0">
            <w:pPr>
              <w:keepNext/>
              <w:keepLines/>
              <w:tabs>
                <w:tab w:val="left" w:pos="1418"/>
              </w:tabs>
              <w:jc w:val="both"/>
            </w:pPr>
            <w:r w:rsidRPr="00981F8E">
              <w:t>Division 1.6:</w:t>
            </w:r>
          </w:p>
        </w:tc>
        <w:tc>
          <w:tcPr>
            <w:tcW w:w="850" w:type="dxa"/>
          </w:tcPr>
          <w:p w14:paraId="0F917A4F" w14:textId="77777777" w:rsidR="009B1876" w:rsidRPr="00981F8E" w:rsidRDefault="009B1876" w:rsidP="00595BD0">
            <w:pPr>
              <w:keepNext/>
              <w:keepLines/>
              <w:tabs>
                <w:tab w:val="left" w:pos="1418"/>
              </w:tabs>
              <w:jc w:val="center"/>
            </w:pPr>
            <w:r w:rsidRPr="00981F8E">
              <w:t>50 kg</w:t>
            </w:r>
          </w:p>
        </w:tc>
      </w:tr>
      <w:tr w:rsidR="009B1876" w:rsidRPr="00041B7F" w14:paraId="71825F72" w14:textId="77777777" w:rsidTr="00595BD0">
        <w:trPr>
          <w:cantSplit/>
        </w:trPr>
        <w:tc>
          <w:tcPr>
            <w:tcW w:w="6309" w:type="dxa"/>
          </w:tcPr>
          <w:p w14:paraId="3CD306E2" w14:textId="77777777" w:rsidR="009B1876" w:rsidRPr="00381334" w:rsidRDefault="009B1876" w:rsidP="00595BD0">
            <w:pPr>
              <w:keepNext/>
              <w:keepLines/>
              <w:tabs>
                <w:tab w:val="left" w:pos="1418"/>
              </w:tabs>
              <w:jc w:val="both"/>
            </w:pPr>
            <w:r w:rsidRPr="00381334">
              <w:t>Substances and articles of Division 1.4 belonging to UN numbers 0104, 0237,0255, 0267, 0289, 0361, 0365, 0366, 0440, 0441, 0455, 0456 and 0500:</w:t>
            </w:r>
            <w:r w:rsidRPr="00381334">
              <w:tab/>
            </w:r>
          </w:p>
        </w:tc>
        <w:tc>
          <w:tcPr>
            <w:tcW w:w="850" w:type="dxa"/>
            <w:vAlign w:val="bottom"/>
          </w:tcPr>
          <w:p w14:paraId="06BBE665" w14:textId="77777777" w:rsidR="009B1876" w:rsidRPr="00041B7F" w:rsidRDefault="009B1876" w:rsidP="00595BD0">
            <w:pPr>
              <w:keepNext/>
              <w:keepLines/>
              <w:tabs>
                <w:tab w:val="left" w:pos="1418"/>
              </w:tabs>
              <w:jc w:val="center"/>
            </w:pPr>
            <w:r w:rsidRPr="00041B7F">
              <w:t>0 kg</w:t>
            </w:r>
          </w:p>
        </w:tc>
      </w:tr>
    </w:tbl>
    <w:p w14:paraId="28E9E29A" w14:textId="644A0CC7" w:rsidR="009B1876" w:rsidRPr="00173450" w:rsidRDefault="009B1876" w:rsidP="009B1876">
      <w:pPr>
        <w:pStyle w:val="SingleTxtG"/>
      </w:pPr>
      <w:r w:rsidRPr="00381334">
        <w:tab/>
      </w:r>
      <w:r w:rsidRPr="00173450">
        <w:t>For mixed loads the lowest limit applicable to any of the substances or articles carried shall be used for the load as a whole.</w:t>
      </w:r>
    </w:p>
    <w:p w14:paraId="2FA6EB8A" w14:textId="77777777" w:rsidR="009B1876" w:rsidRPr="001C101A" w:rsidRDefault="009B1876" w:rsidP="009B1876">
      <w:pPr>
        <w:pStyle w:val="SingleTxtG"/>
        <w:spacing w:before="120"/>
        <w:rPr>
          <w:lang w:val="en-US"/>
        </w:rPr>
      </w:pPr>
      <w:r w:rsidRPr="001C101A">
        <w:rPr>
          <w:lang w:val="en-US"/>
        </w:rPr>
        <w:lastRenderedPageBreak/>
        <w:tab/>
        <w:t>In addition, these substances and articles shall be supervised at all times in order to prevent any malicious act and to alert the driver and the competent authorities in the event of loss or fire.</w:t>
      </w:r>
      <w:r w:rsidRPr="001C101A">
        <w:rPr>
          <w:u w:val="single"/>
          <w:lang w:val="en-US"/>
        </w:rPr>
        <w:t xml:space="preserve"> These provisions apply in accordance with the security plan 1.10.3.2 for those substances and articles subject to the provisions in Section 1.10.3. </w:t>
      </w:r>
    </w:p>
    <w:p w14:paraId="31A6CC73" w14:textId="77777777" w:rsidR="009B1876" w:rsidRPr="001C101A" w:rsidRDefault="009B1876" w:rsidP="009B1876">
      <w:pPr>
        <w:pStyle w:val="SingleTxtG"/>
        <w:spacing w:before="120"/>
        <w:rPr>
          <w:lang w:val="en-US"/>
        </w:rPr>
      </w:pPr>
      <w:r w:rsidRPr="001C101A">
        <w:rPr>
          <w:lang w:val="en-US"/>
        </w:rPr>
        <w:tab/>
        <w:t>Empty uncleaned packagings are exempted.”</w:t>
      </w:r>
    </w:p>
    <w:p w14:paraId="66FE1DE8" w14:textId="77777777" w:rsidR="009B1876" w:rsidRPr="001C101A" w:rsidRDefault="009B1876" w:rsidP="009B1876">
      <w:pPr>
        <w:pStyle w:val="SingleTxtG"/>
        <w:spacing w:before="120"/>
        <w:rPr>
          <w:lang w:val="en-US"/>
        </w:rPr>
      </w:pPr>
      <w:r>
        <w:rPr>
          <w:lang w:val="en-US"/>
        </w:rPr>
        <w:t>3.</w:t>
      </w:r>
      <w:r w:rsidRPr="001C101A">
        <w:rPr>
          <w:lang w:val="en-US"/>
        </w:rPr>
        <w:tab/>
        <w:t>Amend the text in the additional provision S16 in chapter 8.5 as follows (changes stricken through/underlined):</w:t>
      </w:r>
    </w:p>
    <w:p w14:paraId="3DCE4E15" w14:textId="77777777" w:rsidR="009B1876" w:rsidRDefault="009B1876" w:rsidP="009B1876">
      <w:pPr>
        <w:spacing w:before="120" w:after="120"/>
        <w:ind w:left="1689" w:right="1134" w:hanging="555"/>
      </w:pPr>
      <w:r>
        <w:rPr>
          <w:b/>
        </w:rPr>
        <w:t>“</w:t>
      </w:r>
      <w:r w:rsidRPr="00316A1D">
        <w:rPr>
          <w:b/>
        </w:rPr>
        <w:t>S16:</w:t>
      </w:r>
      <w:r w:rsidRPr="00316A1D">
        <w:rPr>
          <w:b/>
        </w:rPr>
        <w:tab/>
      </w:r>
      <w:r w:rsidRPr="00316A1D">
        <w:t>The provisions of Chapter 8.4 concerning the supervision of vehicles shall apply when the total mass of these substances in the vehicle exceeds 500 kg.</w:t>
      </w:r>
      <w:r>
        <w:t xml:space="preserve"> </w:t>
      </w:r>
    </w:p>
    <w:p w14:paraId="2E965EAF" w14:textId="6543A4F0" w:rsidR="009B1876" w:rsidRDefault="009B1876" w:rsidP="009B1876">
      <w:pPr>
        <w:pStyle w:val="SingleTxtG"/>
        <w:spacing w:before="120"/>
        <w:ind w:left="1701"/>
        <w:rPr>
          <w:lang w:val="en-US"/>
        </w:rPr>
      </w:pPr>
      <w:r w:rsidRPr="001C101A">
        <w:rPr>
          <w:lang w:val="en-US"/>
        </w:rPr>
        <w:t xml:space="preserve">In addition, vehicles carrying more than </w:t>
      </w:r>
      <w:r w:rsidRPr="001C101A">
        <w:rPr>
          <w:rFonts w:cstheme="minorHAnsi"/>
          <w:u w:val="single"/>
          <w:lang w:val="en-US"/>
        </w:rPr>
        <w:t>[</w:t>
      </w:r>
      <w:r w:rsidRPr="001C101A">
        <w:rPr>
          <w:lang w:val="en-US"/>
        </w:rPr>
        <w:t>500</w:t>
      </w:r>
      <w:r w:rsidRPr="001C101A">
        <w:rPr>
          <w:rFonts w:cstheme="minorHAnsi"/>
          <w:u w:val="single"/>
          <w:lang w:val="en-US"/>
        </w:rPr>
        <w:t>]</w:t>
      </w:r>
      <w:r w:rsidRPr="001C101A">
        <w:rPr>
          <w:lang w:val="en-US"/>
        </w:rPr>
        <w:t> kg of these substances shall, be subject</w:t>
      </w:r>
      <w:r w:rsidRPr="001C101A">
        <w:rPr>
          <w:u w:val="single"/>
          <w:lang w:val="en-US"/>
        </w:rPr>
        <w:t xml:space="preserve"> </w:t>
      </w:r>
      <w:r w:rsidRPr="001C101A">
        <w:rPr>
          <w:lang w:val="en-US"/>
        </w:rPr>
        <w:t>at all times to supervision to prevent any malicious act and to alert the driver and competent authorities in the event of loss or fire.</w:t>
      </w:r>
      <w:r w:rsidRPr="001C101A">
        <w:rPr>
          <w:u w:val="single"/>
          <w:lang w:val="en-US"/>
        </w:rPr>
        <w:t xml:space="preserve"> These provisions apply</w:t>
      </w:r>
      <w:r>
        <w:rPr>
          <w:u w:val="single"/>
          <w:lang w:val="en-US"/>
        </w:rPr>
        <w:t xml:space="preserve"> i</w:t>
      </w:r>
      <w:r w:rsidRPr="001C101A">
        <w:rPr>
          <w:u w:val="single"/>
          <w:lang w:val="en-US"/>
        </w:rPr>
        <w:t xml:space="preserve">n accordance with the security plan 1.10.3.2 for those substances and articles subject </w:t>
      </w:r>
      <w:r>
        <w:rPr>
          <w:u w:val="single"/>
          <w:lang w:val="en-US"/>
        </w:rPr>
        <w:t xml:space="preserve">in addition </w:t>
      </w:r>
      <w:r w:rsidRPr="001C101A">
        <w:rPr>
          <w:u w:val="single"/>
          <w:lang w:val="en-US"/>
        </w:rPr>
        <w:t>to the provisions in Section 1.10.3.</w:t>
      </w:r>
      <w:r w:rsidRPr="001C101A">
        <w:rPr>
          <w:lang w:val="en-US"/>
        </w:rPr>
        <w:t>”</w:t>
      </w:r>
    </w:p>
    <w:p w14:paraId="6F1B6B78" w14:textId="09F6C419" w:rsidR="009B1876" w:rsidRPr="009B1876" w:rsidRDefault="009B1876" w:rsidP="009B1876">
      <w:pPr>
        <w:spacing w:before="240" w:after="0" w:line="240" w:lineRule="atLeast"/>
        <w:jc w:val="center"/>
        <w:rPr>
          <w:u w:val="single"/>
          <w:lang w:val="en-US"/>
        </w:rPr>
      </w:pPr>
      <w:r>
        <w:rPr>
          <w:u w:val="single"/>
          <w:lang w:val="en-US"/>
        </w:rPr>
        <w:tab/>
      </w:r>
      <w:r>
        <w:rPr>
          <w:u w:val="single"/>
          <w:lang w:val="en-US"/>
        </w:rPr>
        <w:tab/>
      </w:r>
      <w:r>
        <w:rPr>
          <w:u w:val="single"/>
          <w:lang w:val="en-US"/>
        </w:rPr>
        <w:tab/>
      </w:r>
    </w:p>
    <w:sectPr w:rsidR="009B1876" w:rsidRPr="009B1876" w:rsidSect="008B71E7">
      <w:headerReference w:type="even" r:id="rId8"/>
      <w:headerReference w:type="default" r:id="rId9"/>
      <w:footerReference w:type="even" r:id="rId10"/>
      <w:footerReference w:type="default" r:id="rId11"/>
      <w:headerReference w:type="first" r:id="rId12"/>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F3EEA" w14:textId="77777777" w:rsidR="00F50712" w:rsidRDefault="00F50712"/>
  </w:endnote>
  <w:endnote w:type="continuationSeparator" w:id="0">
    <w:p w14:paraId="63F1026C" w14:textId="77777777" w:rsidR="00F50712" w:rsidRDefault="00F50712"/>
  </w:endnote>
  <w:endnote w:type="continuationNotice" w:id="1">
    <w:p w14:paraId="28C06069" w14:textId="77777777" w:rsidR="00F50712" w:rsidRDefault="00F50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B7C2A"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A43B9F">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E5ADB"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A43B9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C0132" w14:textId="77777777" w:rsidR="00F50712" w:rsidRPr="000B175B" w:rsidRDefault="00F50712" w:rsidP="000B175B">
      <w:pPr>
        <w:tabs>
          <w:tab w:val="right" w:pos="2155"/>
        </w:tabs>
        <w:spacing w:after="80"/>
        <w:ind w:left="680"/>
        <w:rPr>
          <w:u w:val="single"/>
        </w:rPr>
      </w:pPr>
      <w:r>
        <w:rPr>
          <w:u w:val="single"/>
        </w:rPr>
        <w:tab/>
      </w:r>
    </w:p>
  </w:footnote>
  <w:footnote w:type="continuationSeparator" w:id="0">
    <w:p w14:paraId="6919631B" w14:textId="77777777" w:rsidR="00F50712" w:rsidRPr="00FC68B7" w:rsidRDefault="00F50712" w:rsidP="00FC68B7">
      <w:pPr>
        <w:tabs>
          <w:tab w:val="left" w:pos="2155"/>
        </w:tabs>
        <w:spacing w:after="80"/>
        <w:ind w:left="680"/>
        <w:rPr>
          <w:u w:val="single"/>
        </w:rPr>
      </w:pPr>
      <w:r>
        <w:rPr>
          <w:u w:val="single"/>
        </w:rPr>
        <w:tab/>
      </w:r>
    </w:p>
  </w:footnote>
  <w:footnote w:type="continuationNotice" w:id="1">
    <w:p w14:paraId="1369312D" w14:textId="77777777" w:rsidR="00F50712" w:rsidRDefault="00F507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02E34" w14:textId="3FB01ADD" w:rsidR="002B16A1" w:rsidRPr="0009455D" w:rsidRDefault="002B16A1">
    <w:pPr>
      <w:pStyle w:val="Header"/>
      <w:rPr>
        <w:lang w:val="fr-CH"/>
      </w:rPr>
    </w:pPr>
    <w:r>
      <w:rPr>
        <w:lang w:val="fr-CH"/>
      </w:rPr>
      <w:t>INF</w:t>
    </w:r>
    <w:r w:rsidR="009B1876">
      <w:rPr>
        <w:lang w:val="fr-CH"/>
      </w:rPr>
      <w:t>.1</w:t>
    </w:r>
    <w:r w:rsidR="00881CD2">
      <w:rPr>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2C7CB" w14:textId="62711383" w:rsidR="002B16A1" w:rsidRPr="00073BC9" w:rsidRDefault="002B16A1" w:rsidP="0009455D">
    <w:pPr>
      <w:pStyle w:val="Header"/>
      <w:jc w:val="right"/>
    </w:pPr>
    <w:r>
      <w:t>INF.</w:t>
    </w:r>
    <w:r w:rsidR="00881CD2">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73D1" w14:textId="4AEF48D3" w:rsidR="002B16A1" w:rsidRPr="00560572" w:rsidRDefault="002B16A1" w:rsidP="00E37495">
    <w:pPr>
      <w:pStyle w:val="Header"/>
      <w:pBdr>
        <w:bottom w:val="single" w:sz="4" w:space="1" w:color="auto"/>
      </w:pBdr>
      <w:jc w:val="right"/>
      <w:rPr>
        <w:sz w:val="28"/>
        <w:szCs w:val="28"/>
      </w:rPr>
    </w:pPr>
    <w:r w:rsidRPr="00560572">
      <w:rPr>
        <w:sz w:val="28"/>
        <w:szCs w:val="28"/>
      </w:rPr>
      <w:t>INF.</w:t>
    </w:r>
    <w:r w:rsidR="009B1876">
      <w:rPr>
        <w:sz w:val="28"/>
        <w:szCs w:val="28"/>
      </w:rPr>
      <w:t>1</w:t>
    </w:r>
    <w:r w:rsidR="00881CD2">
      <w:rPr>
        <w:sz w:val="28"/>
        <w:szCs w:val="28"/>
      </w:rPr>
      <w:t>8</w:t>
    </w:r>
    <w:r w:rsidR="00BF1C05">
      <w:rPr>
        <w:sz w:val="28"/>
        <w:szCs w:val="28"/>
      </w:rPr>
      <w:t xml:space="preserve"> (English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711FA"/>
    <w:multiLevelType w:val="hybridMultilevel"/>
    <w:tmpl w:val="6AEECAFA"/>
    <w:lvl w:ilvl="0" w:tplc="8F1005A2">
      <w:start w:val="1"/>
      <w:numFmt w:val="decimal"/>
      <w:lvlText w:val="%1."/>
      <w:lvlJc w:val="left"/>
      <w:pPr>
        <w:ind w:left="1704" w:hanging="57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1"/>
  </w:num>
  <w:num w:numId="15">
    <w:abstractNumId w:val="17"/>
  </w:num>
  <w:num w:numId="16">
    <w:abstractNumId w:val="13"/>
  </w:num>
  <w:num w:numId="17">
    <w:abstractNumId w:val="23"/>
  </w:num>
  <w:num w:numId="18">
    <w:abstractNumId w:val="25"/>
  </w:num>
  <w:num w:numId="19">
    <w:abstractNumId w:val="22"/>
  </w:num>
  <w:num w:numId="20">
    <w:abstractNumId w:val="12"/>
  </w:num>
  <w:num w:numId="21">
    <w:abstractNumId w:val="19"/>
  </w:num>
  <w:num w:numId="22">
    <w:abstractNumId w:val="26"/>
  </w:num>
  <w:num w:numId="23">
    <w:abstractNumId w:val="18"/>
  </w:num>
  <w:num w:numId="24">
    <w:abstractNumId w:val="21"/>
  </w:num>
  <w:num w:numId="25">
    <w:abstractNumId w:val="24"/>
  </w:num>
  <w:num w:numId="26">
    <w:abstractNumId w:val="20"/>
  </w:num>
  <w:num w:numId="2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0A4"/>
    <w:rsid w:val="000041B2"/>
    <w:rsid w:val="00004CB4"/>
    <w:rsid w:val="00006790"/>
    <w:rsid w:val="00017C14"/>
    <w:rsid w:val="00027624"/>
    <w:rsid w:val="0004316B"/>
    <w:rsid w:val="00050B2C"/>
    <w:rsid w:val="00050F6B"/>
    <w:rsid w:val="00056E1C"/>
    <w:rsid w:val="00057D31"/>
    <w:rsid w:val="00057F00"/>
    <w:rsid w:val="00060675"/>
    <w:rsid w:val="00062540"/>
    <w:rsid w:val="000642F3"/>
    <w:rsid w:val="000678CD"/>
    <w:rsid w:val="00072C8C"/>
    <w:rsid w:val="00073BC9"/>
    <w:rsid w:val="00075498"/>
    <w:rsid w:val="00081CE0"/>
    <w:rsid w:val="00081E5B"/>
    <w:rsid w:val="00082FAE"/>
    <w:rsid w:val="00084D30"/>
    <w:rsid w:val="00090320"/>
    <w:rsid w:val="00091148"/>
    <w:rsid w:val="000918D7"/>
    <w:rsid w:val="000931C0"/>
    <w:rsid w:val="0009455D"/>
    <w:rsid w:val="00097793"/>
    <w:rsid w:val="000A2E09"/>
    <w:rsid w:val="000B175B"/>
    <w:rsid w:val="000B3A0F"/>
    <w:rsid w:val="000B41FA"/>
    <w:rsid w:val="000C2A7D"/>
    <w:rsid w:val="000D5A55"/>
    <w:rsid w:val="000E0415"/>
    <w:rsid w:val="000E233A"/>
    <w:rsid w:val="000E6779"/>
    <w:rsid w:val="000E7EB0"/>
    <w:rsid w:val="000F5D2C"/>
    <w:rsid w:val="000F7715"/>
    <w:rsid w:val="001022EF"/>
    <w:rsid w:val="00103E99"/>
    <w:rsid w:val="001076FE"/>
    <w:rsid w:val="001113FD"/>
    <w:rsid w:val="00116363"/>
    <w:rsid w:val="0011637D"/>
    <w:rsid w:val="001179A1"/>
    <w:rsid w:val="00125674"/>
    <w:rsid w:val="00140040"/>
    <w:rsid w:val="0014401A"/>
    <w:rsid w:val="00156B99"/>
    <w:rsid w:val="0015713B"/>
    <w:rsid w:val="00161037"/>
    <w:rsid w:val="00166124"/>
    <w:rsid w:val="00167F20"/>
    <w:rsid w:val="0017009E"/>
    <w:rsid w:val="00172600"/>
    <w:rsid w:val="001765D7"/>
    <w:rsid w:val="00176739"/>
    <w:rsid w:val="00184DDA"/>
    <w:rsid w:val="001874B4"/>
    <w:rsid w:val="001900CD"/>
    <w:rsid w:val="00193D85"/>
    <w:rsid w:val="0019444B"/>
    <w:rsid w:val="00196F5A"/>
    <w:rsid w:val="001A0452"/>
    <w:rsid w:val="001A06C2"/>
    <w:rsid w:val="001A3481"/>
    <w:rsid w:val="001A4D53"/>
    <w:rsid w:val="001A5F15"/>
    <w:rsid w:val="001B4B04"/>
    <w:rsid w:val="001B5875"/>
    <w:rsid w:val="001C3A25"/>
    <w:rsid w:val="001C4B28"/>
    <w:rsid w:val="001C4B9C"/>
    <w:rsid w:val="001C6663"/>
    <w:rsid w:val="001C7895"/>
    <w:rsid w:val="001D15C4"/>
    <w:rsid w:val="001D26DF"/>
    <w:rsid w:val="001D312D"/>
    <w:rsid w:val="001E0DF6"/>
    <w:rsid w:val="001E583F"/>
    <w:rsid w:val="001F12DF"/>
    <w:rsid w:val="001F1599"/>
    <w:rsid w:val="001F1961"/>
    <w:rsid w:val="001F19C4"/>
    <w:rsid w:val="001F6B91"/>
    <w:rsid w:val="001F7A8B"/>
    <w:rsid w:val="002043F0"/>
    <w:rsid w:val="002060B9"/>
    <w:rsid w:val="0020635F"/>
    <w:rsid w:val="00211E0B"/>
    <w:rsid w:val="00215A1B"/>
    <w:rsid w:val="00216BB2"/>
    <w:rsid w:val="00222F2C"/>
    <w:rsid w:val="00230496"/>
    <w:rsid w:val="00232575"/>
    <w:rsid w:val="00235659"/>
    <w:rsid w:val="0023589F"/>
    <w:rsid w:val="00247258"/>
    <w:rsid w:val="00250356"/>
    <w:rsid w:val="002565C8"/>
    <w:rsid w:val="002574B9"/>
    <w:rsid w:val="00257CAC"/>
    <w:rsid w:val="00264807"/>
    <w:rsid w:val="002815FC"/>
    <w:rsid w:val="00295F1A"/>
    <w:rsid w:val="002974E9"/>
    <w:rsid w:val="002A0603"/>
    <w:rsid w:val="002A214F"/>
    <w:rsid w:val="002A6D75"/>
    <w:rsid w:val="002A7F94"/>
    <w:rsid w:val="002B109A"/>
    <w:rsid w:val="002B16A1"/>
    <w:rsid w:val="002B400C"/>
    <w:rsid w:val="002B5293"/>
    <w:rsid w:val="002C1973"/>
    <w:rsid w:val="002C3A37"/>
    <w:rsid w:val="002C4661"/>
    <w:rsid w:val="002C57D6"/>
    <w:rsid w:val="002C6D45"/>
    <w:rsid w:val="002D1828"/>
    <w:rsid w:val="002D4CF0"/>
    <w:rsid w:val="002D6E53"/>
    <w:rsid w:val="002D743E"/>
    <w:rsid w:val="002E0C3F"/>
    <w:rsid w:val="002E2296"/>
    <w:rsid w:val="002E23C9"/>
    <w:rsid w:val="002E6DB4"/>
    <w:rsid w:val="002F024B"/>
    <w:rsid w:val="002F046D"/>
    <w:rsid w:val="002F56B1"/>
    <w:rsid w:val="003007E7"/>
    <w:rsid w:val="00301764"/>
    <w:rsid w:val="00302B3E"/>
    <w:rsid w:val="003035A1"/>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66634"/>
    <w:rsid w:val="00370928"/>
    <w:rsid w:val="00373041"/>
    <w:rsid w:val="003806F0"/>
    <w:rsid w:val="00382512"/>
    <w:rsid w:val="0038499B"/>
    <w:rsid w:val="003A1C51"/>
    <w:rsid w:val="003A46BB"/>
    <w:rsid w:val="003A4EC7"/>
    <w:rsid w:val="003A550E"/>
    <w:rsid w:val="003A7295"/>
    <w:rsid w:val="003B115E"/>
    <w:rsid w:val="003B1F60"/>
    <w:rsid w:val="003B3A7E"/>
    <w:rsid w:val="003B4643"/>
    <w:rsid w:val="003C2CC4"/>
    <w:rsid w:val="003C3176"/>
    <w:rsid w:val="003C7026"/>
    <w:rsid w:val="003D3B3A"/>
    <w:rsid w:val="003D4B23"/>
    <w:rsid w:val="003D58A1"/>
    <w:rsid w:val="003D6C76"/>
    <w:rsid w:val="003E278A"/>
    <w:rsid w:val="003E3D94"/>
    <w:rsid w:val="003F07CB"/>
    <w:rsid w:val="004019C8"/>
    <w:rsid w:val="004032CF"/>
    <w:rsid w:val="00405A9A"/>
    <w:rsid w:val="0040608F"/>
    <w:rsid w:val="00406B23"/>
    <w:rsid w:val="00413520"/>
    <w:rsid w:val="00414F7A"/>
    <w:rsid w:val="00427300"/>
    <w:rsid w:val="00431D4D"/>
    <w:rsid w:val="004325CB"/>
    <w:rsid w:val="004339A2"/>
    <w:rsid w:val="00433A82"/>
    <w:rsid w:val="00440A07"/>
    <w:rsid w:val="00456441"/>
    <w:rsid w:val="00462880"/>
    <w:rsid w:val="0046357A"/>
    <w:rsid w:val="0047298C"/>
    <w:rsid w:val="0047429E"/>
    <w:rsid w:val="00476F24"/>
    <w:rsid w:val="0048402E"/>
    <w:rsid w:val="004909E7"/>
    <w:rsid w:val="0049311D"/>
    <w:rsid w:val="004A3C2B"/>
    <w:rsid w:val="004B2A91"/>
    <w:rsid w:val="004B45B0"/>
    <w:rsid w:val="004B7EA2"/>
    <w:rsid w:val="004C55B0"/>
    <w:rsid w:val="004D51F6"/>
    <w:rsid w:val="004D63B1"/>
    <w:rsid w:val="004E4179"/>
    <w:rsid w:val="004E7160"/>
    <w:rsid w:val="004F3F8F"/>
    <w:rsid w:val="004F6BA0"/>
    <w:rsid w:val="00503BEA"/>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2055"/>
    <w:rsid w:val="00564BF4"/>
    <w:rsid w:val="005670DF"/>
    <w:rsid w:val="00573297"/>
    <w:rsid w:val="00584173"/>
    <w:rsid w:val="005850DE"/>
    <w:rsid w:val="00587C17"/>
    <w:rsid w:val="00590137"/>
    <w:rsid w:val="00595520"/>
    <w:rsid w:val="005A0287"/>
    <w:rsid w:val="005A44B9"/>
    <w:rsid w:val="005A548A"/>
    <w:rsid w:val="005B1BA0"/>
    <w:rsid w:val="005B3DB3"/>
    <w:rsid w:val="005C58F0"/>
    <w:rsid w:val="005C700B"/>
    <w:rsid w:val="005D15CA"/>
    <w:rsid w:val="005D1867"/>
    <w:rsid w:val="005D2C39"/>
    <w:rsid w:val="005D390C"/>
    <w:rsid w:val="005E0CF7"/>
    <w:rsid w:val="005E165F"/>
    <w:rsid w:val="005E6AAF"/>
    <w:rsid w:val="005F3066"/>
    <w:rsid w:val="005F3E61"/>
    <w:rsid w:val="005F51F6"/>
    <w:rsid w:val="005F69C7"/>
    <w:rsid w:val="005F7732"/>
    <w:rsid w:val="00604DDD"/>
    <w:rsid w:val="006115CC"/>
    <w:rsid w:val="00611FC4"/>
    <w:rsid w:val="00613302"/>
    <w:rsid w:val="006176FB"/>
    <w:rsid w:val="006211FA"/>
    <w:rsid w:val="0062380F"/>
    <w:rsid w:val="0062564C"/>
    <w:rsid w:val="00630FCB"/>
    <w:rsid w:val="00632069"/>
    <w:rsid w:val="00632F10"/>
    <w:rsid w:val="00633628"/>
    <w:rsid w:val="0064017F"/>
    <w:rsid w:val="00640B26"/>
    <w:rsid w:val="00642312"/>
    <w:rsid w:val="00642502"/>
    <w:rsid w:val="0064748F"/>
    <w:rsid w:val="00651A29"/>
    <w:rsid w:val="006643C6"/>
    <w:rsid w:val="00667D6B"/>
    <w:rsid w:val="00670177"/>
    <w:rsid w:val="00671B0D"/>
    <w:rsid w:val="00674D4E"/>
    <w:rsid w:val="006770B2"/>
    <w:rsid w:val="00682407"/>
    <w:rsid w:val="006853B3"/>
    <w:rsid w:val="006940E1"/>
    <w:rsid w:val="00696072"/>
    <w:rsid w:val="006A1D39"/>
    <w:rsid w:val="006A3C72"/>
    <w:rsid w:val="006A7392"/>
    <w:rsid w:val="006B03A1"/>
    <w:rsid w:val="006B364D"/>
    <w:rsid w:val="006B67D9"/>
    <w:rsid w:val="006B6FE3"/>
    <w:rsid w:val="006C5535"/>
    <w:rsid w:val="006D0589"/>
    <w:rsid w:val="006D513E"/>
    <w:rsid w:val="006E564B"/>
    <w:rsid w:val="006E7154"/>
    <w:rsid w:val="006F0884"/>
    <w:rsid w:val="007003CD"/>
    <w:rsid w:val="00703A6D"/>
    <w:rsid w:val="0070701E"/>
    <w:rsid w:val="0070702F"/>
    <w:rsid w:val="0071447C"/>
    <w:rsid w:val="00714B5C"/>
    <w:rsid w:val="00715BE5"/>
    <w:rsid w:val="0072632A"/>
    <w:rsid w:val="007358E8"/>
    <w:rsid w:val="00736ECE"/>
    <w:rsid w:val="007408A0"/>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7CC0"/>
    <w:rsid w:val="007B073D"/>
    <w:rsid w:val="007B5DDD"/>
    <w:rsid w:val="007B614B"/>
    <w:rsid w:val="007B6A61"/>
    <w:rsid w:val="007B6BA5"/>
    <w:rsid w:val="007C3390"/>
    <w:rsid w:val="007C42D8"/>
    <w:rsid w:val="007C4F4B"/>
    <w:rsid w:val="007C68C8"/>
    <w:rsid w:val="007D5759"/>
    <w:rsid w:val="007D6D44"/>
    <w:rsid w:val="007D7362"/>
    <w:rsid w:val="007E36CB"/>
    <w:rsid w:val="007E4914"/>
    <w:rsid w:val="007F1E0D"/>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34DF7"/>
    <w:rsid w:val="00843148"/>
    <w:rsid w:val="008558E7"/>
    <w:rsid w:val="0086054B"/>
    <w:rsid w:val="00866893"/>
    <w:rsid w:val="00866F02"/>
    <w:rsid w:val="00867D18"/>
    <w:rsid w:val="008707F8"/>
    <w:rsid w:val="00871F9A"/>
    <w:rsid w:val="00871FD5"/>
    <w:rsid w:val="00876B8E"/>
    <w:rsid w:val="0088172E"/>
    <w:rsid w:val="00881CD2"/>
    <w:rsid w:val="00881EFA"/>
    <w:rsid w:val="00883E28"/>
    <w:rsid w:val="00887A7D"/>
    <w:rsid w:val="0089256A"/>
    <w:rsid w:val="008979B1"/>
    <w:rsid w:val="008A57C8"/>
    <w:rsid w:val="008A5859"/>
    <w:rsid w:val="008A6792"/>
    <w:rsid w:val="008A6B25"/>
    <w:rsid w:val="008A6C4F"/>
    <w:rsid w:val="008A7787"/>
    <w:rsid w:val="008B389E"/>
    <w:rsid w:val="008B41F4"/>
    <w:rsid w:val="008B59E3"/>
    <w:rsid w:val="008B6FCE"/>
    <w:rsid w:val="008B71E7"/>
    <w:rsid w:val="008C0064"/>
    <w:rsid w:val="008C5B2D"/>
    <w:rsid w:val="008C5BCB"/>
    <w:rsid w:val="008D045E"/>
    <w:rsid w:val="008D0D4F"/>
    <w:rsid w:val="008D3F25"/>
    <w:rsid w:val="008D4D82"/>
    <w:rsid w:val="008E0E09"/>
    <w:rsid w:val="008E0E46"/>
    <w:rsid w:val="008E5A5D"/>
    <w:rsid w:val="008E7116"/>
    <w:rsid w:val="008F143B"/>
    <w:rsid w:val="008F33C4"/>
    <w:rsid w:val="008F3882"/>
    <w:rsid w:val="008F3C40"/>
    <w:rsid w:val="008F4B7C"/>
    <w:rsid w:val="008F73B3"/>
    <w:rsid w:val="00904D63"/>
    <w:rsid w:val="00906BFE"/>
    <w:rsid w:val="00914DC3"/>
    <w:rsid w:val="009157A8"/>
    <w:rsid w:val="00915C95"/>
    <w:rsid w:val="00916B9C"/>
    <w:rsid w:val="00924CF0"/>
    <w:rsid w:val="00926E47"/>
    <w:rsid w:val="009324AE"/>
    <w:rsid w:val="00945B24"/>
    <w:rsid w:val="00946D3D"/>
    <w:rsid w:val="00946EAC"/>
    <w:rsid w:val="00947162"/>
    <w:rsid w:val="009471E0"/>
    <w:rsid w:val="009479C1"/>
    <w:rsid w:val="00953163"/>
    <w:rsid w:val="00956238"/>
    <w:rsid w:val="009601FF"/>
    <w:rsid w:val="0096068B"/>
    <w:rsid w:val="00960D5D"/>
    <w:rsid w:val="009610D0"/>
    <w:rsid w:val="0096375C"/>
    <w:rsid w:val="009662E6"/>
    <w:rsid w:val="0097095E"/>
    <w:rsid w:val="00974F7C"/>
    <w:rsid w:val="00980F57"/>
    <w:rsid w:val="00982DDC"/>
    <w:rsid w:val="0098592B"/>
    <w:rsid w:val="00985AB9"/>
    <w:rsid w:val="00985FC4"/>
    <w:rsid w:val="00986DFE"/>
    <w:rsid w:val="00990766"/>
    <w:rsid w:val="00991261"/>
    <w:rsid w:val="0099198F"/>
    <w:rsid w:val="00992C68"/>
    <w:rsid w:val="0099552C"/>
    <w:rsid w:val="00995FA1"/>
    <w:rsid w:val="009964C4"/>
    <w:rsid w:val="009A6B7B"/>
    <w:rsid w:val="009A7B81"/>
    <w:rsid w:val="009B1876"/>
    <w:rsid w:val="009B29EA"/>
    <w:rsid w:val="009C144C"/>
    <w:rsid w:val="009C59B9"/>
    <w:rsid w:val="009D01C0"/>
    <w:rsid w:val="009D0FD7"/>
    <w:rsid w:val="009D6A08"/>
    <w:rsid w:val="009E0A16"/>
    <w:rsid w:val="009E7970"/>
    <w:rsid w:val="009F2EAC"/>
    <w:rsid w:val="009F57E3"/>
    <w:rsid w:val="009F7AB3"/>
    <w:rsid w:val="00A00D3D"/>
    <w:rsid w:val="00A07EBB"/>
    <w:rsid w:val="00A10F4F"/>
    <w:rsid w:val="00A11067"/>
    <w:rsid w:val="00A138AB"/>
    <w:rsid w:val="00A1704A"/>
    <w:rsid w:val="00A23E9E"/>
    <w:rsid w:val="00A370D7"/>
    <w:rsid w:val="00A41BB8"/>
    <w:rsid w:val="00A425EB"/>
    <w:rsid w:val="00A43B9F"/>
    <w:rsid w:val="00A45CB7"/>
    <w:rsid w:val="00A47439"/>
    <w:rsid w:val="00A5062D"/>
    <w:rsid w:val="00A72F22"/>
    <w:rsid w:val="00A733BC"/>
    <w:rsid w:val="00A748A6"/>
    <w:rsid w:val="00A749C1"/>
    <w:rsid w:val="00A76A69"/>
    <w:rsid w:val="00A77D0C"/>
    <w:rsid w:val="00A824E7"/>
    <w:rsid w:val="00A865A7"/>
    <w:rsid w:val="00A879A4"/>
    <w:rsid w:val="00A910B4"/>
    <w:rsid w:val="00A93D59"/>
    <w:rsid w:val="00A96696"/>
    <w:rsid w:val="00A976DD"/>
    <w:rsid w:val="00AA0FF8"/>
    <w:rsid w:val="00AA3567"/>
    <w:rsid w:val="00AB2CE7"/>
    <w:rsid w:val="00AB2D13"/>
    <w:rsid w:val="00AC0F2C"/>
    <w:rsid w:val="00AC502A"/>
    <w:rsid w:val="00AC7298"/>
    <w:rsid w:val="00AD79E9"/>
    <w:rsid w:val="00AF3A98"/>
    <w:rsid w:val="00AF58C1"/>
    <w:rsid w:val="00B01321"/>
    <w:rsid w:val="00B03E68"/>
    <w:rsid w:val="00B05D2C"/>
    <w:rsid w:val="00B06643"/>
    <w:rsid w:val="00B12F5E"/>
    <w:rsid w:val="00B15055"/>
    <w:rsid w:val="00B17FC5"/>
    <w:rsid w:val="00B2175D"/>
    <w:rsid w:val="00B27044"/>
    <w:rsid w:val="00B30179"/>
    <w:rsid w:val="00B37B15"/>
    <w:rsid w:val="00B4482F"/>
    <w:rsid w:val="00B45C02"/>
    <w:rsid w:val="00B4691D"/>
    <w:rsid w:val="00B609E7"/>
    <w:rsid w:val="00B628EC"/>
    <w:rsid w:val="00B62EEE"/>
    <w:rsid w:val="00B63F27"/>
    <w:rsid w:val="00B70F5A"/>
    <w:rsid w:val="00B71791"/>
    <w:rsid w:val="00B72A1E"/>
    <w:rsid w:val="00B75E02"/>
    <w:rsid w:val="00B80D50"/>
    <w:rsid w:val="00B81E12"/>
    <w:rsid w:val="00B8509D"/>
    <w:rsid w:val="00B9110C"/>
    <w:rsid w:val="00BA339B"/>
    <w:rsid w:val="00BB2862"/>
    <w:rsid w:val="00BB3D9E"/>
    <w:rsid w:val="00BC1E7E"/>
    <w:rsid w:val="00BC2E45"/>
    <w:rsid w:val="00BC3E26"/>
    <w:rsid w:val="00BC74E9"/>
    <w:rsid w:val="00BD242C"/>
    <w:rsid w:val="00BE2E51"/>
    <w:rsid w:val="00BE36A9"/>
    <w:rsid w:val="00BE618E"/>
    <w:rsid w:val="00BE7BEC"/>
    <w:rsid w:val="00BF0A5A"/>
    <w:rsid w:val="00BF0E63"/>
    <w:rsid w:val="00BF103C"/>
    <w:rsid w:val="00BF12A3"/>
    <w:rsid w:val="00BF16D7"/>
    <w:rsid w:val="00BF1C05"/>
    <w:rsid w:val="00BF218C"/>
    <w:rsid w:val="00BF2373"/>
    <w:rsid w:val="00BF4EA5"/>
    <w:rsid w:val="00C03A88"/>
    <w:rsid w:val="00C044E2"/>
    <w:rsid w:val="00C048CB"/>
    <w:rsid w:val="00C066F3"/>
    <w:rsid w:val="00C06865"/>
    <w:rsid w:val="00C07CA9"/>
    <w:rsid w:val="00C10783"/>
    <w:rsid w:val="00C11B07"/>
    <w:rsid w:val="00C129D5"/>
    <w:rsid w:val="00C13F36"/>
    <w:rsid w:val="00C15DC2"/>
    <w:rsid w:val="00C250FE"/>
    <w:rsid w:val="00C27BFC"/>
    <w:rsid w:val="00C31A6C"/>
    <w:rsid w:val="00C36878"/>
    <w:rsid w:val="00C37A49"/>
    <w:rsid w:val="00C443B6"/>
    <w:rsid w:val="00C44BB0"/>
    <w:rsid w:val="00C45BBB"/>
    <w:rsid w:val="00C463DD"/>
    <w:rsid w:val="00C60D93"/>
    <w:rsid w:val="00C62A7A"/>
    <w:rsid w:val="00C70809"/>
    <w:rsid w:val="00C745C3"/>
    <w:rsid w:val="00C805A7"/>
    <w:rsid w:val="00C83923"/>
    <w:rsid w:val="00C9213B"/>
    <w:rsid w:val="00CA2221"/>
    <w:rsid w:val="00CA24A4"/>
    <w:rsid w:val="00CA3137"/>
    <w:rsid w:val="00CA3AF1"/>
    <w:rsid w:val="00CA44E1"/>
    <w:rsid w:val="00CB1981"/>
    <w:rsid w:val="00CB348D"/>
    <w:rsid w:val="00CB34BE"/>
    <w:rsid w:val="00CB4FCE"/>
    <w:rsid w:val="00CB51DE"/>
    <w:rsid w:val="00CB5B76"/>
    <w:rsid w:val="00CB763D"/>
    <w:rsid w:val="00CC0178"/>
    <w:rsid w:val="00CC1589"/>
    <w:rsid w:val="00CC1B3A"/>
    <w:rsid w:val="00CC4E06"/>
    <w:rsid w:val="00CC4EC6"/>
    <w:rsid w:val="00CD1C17"/>
    <w:rsid w:val="00CD2214"/>
    <w:rsid w:val="00CD46F5"/>
    <w:rsid w:val="00CD58A9"/>
    <w:rsid w:val="00CD6883"/>
    <w:rsid w:val="00CD6C29"/>
    <w:rsid w:val="00CE2428"/>
    <w:rsid w:val="00CE4A8F"/>
    <w:rsid w:val="00CE52ED"/>
    <w:rsid w:val="00CF071D"/>
    <w:rsid w:val="00CF102B"/>
    <w:rsid w:val="00CF116C"/>
    <w:rsid w:val="00D00745"/>
    <w:rsid w:val="00D01DA7"/>
    <w:rsid w:val="00D02F12"/>
    <w:rsid w:val="00D03595"/>
    <w:rsid w:val="00D15B04"/>
    <w:rsid w:val="00D20265"/>
    <w:rsid w:val="00D2031B"/>
    <w:rsid w:val="00D22806"/>
    <w:rsid w:val="00D231B0"/>
    <w:rsid w:val="00D23EAC"/>
    <w:rsid w:val="00D25EC1"/>
    <w:rsid w:val="00D25FE2"/>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8768A"/>
    <w:rsid w:val="00D90395"/>
    <w:rsid w:val="00D90415"/>
    <w:rsid w:val="00D917F9"/>
    <w:rsid w:val="00D91E8D"/>
    <w:rsid w:val="00D978C6"/>
    <w:rsid w:val="00DA0956"/>
    <w:rsid w:val="00DA121A"/>
    <w:rsid w:val="00DA357F"/>
    <w:rsid w:val="00DA3E12"/>
    <w:rsid w:val="00DB0BFD"/>
    <w:rsid w:val="00DB5900"/>
    <w:rsid w:val="00DB66FA"/>
    <w:rsid w:val="00DC0FFC"/>
    <w:rsid w:val="00DC18AD"/>
    <w:rsid w:val="00DC36B8"/>
    <w:rsid w:val="00DC584A"/>
    <w:rsid w:val="00DD3FE8"/>
    <w:rsid w:val="00DE0CB9"/>
    <w:rsid w:val="00DE178B"/>
    <w:rsid w:val="00DE5105"/>
    <w:rsid w:val="00DF0A94"/>
    <w:rsid w:val="00DF1147"/>
    <w:rsid w:val="00DF1A1E"/>
    <w:rsid w:val="00DF4518"/>
    <w:rsid w:val="00DF45EB"/>
    <w:rsid w:val="00DF6A82"/>
    <w:rsid w:val="00DF7CAE"/>
    <w:rsid w:val="00E02011"/>
    <w:rsid w:val="00E1773B"/>
    <w:rsid w:val="00E24460"/>
    <w:rsid w:val="00E31B18"/>
    <w:rsid w:val="00E324A0"/>
    <w:rsid w:val="00E37495"/>
    <w:rsid w:val="00E423C0"/>
    <w:rsid w:val="00E470D1"/>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388E"/>
    <w:rsid w:val="00E96630"/>
    <w:rsid w:val="00EA01C6"/>
    <w:rsid w:val="00EA586A"/>
    <w:rsid w:val="00EB5B1B"/>
    <w:rsid w:val="00EC10B9"/>
    <w:rsid w:val="00ED18DC"/>
    <w:rsid w:val="00ED6201"/>
    <w:rsid w:val="00ED7A2A"/>
    <w:rsid w:val="00ED7F40"/>
    <w:rsid w:val="00EE4832"/>
    <w:rsid w:val="00EF1D7F"/>
    <w:rsid w:val="00EF4426"/>
    <w:rsid w:val="00F00868"/>
    <w:rsid w:val="00F0137E"/>
    <w:rsid w:val="00F0148F"/>
    <w:rsid w:val="00F15CF0"/>
    <w:rsid w:val="00F21786"/>
    <w:rsid w:val="00F237F4"/>
    <w:rsid w:val="00F241D6"/>
    <w:rsid w:val="00F347BC"/>
    <w:rsid w:val="00F3742B"/>
    <w:rsid w:val="00F40CCF"/>
    <w:rsid w:val="00F41FDB"/>
    <w:rsid w:val="00F50712"/>
    <w:rsid w:val="00F5337D"/>
    <w:rsid w:val="00F5390C"/>
    <w:rsid w:val="00F56D63"/>
    <w:rsid w:val="00F609A9"/>
    <w:rsid w:val="00F6280E"/>
    <w:rsid w:val="00F7472D"/>
    <w:rsid w:val="00F80C99"/>
    <w:rsid w:val="00F867EC"/>
    <w:rsid w:val="00F91B2B"/>
    <w:rsid w:val="00FA28CC"/>
    <w:rsid w:val="00FA3135"/>
    <w:rsid w:val="00FA3269"/>
    <w:rsid w:val="00FA5836"/>
    <w:rsid w:val="00FB468B"/>
    <w:rsid w:val="00FC03CD"/>
    <w:rsid w:val="00FC0646"/>
    <w:rsid w:val="00FC0826"/>
    <w:rsid w:val="00FC161F"/>
    <w:rsid w:val="00FC2FC6"/>
    <w:rsid w:val="00FC55A7"/>
    <w:rsid w:val="00FC68B7"/>
    <w:rsid w:val="00FD0A90"/>
    <w:rsid w:val="00FD14C5"/>
    <w:rsid w:val="00FD6E23"/>
    <w:rsid w:val="00FE58E6"/>
    <w:rsid w:val="00FE6985"/>
    <w:rsid w:val="00FE7A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1"/>
    <o:shapelayout v:ext="edit">
      <o:idmap v:ext="edit" data="1"/>
    </o:shapelayout>
  </w:shapeDefaults>
  <w:decimalSymbol w:val="."/>
  <w:listSeparator w:val=","/>
  <w14:docId w14:val="081F79EE"/>
  <w15:chartTrackingRefBased/>
  <w15:docId w15:val="{9AD88CB2-792D-42DE-9916-088BD6F1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qFormat/>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uiPriority w:val="99"/>
    <w:qFormat/>
    <w:rsid w:val="00D6633F"/>
    <w:rPr>
      <w:b/>
      <w:sz w:val="24"/>
      <w:lang w:eastAsia="en-US"/>
    </w:rPr>
  </w:style>
  <w:style w:type="character" w:customStyle="1" w:styleId="SingleTxtGChar">
    <w:name w:val="_ Single Txt_G Char"/>
    <w:qFormat/>
    <w:locked/>
    <w:rsid w:val="0079577B"/>
    <w:rPr>
      <w:lang w:val="en-GB" w:eastAsia="en-US"/>
    </w:rPr>
  </w:style>
  <w:style w:type="character" w:customStyle="1" w:styleId="UnresolvedMention1">
    <w:name w:val="Unresolved Mention1"/>
    <w:basedOn w:val="DefaultParagraphFont"/>
    <w:uiPriority w:val="99"/>
    <w:semiHidden/>
    <w:unhideWhenUsed/>
    <w:rsid w:val="00C03A88"/>
    <w:rPr>
      <w:color w:val="605E5C"/>
      <w:shd w:val="clear" w:color="auto" w:fill="E1DFDD"/>
    </w:rPr>
  </w:style>
  <w:style w:type="character" w:customStyle="1" w:styleId="FootnoteTextChar">
    <w:name w:val="Footnote Text Char"/>
    <w:aliases w:val="5_G Char,5_GR Char"/>
    <w:basedOn w:val="DefaultParagraphFont"/>
    <w:link w:val="FootnoteText"/>
    <w:rsid w:val="00A93D59"/>
    <w:rPr>
      <w:sz w:val="18"/>
      <w:lang w:val="en-GB"/>
    </w:rPr>
  </w:style>
  <w:style w:type="paragraph" w:customStyle="1" w:styleId="Tabletitle">
    <w:name w:val="Table title"/>
    <w:basedOn w:val="Normal"/>
    <w:link w:val="TabletitleChar"/>
    <w:rsid w:val="00427300"/>
    <w:pPr>
      <w:keepNext/>
      <w:suppressAutoHyphens/>
      <w:spacing w:before="120" w:after="120" w:line="240" w:lineRule="atLeast"/>
      <w:jc w:val="center"/>
    </w:pPr>
    <w:rPr>
      <w:rFonts w:ascii="Cambria" w:eastAsia="Calibri" w:hAnsi="Cambria"/>
      <w:b/>
      <w:sz w:val="22"/>
      <w:szCs w:val="22"/>
    </w:rPr>
  </w:style>
  <w:style w:type="character" w:customStyle="1" w:styleId="TabletitleChar">
    <w:name w:val="Table title Char"/>
    <w:link w:val="Tabletitle"/>
    <w:locked/>
    <w:rsid w:val="00427300"/>
    <w:rPr>
      <w:rFonts w:ascii="Cambria" w:eastAsia="Calibri" w:hAnsi="Cambria"/>
      <w:b/>
      <w:sz w:val="22"/>
      <w:szCs w:val="22"/>
      <w:lang w:val="en-GB"/>
    </w:rPr>
  </w:style>
  <w:style w:type="character" w:styleId="PlaceholderText">
    <w:name w:val="Placeholder Text"/>
    <w:basedOn w:val="DefaultParagraphFont"/>
    <w:uiPriority w:val="99"/>
    <w:semiHidden/>
    <w:rsid w:val="00FD14C5"/>
    <w:rPr>
      <w:color w:val="808080"/>
    </w:rPr>
  </w:style>
  <w:style w:type="character" w:styleId="CommentReference">
    <w:name w:val="annotation reference"/>
    <w:basedOn w:val="DefaultParagraphFont"/>
    <w:rsid w:val="00F00868"/>
    <w:rPr>
      <w:sz w:val="16"/>
      <w:szCs w:val="16"/>
    </w:rPr>
  </w:style>
  <w:style w:type="paragraph" w:styleId="CommentText">
    <w:name w:val="annotation text"/>
    <w:basedOn w:val="Normal"/>
    <w:link w:val="CommentTextChar"/>
    <w:rsid w:val="00F00868"/>
  </w:style>
  <w:style w:type="character" w:customStyle="1" w:styleId="CommentTextChar">
    <w:name w:val="Comment Text Char"/>
    <w:basedOn w:val="DefaultParagraphFont"/>
    <w:link w:val="CommentText"/>
    <w:rsid w:val="00F00868"/>
    <w:rPr>
      <w:lang w:val="en-GB"/>
    </w:rPr>
  </w:style>
  <w:style w:type="paragraph" w:styleId="CommentSubject">
    <w:name w:val="annotation subject"/>
    <w:basedOn w:val="CommentText"/>
    <w:next w:val="CommentText"/>
    <w:link w:val="CommentSubjectChar"/>
    <w:rsid w:val="00F00868"/>
    <w:rPr>
      <w:b/>
      <w:bCs/>
    </w:rPr>
  </w:style>
  <w:style w:type="character" w:customStyle="1" w:styleId="CommentSubjectChar">
    <w:name w:val="Comment Subject Char"/>
    <w:basedOn w:val="CommentTextChar"/>
    <w:link w:val="CommentSubject"/>
    <w:rsid w:val="00F0086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D63A4-B5E1-4B49-B733-39B354DE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466</Words>
  <Characters>2434</Characters>
  <Application>Microsoft Office Word</Application>
  <DocSecurity>0</DocSecurity>
  <Lines>64</Lines>
  <Paragraphs>42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vt:lpstr>
      <vt:lpstr>INF</vt:lpstr>
      <vt:lpstr>INF</vt:lpstr>
    </vt:vector>
  </TitlesOfParts>
  <Company>UNECE</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Iliass Zerktouni</dc:creator>
  <cp:keywords/>
  <cp:lastModifiedBy>Christine Barrio-Champeau</cp:lastModifiedBy>
  <cp:revision>6</cp:revision>
  <cp:lastPrinted>2019-10-28T09:59:00Z</cp:lastPrinted>
  <dcterms:created xsi:type="dcterms:W3CDTF">2019-11-06T09:57:00Z</dcterms:created>
  <dcterms:modified xsi:type="dcterms:W3CDTF">2019-11-07T15:52:00Z</dcterms:modified>
</cp:coreProperties>
</file>