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8268C5" w14:paraId="7E763252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1AF744" w14:textId="77777777" w:rsidR="00B56E9C" w:rsidRPr="008268C5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8CA88C" w14:textId="77777777" w:rsidR="00B56E9C" w:rsidRPr="008268C5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2AC938" w14:textId="75C57B20" w:rsidR="00B56E9C" w:rsidRPr="008268C5" w:rsidRDefault="00CD57D2" w:rsidP="00F11976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8268C5">
              <w:rPr>
                <w:b/>
                <w:sz w:val="28"/>
                <w:szCs w:val="28"/>
              </w:rPr>
              <w:t>INF.</w:t>
            </w:r>
            <w:r w:rsidR="005C7AE4" w:rsidRPr="005C7AE4">
              <w:rPr>
                <w:b/>
                <w:sz w:val="28"/>
                <w:szCs w:val="28"/>
              </w:rPr>
              <w:t>6</w:t>
            </w:r>
          </w:p>
        </w:tc>
      </w:tr>
    </w:tbl>
    <w:p w14:paraId="177570D9" w14:textId="77777777" w:rsidR="00AB32F7" w:rsidRPr="008268C5" w:rsidRDefault="00AB32F7" w:rsidP="00AB32F7">
      <w:pPr>
        <w:spacing w:before="120"/>
        <w:rPr>
          <w:b/>
          <w:sz w:val="28"/>
          <w:szCs w:val="28"/>
        </w:rPr>
      </w:pPr>
      <w:r w:rsidRPr="008268C5">
        <w:rPr>
          <w:b/>
          <w:sz w:val="28"/>
          <w:szCs w:val="28"/>
        </w:rPr>
        <w:t>Economic Commission for Europe</w:t>
      </w:r>
    </w:p>
    <w:p w14:paraId="0F76EE75" w14:textId="77777777" w:rsidR="00AB32F7" w:rsidRPr="008268C5" w:rsidRDefault="00AB32F7" w:rsidP="00AB32F7">
      <w:pPr>
        <w:spacing w:before="120"/>
        <w:rPr>
          <w:sz w:val="28"/>
          <w:szCs w:val="28"/>
        </w:rPr>
      </w:pPr>
      <w:r w:rsidRPr="008268C5">
        <w:rPr>
          <w:sz w:val="28"/>
          <w:szCs w:val="28"/>
        </w:rPr>
        <w:t>Inland Transport Committee</w:t>
      </w:r>
    </w:p>
    <w:p w14:paraId="60A6A5C4" w14:textId="77777777" w:rsidR="00AB32F7" w:rsidRPr="008268C5" w:rsidRDefault="00AB32F7" w:rsidP="00AB32F7">
      <w:pPr>
        <w:spacing w:before="120"/>
        <w:rPr>
          <w:b/>
          <w:sz w:val="24"/>
          <w:szCs w:val="24"/>
        </w:rPr>
      </w:pPr>
      <w:r w:rsidRPr="008268C5">
        <w:rPr>
          <w:b/>
          <w:sz w:val="24"/>
          <w:szCs w:val="24"/>
        </w:rPr>
        <w:t>Working Party on the Transport of Dangerous Goods</w:t>
      </w:r>
    </w:p>
    <w:p w14:paraId="743230EF" w14:textId="4BA9D381" w:rsidR="00AB32F7" w:rsidRPr="008268C5" w:rsidRDefault="00A44D24" w:rsidP="00AB32F7">
      <w:pPr>
        <w:spacing w:before="120"/>
        <w:rPr>
          <w:b/>
        </w:rPr>
      </w:pPr>
      <w:r>
        <w:rPr>
          <w:b/>
        </w:rPr>
        <w:t>10</w:t>
      </w:r>
      <w:r w:rsidR="00511B5C">
        <w:rPr>
          <w:b/>
        </w:rPr>
        <w:t>6</w:t>
      </w:r>
      <w:r w:rsidR="00963ABB" w:rsidRPr="00963ABB">
        <w:rPr>
          <w:b/>
          <w:vertAlign w:val="superscript"/>
        </w:rPr>
        <w:t>th</w:t>
      </w:r>
      <w:r w:rsidR="00963ABB">
        <w:rPr>
          <w:b/>
        </w:rPr>
        <w:t xml:space="preserve"> </w:t>
      </w:r>
      <w:r w:rsidR="00AB32F7" w:rsidRPr="008268C5">
        <w:rPr>
          <w:b/>
        </w:rPr>
        <w:t>session</w:t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216BDC">
        <w:rPr>
          <w:b/>
        </w:rPr>
        <w:t>2</w:t>
      </w:r>
      <w:r w:rsidR="00804032">
        <w:rPr>
          <w:b/>
        </w:rPr>
        <w:t>9</w:t>
      </w:r>
      <w:r w:rsidR="00216BDC">
        <w:rPr>
          <w:b/>
        </w:rPr>
        <w:t>5</w:t>
      </w:r>
      <w:r w:rsidR="00C4154F">
        <w:rPr>
          <w:b/>
        </w:rPr>
        <w:t xml:space="preserve"> </w:t>
      </w:r>
      <w:r w:rsidR="00FC0D58">
        <w:rPr>
          <w:b/>
        </w:rPr>
        <w:t>April</w:t>
      </w:r>
      <w:r w:rsidR="00511B5C">
        <w:rPr>
          <w:b/>
        </w:rPr>
        <w:t xml:space="preserve"> 2019</w:t>
      </w:r>
    </w:p>
    <w:p w14:paraId="448C2DC5" w14:textId="77777777" w:rsidR="00AB32F7" w:rsidRPr="008268C5" w:rsidRDefault="00AB32F7" w:rsidP="00AB32F7">
      <w:r w:rsidRPr="008268C5">
        <w:t xml:space="preserve">Geneva, </w:t>
      </w:r>
      <w:r w:rsidR="00511B5C">
        <w:t>13</w:t>
      </w:r>
      <w:r w:rsidR="00875C74">
        <w:t>-</w:t>
      </w:r>
      <w:r w:rsidR="00511B5C">
        <w:t>17</w:t>
      </w:r>
      <w:r w:rsidR="00963ABB">
        <w:t xml:space="preserve"> </w:t>
      </w:r>
      <w:r w:rsidR="00511B5C">
        <w:t>May</w:t>
      </w:r>
      <w:r w:rsidRPr="008268C5">
        <w:t xml:space="preserve"> </w:t>
      </w:r>
      <w:r w:rsidR="00B25EB2" w:rsidRPr="008268C5">
        <w:t>201</w:t>
      </w:r>
      <w:r w:rsidR="00511B5C">
        <w:t>9</w:t>
      </w:r>
    </w:p>
    <w:p w14:paraId="50C4BC9A" w14:textId="592AE52C" w:rsidR="002F3C64" w:rsidRDefault="002F3C64" w:rsidP="002F3C64">
      <w:r w:rsidRPr="00BC41E8">
        <w:t xml:space="preserve">Item </w:t>
      </w:r>
      <w:r w:rsidR="007E64A7">
        <w:t xml:space="preserve">6 </w:t>
      </w:r>
      <w:r w:rsidR="00B240FC" w:rsidRPr="00BC41E8">
        <w:t>(</w:t>
      </w:r>
      <w:r w:rsidR="007E64A7">
        <w:t>a</w:t>
      </w:r>
      <w:r w:rsidR="00B240FC" w:rsidRPr="00BC41E8">
        <w:t>)</w:t>
      </w:r>
      <w:r w:rsidRPr="00566B2D">
        <w:t xml:space="preserve"> of the provisional agenda</w:t>
      </w:r>
      <w:r w:rsidR="00566B2D">
        <w:t>:</w:t>
      </w:r>
    </w:p>
    <w:p w14:paraId="26843836" w14:textId="77777777" w:rsidR="00B240FC" w:rsidRPr="007D52F1" w:rsidRDefault="00B240FC" w:rsidP="00B240FC">
      <w:pPr>
        <w:rPr>
          <w:b/>
        </w:rPr>
      </w:pPr>
      <w:r w:rsidRPr="007D52F1">
        <w:rPr>
          <w:b/>
        </w:rPr>
        <w:t>Proposals for amendments to annexes A and B of ADR:</w:t>
      </w:r>
    </w:p>
    <w:p w14:paraId="396D4868" w14:textId="74345BC4" w:rsidR="00B240FC" w:rsidRPr="007D52F1" w:rsidRDefault="00804032" w:rsidP="00B240FC">
      <w:pPr>
        <w:rPr>
          <w:b/>
        </w:rPr>
      </w:pPr>
      <w:r>
        <w:rPr>
          <w:b/>
        </w:rPr>
        <w:t>c</w:t>
      </w:r>
      <w:r w:rsidR="007E64A7">
        <w:rPr>
          <w:b/>
        </w:rPr>
        <w:t>onstruction and approval of vehicles</w:t>
      </w:r>
    </w:p>
    <w:p w14:paraId="307FA0FD" w14:textId="6E852D54" w:rsidR="00B240FC" w:rsidRPr="004A301A" w:rsidRDefault="00B240FC" w:rsidP="005C7AE4">
      <w:pPr>
        <w:pStyle w:val="HChG"/>
      </w:pPr>
      <w:r>
        <w:tab/>
      </w:r>
      <w:r>
        <w:tab/>
      </w:r>
      <w:r w:rsidR="00327C1F" w:rsidRPr="004A301A">
        <w:t xml:space="preserve">9.2.1 </w:t>
      </w:r>
      <w:r w:rsidR="00644563" w:rsidRPr="004A301A">
        <w:t>Braking system for EX</w:t>
      </w:r>
      <w:r w:rsidR="004A301A" w:rsidRPr="004A301A">
        <w:t xml:space="preserve">/II </w:t>
      </w:r>
      <w:r w:rsidR="00644563" w:rsidRPr="004A301A">
        <w:t xml:space="preserve">vehicles of </w:t>
      </w:r>
      <w:r w:rsidR="005C7AE4">
        <w:br/>
      </w:r>
      <w:r w:rsidR="00644563" w:rsidRPr="004A301A">
        <w:t>categor</w:t>
      </w:r>
      <w:r w:rsidR="00AF466C" w:rsidRPr="004A301A">
        <w:t>ies</w:t>
      </w:r>
      <w:r w:rsidR="00644563" w:rsidRPr="004A301A">
        <w:t xml:space="preserve"> O</w:t>
      </w:r>
      <w:r w:rsidR="00644563" w:rsidRPr="004A301A">
        <w:rPr>
          <w:vertAlign w:val="subscript"/>
        </w:rPr>
        <w:t>1</w:t>
      </w:r>
      <w:r w:rsidR="00AF466C" w:rsidRPr="004A301A">
        <w:rPr>
          <w:vertAlign w:val="subscript"/>
        </w:rPr>
        <w:t xml:space="preserve"> </w:t>
      </w:r>
      <w:r w:rsidR="00AF466C" w:rsidRPr="004A301A">
        <w:t>and O</w:t>
      </w:r>
      <w:r w:rsidR="00AF466C" w:rsidRPr="004A301A">
        <w:rPr>
          <w:vertAlign w:val="subscript"/>
        </w:rPr>
        <w:t>2</w:t>
      </w:r>
    </w:p>
    <w:p w14:paraId="2B4FD045" w14:textId="53EEA3F7" w:rsidR="00B240FC" w:rsidRPr="00890ED4" w:rsidRDefault="00B240FC" w:rsidP="00B240FC">
      <w:pPr>
        <w:pStyle w:val="H1G"/>
      </w:pPr>
      <w:r>
        <w:tab/>
      </w:r>
      <w:r>
        <w:tab/>
      </w:r>
      <w:r w:rsidRPr="00890ED4">
        <w:t>Transmitted by the Government</w:t>
      </w:r>
      <w:r w:rsidR="0020780A">
        <w:t xml:space="preserve"> of</w:t>
      </w:r>
      <w:r w:rsidR="00F11976">
        <w:t xml:space="preserve"> Sweden</w:t>
      </w:r>
    </w:p>
    <w:p w14:paraId="2FF5B00C" w14:textId="77777777" w:rsidR="00B240FC" w:rsidRPr="00890ED4" w:rsidRDefault="00B240FC" w:rsidP="00B240FC">
      <w:pPr>
        <w:pStyle w:val="HChG"/>
      </w:pPr>
      <w:r>
        <w:tab/>
      </w:r>
      <w:r>
        <w:tab/>
      </w:r>
      <w:r w:rsidRPr="00890ED4">
        <w:t>Introduction</w:t>
      </w:r>
    </w:p>
    <w:p w14:paraId="13530745" w14:textId="09C081BE" w:rsidR="0020780A" w:rsidRPr="0020780A" w:rsidRDefault="0020780A" w:rsidP="005C7AE4">
      <w:pPr>
        <w:pStyle w:val="SingleTxtG"/>
        <w:rPr>
          <w:rStyle w:val="ttext"/>
          <w:color w:val="333333"/>
        </w:rPr>
      </w:pPr>
      <w:r w:rsidRPr="0020780A">
        <w:rPr>
          <w:rStyle w:val="ttext"/>
          <w:color w:val="333333"/>
        </w:rPr>
        <w:t>The Government of Sweden would like to raise a question concerning EX/II-approval of category O</w:t>
      </w:r>
      <w:r w:rsidRPr="00327C1F">
        <w:rPr>
          <w:rStyle w:val="ttext"/>
          <w:color w:val="333333"/>
          <w:vertAlign w:val="subscript"/>
        </w:rPr>
        <w:t>1</w:t>
      </w:r>
      <w:r w:rsidRPr="0020780A">
        <w:rPr>
          <w:rStyle w:val="ttext"/>
          <w:color w:val="333333"/>
        </w:rPr>
        <w:t xml:space="preserve"> trailers (maximum m</w:t>
      </w:r>
      <w:r w:rsidR="001212CB">
        <w:rPr>
          <w:rStyle w:val="ttext"/>
          <w:color w:val="333333"/>
        </w:rPr>
        <w:t xml:space="preserve">ass of 750 kg) </w:t>
      </w:r>
      <w:r w:rsidR="00AF466C">
        <w:rPr>
          <w:rStyle w:val="ttext"/>
          <w:color w:val="333333"/>
        </w:rPr>
        <w:t>and category O</w:t>
      </w:r>
      <w:r w:rsidR="00AF466C" w:rsidRPr="00AF466C">
        <w:rPr>
          <w:rStyle w:val="ttext"/>
          <w:color w:val="333333"/>
          <w:vertAlign w:val="subscript"/>
        </w:rPr>
        <w:t>2</w:t>
      </w:r>
      <w:r w:rsidR="00AF466C">
        <w:rPr>
          <w:rStyle w:val="ttext"/>
          <w:color w:val="333333"/>
        </w:rPr>
        <w:t xml:space="preserve"> trailers (maximum mass between 750 kg and 3</w:t>
      </w:r>
      <w:r w:rsidR="00804032">
        <w:rPr>
          <w:rStyle w:val="ttext"/>
          <w:color w:val="333333"/>
        </w:rPr>
        <w:t>.</w:t>
      </w:r>
      <w:bookmarkStart w:id="0" w:name="_GoBack"/>
      <w:bookmarkEnd w:id="0"/>
      <w:r w:rsidR="00AF466C">
        <w:rPr>
          <w:rStyle w:val="ttext"/>
          <w:color w:val="333333"/>
        </w:rPr>
        <w:t xml:space="preserve">5 tonnes) </w:t>
      </w:r>
      <w:r w:rsidR="001212CB">
        <w:rPr>
          <w:rStyle w:val="ttext"/>
          <w:color w:val="333333"/>
        </w:rPr>
        <w:t>and whether a br</w:t>
      </w:r>
      <w:r w:rsidRPr="0020780A">
        <w:rPr>
          <w:rStyle w:val="ttext"/>
          <w:color w:val="333333"/>
        </w:rPr>
        <w:t>aking system should be required</w:t>
      </w:r>
      <w:r w:rsidR="00D46DAD">
        <w:rPr>
          <w:rStyle w:val="ttext"/>
          <w:color w:val="333333"/>
        </w:rPr>
        <w:t xml:space="preserve"> that automatically brakes the trailer to a stop if the coupling device separates while the trailer is in motion</w:t>
      </w:r>
      <w:r w:rsidRPr="0020780A">
        <w:rPr>
          <w:rStyle w:val="ttext"/>
          <w:color w:val="333333"/>
        </w:rPr>
        <w:t>.</w:t>
      </w:r>
    </w:p>
    <w:p w14:paraId="0DD69880" w14:textId="37BC5093" w:rsidR="0020780A" w:rsidRPr="0020780A" w:rsidRDefault="0020780A" w:rsidP="005C7AE4">
      <w:pPr>
        <w:pStyle w:val="SingleTxtG"/>
        <w:rPr>
          <w:rStyle w:val="ttext"/>
          <w:color w:val="333333"/>
        </w:rPr>
      </w:pPr>
      <w:r w:rsidRPr="0020780A">
        <w:rPr>
          <w:rStyle w:val="ttext"/>
          <w:color w:val="333333"/>
        </w:rPr>
        <w:t>Currently, ADR does not include any specifi</w:t>
      </w:r>
      <w:r w:rsidR="008B5F36">
        <w:rPr>
          <w:rStyle w:val="ttext"/>
          <w:color w:val="333333"/>
        </w:rPr>
        <w:t>c</w:t>
      </w:r>
      <w:r w:rsidRPr="0020780A">
        <w:rPr>
          <w:rStyle w:val="ttext"/>
          <w:color w:val="333333"/>
        </w:rPr>
        <w:t xml:space="preserve"> requirements concerning brak</w:t>
      </w:r>
      <w:r w:rsidR="00C80A82">
        <w:rPr>
          <w:rStyle w:val="ttext"/>
          <w:color w:val="333333"/>
        </w:rPr>
        <w:t xml:space="preserve">ing for either EX/II or EX/III </w:t>
      </w:r>
      <w:r w:rsidRPr="0020780A">
        <w:rPr>
          <w:rStyle w:val="ttext"/>
          <w:color w:val="333333"/>
        </w:rPr>
        <w:t>vehicles of categor</w:t>
      </w:r>
      <w:r w:rsidR="0059782B">
        <w:rPr>
          <w:rStyle w:val="ttext"/>
          <w:color w:val="333333"/>
        </w:rPr>
        <w:t>ies</w:t>
      </w:r>
      <w:r w:rsidRPr="0020780A">
        <w:rPr>
          <w:rStyle w:val="ttext"/>
          <w:color w:val="333333"/>
        </w:rPr>
        <w:t xml:space="preserve"> O</w:t>
      </w:r>
      <w:r w:rsidRPr="00327C1F">
        <w:rPr>
          <w:rStyle w:val="ttext"/>
          <w:color w:val="333333"/>
          <w:vertAlign w:val="subscript"/>
        </w:rPr>
        <w:t>1</w:t>
      </w:r>
      <w:r w:rsidR="0059782B">
        <w:rPr>
          <w:rStyle w:val="ttext"/>
          <w:color w:val="333333"/>
          <w:vertAlign w:val="subscript"/>
        </w:rPr>
        <w:t xml:space="preserve"> </w:t>
      </w:r>
      <w:r w:rsidR="0059782B">
        <w:rPr>
          <w:rStyle w:val="ttext"/>
          <w:color w:val="333333"/>
        </w:rPr>
        <w:t>and O</w:t>
      </w:r>
      <w:r w:rsidR="0059782B" w:rsidRPr="0059782B">
        <w:rPr>
          <w:rStyle w:val="ttext"/>
          <w:color w:val="333333"/>
          <w:vertAlign w:val="subscript"/>
        </w:rPr>
        <w:t>2</w:t>
      </w:r>
      <w:r w:rsidR="0059782B">
        <w:rPr>
          <w:rStyle w:val="ttext"/>
          <w:color w:val="333333"/>
        </w:rPr>
        <w:t>,</w:t>
      </w:r>
      <w:r w:rsidRPr="0020780A">
        <w:rPr>
          <w:rStyle w:val="ttext"/>
          <w:color w:val="333333"/>
        </w:rPr>
        <w:t xml:space="preserve"> but refer to UN Regulation No.13, Annex 5. However, UN Re</w:t>
      </w:r>
      <w:r w:rsidR="0059782B">
        <w:rPr>
          <w:rStyle w:val="ttext"/>
          <w:color w:val="333333"/>
        </w:rPr>
        <w:t>gulation No.13</w:t>
      </w:r>
      <w:r w:rsidR="008B5F36">
        <w:rPr>
          <w:rStyle w:val="ttext"/>
          <w:color w:val="333333"/>
        </w:rPr>
        <w:t>, Annex 5,</w:t>
      </w:r>
      <w:r w:rsidR="0059782B">
        <w:rPr>
          <w:rStyle w:val="ttext"/>
          <w:color w:val="333333"/>
        </w:rPr>
        <w:t xml:space="preserve"> only states that </w:t>
      </w:r>
      <w:r w:rsidRPr="0020780A">
        <w:rPr>
          <w:rStyle w:val="ttext"/>
          <w:color w:val="333333"/>
        </w:rPr>
        <w:t xml:space="preserve">EX/III vehicles </w:t>
      </w:r>
      <w:r w:rsidR="0059782B">
        <w:rPr>
          <w:rStyle w:val="ttext"/>
          <w:color w:val="333333"/>
        </w:rPr>
        <w:t xml:space="preserve">of categories </w:t>
      </w:r>
      <w:r w:rsidR="0059782B" w:rsidRPr="0020780A">
        <w:rPr>
          <w:rStyle w:val="ttext"/>
          <w:color w:val="333333"/>
        </w:rPr>
        <w:t>O</w:t>
      </w:r>
      <w:r w:rsidR="0059782B" w:rsidRPr="00327C1F">
        <w:rPr>
          <w:rStyle w:val="ttext"/>
          <w:color w:val="333333"/>
          <w:vertAlign w:val="subscript"/>
        </w:rPr>
        <w:t>1</w:t>
      </w:r>
      <w:r w:rsidR="0059782B">
        <w:rPr>
          <w:rStyle w:val="ttext"/>
          <w:color w:val="333333"/>
          <w:vertAlign w:val="subscript"/>
        </w:rPr>
        <w:t xml:space="preserve"> </w:t>
      </w:r>
      <w:r w:rsidR="0059782B">
        <w:rPr>
          <w:rStyle w:val="ttext"/>
          <w:color w:val="333333"/>
        </w:rPr>
        <w:t>and O</w:t>
      </w:r>
      <w:r w:rsidR="0059782B" w:rsidRPr="0059782B">
        <w:rPr>
          <w:rStyle w:val="ttext"/>
          <w:color w:val="333333"/>
          <w:vertAlign w:val="subscript"/>
        </w:rPr>
        <w:t>2</w:t>
      </w:r>
      <w:r w:rsidR="0059782B">
        <w:rPr>
          <w:rStyle w:val="ttext"/>
          <w:color w:val="333333"/>
          <w:vertAlign w:val="subscript"/>
        </w:rPr>
        <w:t xml:space="preserve"> </w:t>
      </w:r>
      <w:r w:rsidRPr="0020780A">
        <w:rPr>
          <w:rStyle w:val="ttext"/>
          <w:color w:val="333333"/>
        </w:rPr>
        <w:t>must be</w:t>
      </w:r>
      <w:r w:rsidR="00E9389A">
        <w:rPr>
          <w:rStyle w:val="ttext"/>
          <w:color w:val="333333"/>
        </w:rPr>
        <w:t xml:space="preserve"> equipped with a br</w:t>
      </w:r>
      <w:r w:rsidR="001212CB">
        <w:rPr>
          <w:rStyle w:val="ttext"/>
          <w:color w:val="333333"/>
        </w:rPr>
        <w:t>aking system</w:t>
      </w:r>
      <w:r w:rsidR="00D46DAD">
        <w:rPr>
          <w:rStyle w:val="ttext"/>
          <w:color w:val="333333"/>
        </w:rPr>
        <w:t xml:space="preserve"> that automatically brakes the trailer to a stop if the coupling device separates while the trailer is in motion</w:t>
      </w:r>
      <w:r w:rsidR="001212CB">
        <w:rPr>
          <w:rStyle w:val="ttext"/>
          <w:color w:val="333333"/>
        </w:rPr>
        <w:t xml:space="preserve">. EX/II </w:t>
      </w:r>
      <w:r w:rsidRPr="0020780A">
        <w:rPr>
          <w:rStyle w:val="ttext"/>
          <w:color w:val="333333"/>
        </w:rPr>
        <w:t xml:space="preserve">vehicles are not mentioned. </w:t>
      </w:r>
      <w:r w:rsidRPr="00327C1F">
        <w:rPr>
          <w:rStyle w:val="ttext"/>
          <w:i/>
          <w:color w:val="333333"/>
        </w:rPr>
        <w:t xml:space="preserve">See extracts </w:t>
      </w:r>
      <w:r w:rsidR="00C530F4">
        <w:rPr>
          <w:rStyle w:val="ttext"/>
          <w:i/>
          <w:color w:val="333333"/>
        </w:rPr>
        <w:t xml:space="preserve">from ADR and R13 </w:t>
      </w:r>
      <w:r w:rsidRPr="00327C1F">
        <w:rPr>
          <w:rStyle w:val="ttext"/>
          <w:i/>
          <w:color w:val="333333"/>
        </w:rPr>
        <w:t>under “Background information” below</w:t>
      </w:r>
      <w:r w:rsidRPr="0020780A">
        <w:rPr>
          <w:rStyle w:val="ttext"/>
          <w:color w:val="333333"/>
        </w:rPr>
        <w:t>.</w:t>
      </w:r>
    </w:p>
    <w:p w14:paraId="693334F7" w14:textId="0F438C21" w:rsidR="0020780A" w:rsidRPr="0020780A" w:rsidRDefault="007011A3" w:rsidP="005C7AE4">
      <w:pPr>
        <w:pStyle w:val="SingleTxtG"/>
        <w:rPr>
          <w:rStyle w:val="ttext"/>
          <w:color w:val="333333"/>
        </w:rPr>
      </w:pPr>
      <w:r>
        <w:rPr>
          <w:rStyle w:val="ttext"/>
          <w:color w:val="333333"/>
        </w:rPr>
        <w:t xml:space="preserve">Compared to EX/II vehicles, the maximum </w:t>
      </w:r>
      <w:r w:rsidR="00B03BDC">
        <w:rPr>
          <w:rStyle w:val="ttext"/>
          <w:color w:val="333333"/>
        </w:rPr>
        <w:t xml:space="preserve">permissible </w:t>
      </w:r>
      <w:r>
        <w:rPr>
          <w:rStyle w:val="ttext"/>
          <w:color w:val="333333"/>
        </w:rPr>
        <w:t xml:space="preserve">net mass of explosives is larger on </w:t>
      </w:r>
      <w:r w:rsidR="00A22D5C">
        <w:rPr>
          <w:rStyle w:val="ttext"/>
          <w:color w:val="333333"/>
        </w:rPr>
        <w:t>E</w:t>
      </w:r>
      <w:r w:rsidR="00327C1F" w:rsidRPr="0020780A">
        <w:rPr>
          <w:rStyle w:val="ttext"/>
          <w:color w:val="333333"/>
        </w:rPr>
        <w:t>X/III</w:t>
      </w:r>
      <w:r w:rsidR="00C80A82">
        <w:rPr>
          <w:rStyle w:val="ttext"/>
          <w:color w:val="333333"/>
        </w:rPr>
        <w:t xml:space="preserve"> </w:t>
      </w:r>
      <w:r w:rsidR="00B36CA9">
        <w:rPr>
          <w:rStyle w:val="ttext"/>
          <w:color w:val="333333"/>
        </w:rPr>
        <w:t>vehicle</w:t>
      </w:r>
      <w:r>
        <w:rPr>
          <w:rStyle w:val="ttext"/>
          <w:color w:val="333333"/>
        </w:rPr>
        <w:t>s</w:t>
      </w:r>
      <w:r w:rsidR="00CF44DD">
        <w:rPr>
          <w:rStyle w:val="ttext"/>
          <w:color w:val="333333"/>
        </w:rPr>
        <w:t xml:space="preserve"> according to s</w:t>
      </w:r>
      <w:r>
        <w:rPr>
          <w:rStyle w:val="ttext"/>
          <w:color w:val="333333"/>
        </w:rPr>
        <w:t xml:space="preserve">ub-section </w:t>
      </w:r>
      <w:r w:rsidR="00CF44DD">
        <w:rPr>
          <w:rStyle w:val="ttext"/>
          <w:color w:val="333333"/>
        </w:rPr>
        <w:t>7.5.5.2.1 in ADR</w:t>
      </w:r>
      <w:r w:rsidR="00A22D5C">
        <w:rPr>
          <w:rStyle w:val="ttext"/>
          <w:color w:val="333333"/>
        </w:rPr>
        <w:t>. However,</w:t>
      </w:r>
      <w:r w:rsidR="00327C1F" w:rsidRPr="0020780A">
        <w:rPr>
          <w:rStyle w:val="ttext"/>
          <w:color w:val="333333"/>
        </w:rPr>
        <w:t xml:space="preserve"> </w:t>
      </w:r>
      <w:r w:rsidR="00B03BDC">
        <w:rPr>
          <w:rStyle w:val="ttext"/>
          <w:color w:val="333333"/>
        </w:rPr>
        <w:t xml:space="preserve">what concerns an </w:t>
      </w:r>
      <w:r w:rsidR="00B03BDC" w:rsidRPr="00BF36DF">
        <w:rPr>
          <w:rStyle w:val="ttext"/>
          <w:color w:val="333333"/>
        </w:rPr>
        <w:t>O</w:t>
      </w:r>
      <w:r w:rsidR="00B03BDC" w:rsidRPr="00BF36DF">
        <w:rPr>
          <w:rStyle w:val="ttext"/>
          <w:color w:val="333333"/>
          <w:vertAlign w:val="subscript"/>
        </w:rPr>
        <w:t>1</w:t>
      </w:r>
      <w:r w:rsidR="00B03BDC" w:rsidRPr="00BF36DF">
        <w:rPr>
          <w:rStyle w:val="ttext"/>
          <w:color w:val="333333"/>
        </w:rPr>
        <w:t xml:space="preserve"> t</w:t>
      </w:r>
      <w:r w:rsidR="00B03BDC">
        <w:rPr>
          <w:rStyle w:val="ttext"/>
          <w:color w:val="333333"/>
        </w:rPr>
        <w:t xml:space="preserve">railer, </w:t>
      </w:r>
      <w:r>
        <w:rPr>
          <w:rStyle w:val="ttext"/>
          <w:color w:val="333333"/>
        </w:rPr>
        <w:t xml:space="preserve">it is not possible to legally carry any larger amounts on an </w:t>
      </w:r>
      <w:r w:rsidR="001212CB">
        <w:rPr>
          <w:rStyle w:val="ttext"/>
          <w:color w:val="333333"/>
        </w:rPr>
        <w:t>O</w:t>
      </w:r>
      <w:r w:rsidR="001212CB" w:rsidRPr="007011A3">
        <w:rPr>
          <w:rStyle w:val="ttext"/>
          <w:color w:val="333333"/>
          <w:vertAlign w:val="subscript"/>
        </w:rPr>
        <w:t>1</w:t>
      </w:r>
      <w:r w:rsidR="001212CB">
        <w:rPr>
          <w:rStyle w:val="ttext"/>
          <w:color w:val="333333"/>
        </w:rPr>
        <w:t xml:space="preserve"> trailer </w:t>
      </w:r>
      <w:r>
        <w:rPr>
          <w:rStyle w:val="ttext"/>
          <w:color w:val="333333"/>
        </w:rPr>
        <w:t xml:space="preserve">than </w:t>
      </w:r>
      <w:r w:rsidR="008B5F36">
        <w:rPr>
          <w:rStyle w:val="ttext"/>
          <w:color w:val="333333"/>
        </w:rPr>
        <w:t xml:space="preserve">what </w:t>
      </w:r>
      <w:r>
        <w:rPr>
          <w:rStyle w:val="ttext"/>
          <w:color w:val="333333"/>
        </w:rPr>
        <w:t xml:space="preserve">is </w:t>
      </w:r>
      <w:r w:rsidR="00CF44DD">
        <w:rPr>
          <w:rStyle w:val="ttext"/>
          <w:color w:val="333333"/>
        </w:rPr>
        <w:t xml:space="preserve">also </w:t>
      </w:r>
      <w:r w:rsidR="001212CB">
        <w:rPr>
          <w:rStyle w:val="ttext"/>
          <w:color w:val="333333"/>
        </w:rPr>
        <w:t xml:space="preserve">allowed </w:t>
      </w:r>
      <w:r>
        <w:rPr>
          <w:rStyle w:val="ttext"/>
          <w:color w:val="333333"/>
        </w:rPr>
        <w:t xml:space="preserve">on </w:t>
      </w:r>
      <w:r w:rsidR="001212CB">
        <w:rPr>
          <w:rStyle w:val="ttext"/>
          <w:color w:val="333333"/>
        </w:rPr>
        <w:t>an EX/II vehicle</w:t>
      </w:r>
      <w:r w:rsidR="00B03BDC" w:rsidRPr="00B03BDC">
        <w:rPr>
          <w:rStyle w:val="ttext"/>
          <w:color w:val="333333"/>
        </w:rPr>
        <w:t xml:space="preserve"> </w:t>
      </w:r>
      <w:r w:rsidR="00B03BDC">
        <w:rPr>
          <w:rStyle w:val="ttext"/>
          <w:color w:val="333333"/>
        </w:rPr>
        <w:t xml:space="preserve">(except for explosives with </w:t>
      </w:r>
      <w:r w:rsidR="00D46DAD">
        <w:rPr>
          <w:rStyle w:val="ttext"/>
          <w:color w:val="333333"/>
        </w:rPr>
        <w:t>classification code</w:t>
      </w:r>
      <w:r w:rsidR="00B03BDC">
        <w:rPr>
          <w:rStyle w:val="ttext"/>
          <w:color w:val="333333"/>
        </w:rPr>
        <w:t xml:space="preserve"> 1.1A)</w:t>
      </w:r>
      <w:r w:rsidR="001212CB">
        <w:rPr>
          <w:rStyle w:val="ttext"/>
          <w:color w:val="333333"/>
        </w:rPr>
        <w:t xml:space="preserve">. </w:t>
      </w:r>
      <w:r>
        <w:rPr>
          <w:rStyle w:val="ttext"/>
          <w:color w:val="333333"/>
        </w:rPr>
        <w:t xml:space="preserve">Since </w:t>
      </w:r>
      <w:r w:rsidR="001333ED">
        <w:rPr>
          <w:rStyle w:val="ttext"/>
          <w:color w:val="333333"/>
        </w:rPr>
        <w:t xml:space="preserve">these </w:t>
      </w:r>
      <w:r w:rsidR="00327C1F">
        <w:rPr>
          <w:rStyle w:val="ttext"/>
          <w:color w:val="333333"/>
        </w:rPr>
        <w:t xml:space="preserve">trailers might be practical to use </w:t>
      </w:r>
      <w:r w:rsidR="000475AC">
        <w:rPr>
          <w:rStyle w:val="ttext"/>
          <w:color w:val="333333"/>
        </w:rPr>
        <w:t>in connection to</w:t>
      </w:r>
      <w:r w:rsidR="00D82581">
        <w:rPr>
          <w:rStyle w:val="ttext"/>
          <w:color w:val="333333"/>
        </w:rPr>
        <w:t xml:space="preserve"> </w:t>
      </w:r>
      <w:r>
        <w:rPr>
          <w:rStyle w:val="ttext"/>
          <w:color w:val="333333"/>
        </w:rPr>
        <w:t xml:space="preserve">e.g. </w:t>
      </w:r>
      <w:r w:rsidR="00D82581">
        <w:rPr>
          <w:rStyle w:val="ttext"/>
          <w:color w:val="333333"/>
        </w:rPr>
        <w:t>demolition work</w:t>
      </w:r>
      <w:r w:rsidR="003B0BF3">
        <w:rPr>
          <w:rStyle w:val="ttext"/>
          <w:color w:val="333333"/>
        </w:rPr>
        <w:t>,</w:t>
      </w:r>
      <w:r w:rsidR="00D82581">
        <w:rPr>
          <w:rStyle w:val="ttext"/>
          <w:color w:val="333333"/>
        </w:rPr>
        <w:t xml:space="preserve"> </w:t>
      </w:r>
      <w:r w:rsidR="003B0BF3">
        <w:rPr>
          <w:rStyle w:val="ttext"/>
          <w:color w:val="333333"/>
        </w:rPr>
        <w:t>we believe these kind of transport units might be quite common.</w:t>
      </w:r>
      <w:r w:rsidR="005C7AE4">
        <w:rPr>
          <w:rStyle w:val="ttext"/>
          <w:color w:val="333333"/>
        </w:rPr>
        <w:t xml:space="preserve"> </w:t>
      </w:r>
      <w:r w:rsidR="00327C1F">
        <w:rPr>
          <w:rStyle w:val="ttext"/>
          <w:color w:val="333333"/>
        </w:rPr>
        <w:t xml:space="preserve">For the </w:t>
      </w:r>
      <w:proofErr w:type="gramStart"/>
      <w:r w:rsidR="00327C1F">
        <w:rPr>
          <w:rStyle w:val="ttext"/>
          <w:color w:val="333333"/>
        </w:rPr>
        <w:t>aforementioned reasons</w:t>
      </w:r>
      <w:proofErr w:type="gramEnd"/>
      <w:r w:rsidR="00327C1F">
        <w:rPr>
          <w:rStyle w:val="ttext"/>
          <w:color w:val="333333"/>
        </w:rPr>
        <w:t xml:space="preserve">, we </w:t>
      </w:r>
      <w:r w:rsidR="0020780A" w:rsidRPr="0020780A">
        <w:rPr>
          <w:rStyle w:val="ttext"/>
          <w:color w:val="333333"/>
        </w:rPr>
        <w:t>would like to ask for the view of the WP.15-meeting on the following:</w:t>
      </w:r>
    </w:p>
    <w:p w14:paraId="7D147EAB" w14:textId="2D63751A" w:rsidR="0020780A" w:rsidRPr="0020780A" w:rsidRDefault="0020780A" w:rsidP="005C7AE4">
      <w:pPr>
        <w:pStyle w:val="Bullet1G"/>
        <w:rPr>
          <w:rStyle w:val="ttext"/>
          <w:color w:val="333333"/>
        </w:rPr>
      </w:pPr>
      <w:r w:rsidRPr="0020780A">
        <w:rPr>
          <w:rStyle w:val="ttext"/>
          <w:color w:val="333333"/>
        </w:rPr>
        <w:t> Would it be appropriate to introduce the sam</w:t>
      </w:r>
      <w:r w:rsidR="00C80A82">
        <w:rPr>
          <w:rStyle w:val="ttext"/>
          <w:color w:val="333333"/>
        </w:rPr>
        <w:t xml:space="preserve">e braking requirement for EX/II </w:t>
      </w:r>
      <w:r w:rsidRPr="0020780A">
        <w:rPr>
          <w:rStyle w:val="ttext"/>
          <w:color w:val="333333"/>
        </w:rPr>
        <w:t>vehicles</w:t>
      </w:r>
      <w:r w:rsidR="00B03BDC">
        <w:rPr>
          <w:rStyle w:val="ttext"/>
          <w:color w:val="333333"/>
        </w:rPr>
        <w:t xml:space="preserve"> of categories </w:t>
      </w:r>
      <w:r w:rsidR="00B03BDC" w:rsidRPr="0020780A">
        <w:rPr>
          <w:rStyle w:val="ttext"/>
          <w:color w:val="333333"/>
        </w:rPr>
        <w:t>O</w:t>
      </w:r>
      <w:r w:rsidR="00B03BDC" w:rsidRPr="00327C1F">
        <w:rPr>
          <w:rStyle w:val="ttext"/>
          <w:color w:val="333333"/>
          <w:vertAlign w:val="subscript"/>
        </w:rPr>
        <w:t>1</w:t>
      </w:r>
      <w:r w:rsidR="00B03BDC">
        <w:rPr>
          <w:rStyle w:val="ttext"/>
          <w:color w:val="333333"/>
          <w:vertAlign w:val="subscript"/>
        </w:rPr>
        <w:t xml:space="preserve"> </w:t>
      </w:r>
      <w:r w:rsidR="00B03BDC">
        <w:rPr>
          <w:rStyle w:val="ttext"/>
          <w:color w:val="333333"/>
        </w:rPr>
        <w:t>and O</w:t>
      </w:r>
      <w:r w:rsidR="00B03BDC" w:rsidRPr="0059782B">
        <w:rPr>
          <w:rStyle w:val="ttext"/>
          <w:color w:val="333333"/>
          <w:vertAlign w:val="subscript"/>
        </w:rPr>
        <w:t>2</w:t>
      </w:r>
      <w:r w:rsidR="00B03BDC">
        <w:rPr>
          <w:rStyle w:val="ttext"/>
          <w:color w:val="333333"/>
        </w:rPr>
        <w:t xml:space="preserve"> as applicable to EX/III vehicles</w:t>
      </w:r>
      <w:r w:rsidR="00D46DAD">
        <w:rPr>
          <w:rStyle w:val="ttext"/>
          <w:color w:val="333333"/>
        </w:rPr>
        <w:t xml:space="preserve"> in paragraph 2.4 of </w:t>
      </w:r>
      <w:r w:rsidR="00D46DAD" w:rsidRPr="00D46DAD">
        <w:rPr>
          <w:rStyle w:val="ttext"/>
          <w:color w:val="333333"/>
        </w:rPr>
        <w:t>UN Regulation No.13</w:t>
      </w:r>
      <w:r w:rsidR="008B5F36">
        <w:rPr>
          <w:rStyle w:val="ttext"/>
          <w:color w:val="333333"/>
        </w:rPr>
        <w:t>, Annex 5</w:t>
      </w:r>
      <w:r w:rsidR="00B03BDC">
        <w:rPr>
          <w:rStyle w:val="ttext"/>
          <w:color w:val="333333"/>
        </w:rPr>
        <w:t>?</w:t>
      </w:r>
      <w:r w:rsidRPr="0020780A">
        <w:rPr>
          <w:rStyle w:val="ttext"/>
          <w:color w:val="333333"/>
        </w:rPr>
        <w:t xml:space="preserve"> </w:t>
      </w:r>
    </w:p>
    <w:p w14:paraId="27A18409" w14:textId="77777777" w:rsidR="000475AC" w:rsidRDefault="000475AC">
      <w:pPr>
        <w:suppressAutoHyphens w:val="0"/>
        <w:spacing w:line="240" w:lineRule="auto"/>
        <w:rPr>
          <w:b/>
          <w:bCs/>
          <w:color w:val="1F497D"/>
        </w:rPr>
      </w:pPr>
      <w:r>
        <w:rPr>
          <w:b/>
          <w:bCs/>
          <w:color w:val="1F497D"/>
        </w:rPr>
        <w:br w:type="page"/>
      </w:r>
    </w:p>
    <w:p w14:paraId="1E5A0FE9" w14:textId="4EBAAAF7" w:rsidR="0020780A" w:rsidRPr="000A6A62" w:rsidRDefault="003F70AC" w:rsidP="003F70AC">
      <w:pPr>
        <w:pStyle w:val="HChG"/>
      </w:pPr>
      <w:r>
        <w:lastRenderedPageBreak/>
        <w:tab/>
      </w:r>
      <w:r>
        <w:tab/>
      </w:r>
      <w:r w:rsidR="000A6A62">
        <w:t>Background information</w:t>
      </w:r>
    </w:p>
    <w:p w14:paraId="00212E6C" w14:textId="325C4DA1" w:rsidR="0020780A" w:rsidRPr="000475AC" w:rsidRDefault="00E97380" w:rsidP="003F70AC">
      <w:pPr>
        <w:pStyle w:val="H1G"/>
        <w:rPr>
          <w:rStyle w:val="ttext"/>
          <w:b w:val="0"/>
          <w:color w:val="333333"/>
        </w:rPr>
      </w:pPr>
      <w:r>
        <w:rPr>
          <w:rStyle w:val="ttext"/>
          <w:color w:val="333333"/>
        </w:rPr>
        <w:tab/>
      </w:r>
      <w:r>
        <w:rPr>
          <w:rStyle w:val="ttext"/>
          <w:color w:val="333333"/>
        </w:rPr>
        <w:tab/>
      </w:r>
      <w:r w:rsidR="003252C0">
        <w:rPr>
          <w:rStyle w:val="ttext"/>
          <w:color w:val="333333"/>
        </w:rPr>
        <w:t xml:space="preserve">Extract from </w:t>
      </w:r>
      <w:r w:rsidR="0020780A" w:rsidRPr="000475AC">
        <w:rPr>
          <w:rStyle w:val="ttext"/>
          <w:color w:val="333333"/>
        </w:rPr>
        <w:t>ADR</w:t>
      </w:r>
    </w:p>
    <w:tbl>
      <w:tblPr>
        <w:tblW w:w="9639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2600"/>
        <w:gridCol w:w="576"/>
        <w:gridCol w:w="576"/>
        <w:gridCol w:w="576"/>
        <w:gridCol w:w="575"/>
        <w:gridCol w:w="4101"/>
      </w:tblGrid>
      <w:tr w:rsidR="000475AC" w:rsidRPr="00041B7F" w14:paraId="2EAE6B58" w14:textId="77777777" w:rsidTr="00E97380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468F" w14:textId="77777777" w:rsidR="000475AC" w:rsidRPr="00041B7F" w:rsidRDefault="000475AC" w:rsidP="000475AC">
            <w:pPr>
              <w:spacing w:after="60"/>
              <w:jc w:val="both"/>
            </w:pPr>
            <w:r w:rsidRPr="00041B7F">
              <w:t>9.2.3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97E4" w14:textId="77777777" w:rsidR="000475AC" w:rsidRPr="00041B7F" w:rsidRDefault="000475AC" w:rsidP="000475AC">
            <w:pPr>
              <w:spacing w:after="60"/>
              <w:jc w:val="both"/>
              <w:rPr>
                <w:b/>
              </w:rPr>
            </w:pPr>
            <w:r w:rsidRPr="00041B7F">
              <w:rPr>
                <w:b/>
              </w:rPr>
              <w:t>BRAKING EQUIPMENT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EBA8" w14:textId="19EC9353" w:rsidR="000475AC" w:rsidRPr="00041B7F" w:rsidRDefault="000475AC" w:rsidP="000475AC">
            <w:pPr>
              <w:spacing w:after="60"/>
              <w:jc w:val="center"/>
            </w:pPr>
            <w:r w:rsidRPr="00041B7F">
              <w:t>EX/II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601A" w14:textId="23DCA59B" w:rsidR="000475AC" w:rsidRPr="00041B7F" w:rsidRDefault="000475AC" w:rsidP="000475AC">
            <w:pPr>
              <w:spacing w:after="60"/>
              <w:jc w:val="center"/>
            </w:pPr>
            <w:r w:rsidRPr="00041B7F">
              <w:t>EX/III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97A5" w14:textId="62C9E59A" w:rsidR="000475AC" w:rsidRPr="00041B7F" w:rsidRDefault="000475AC" w:rsidP="000475AC">
            <w:pPr>
              <w:spacing w:after="60"/>
              <w:jc w:val="center"/>
            </w:pPr>
            <w:r w:rsidRPr="00041B7F">
              <w:t>AT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5262" w14:textId="767A2AEB" w:rsidR="000475AC" w:rsidRPr="00041B7F" w:rsidRDefault="000475AC" w:rsidP="000475AC">
            <w:pPr>
              <w:spacing w:after="60"/>
              <w:jc w:val="center"/>
            </w:pPr>
            <w:r w:rsidRPr="00041B7F">
              <w:t>FL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5158" w14:textId="77777777" w:rsidR="000475AC" w:rsidRPr="00041B7F" w:rsidRDefault="000475AC" w:rsidP="000475AC">
            <w:pPr>
              <w:spacing w:after="60"/>
              <w:ind w:right="-142"/>
              <w:jc w:val="both"/>
            </w:pPr>
          </w:p>
        </w:tc>
      </w:tr>
      <w:tr w:rsidR="000475AC" w:rsidRPr="00041B7F" w14:paraId="4D73CD8A" w14:textId="77777777" w:rsidTr="00E97380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E8A8" w14:textId="77777777" w:rsidR="000475AC" w:rsidRPr="00041B7F" w:rsidRDefault="000475AC" w:rsidP="00604E25">
            <w:pPr>
              <w:spacing w:after="60"/>
              <w:jc w:val="both"/>
            </w:pPr>
            <w:r w:rsidRPr="00041B7F">
              <w:t>9.2.3.1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5F22" w14:textId="77777777" w:rsidR="000475AC" w:rsidRPr="00041B7F" w:rsidRDefault="000475AC" w:rsidP="00604E25">
            <w:pPr>
              <w:spacing w:after="60"/>
              <w:jc w:val="both"/>
            </w:pPr>
            <w:r w:rsidRPr="00041B7F">
              <w:t>General provisions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569F" w14:textId="77777777" w:rsidR="000475AC" w:rsidRPr="00041B7F" w:rsidRDefault="000475AC" w:rsidP="00604E25">
            <w:pPr>
              <w:spacing w:after="60"/>
              <w:jc w:val="center"/>
            </w:pPr>
            <w:r w:rsidRPr="00041B7F"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DF3D" w14:textId="77777777" w:rsidR="000475AC" w:rsidRPr="00041B7F" w:rsidRDefault="000475AC" w:rsidP="00604E25">
            <w:pPr>
              <w:spacing w:after="60"/>
              <w:jc w:val="center"/>
            </w:pPr>
            <w:r w:rsidRPr="00041B7F">
              <w:t>X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F9F5" w14:textId="77777777" w:rsidR="000475AC" w:rsidRPr="00041B7F" w:rsidRDefault="000475AC" w:rsidP="00604E25">
            <w:pPr>
              <w:spacing w:after="60"/>
              <w:jc w:val="center"/>
            </w:pPr>
            <w:r w:rsidRPr="00041B7F"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FAD5" w14:textId="77777777" w:rsidR="000475AC" w:rsidRPr="00041B7F" w:rsidRDefault="000475AC" w:rsidP="00604E25">
            <w:pPr>
              <w:spacing w:after="60"/>
              <w:jc w:val="center"/>
            </w:pPr>
            <w:r w:rsidRPr="00041B7F">
              <w:t>X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7427" w14:textId="77777777" w:rsidR="000475AC" w:rsidRPr="00041B7F" w:rsidRDefault="000475AC" w:rsidP="00604E25">
            <w:pPr>
              <w:spacing w:after="60"/>
              <w:ind w:right="-142"/>
              <w:jc w:val="both"/>
            </w:pPr>
          </w:p>
        </w:tc>
      </w:tr>
      <w:tr w:rsidR="000475AC" w:rsidRPr="00041B7F" w14:paraId="4D708555" w14:textId="77777777" w:rsidTr="00E97380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0B02" w14:textId="77777777" w:rsidR="000475AC" w:rsidRPr="00041B7F" w:rsidRDefault="000475AC" w:rsidP="00604E25">
            <w:pPr>
              <w:spacing w:after="60"/>
              <w:jc w:val="both"/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50CD" w14:textId="77777777" w:rsidR="000475AC" w:rsidRPr="00041B7F" w:rsidRDefault="000475AC" w:rsidP="00604E25">
            <w:pPr>
              <w:spacing w:after="60"/>
              <w:jc w:val="both"/>
            </w:pPr>
            <w:r w:rsidRPr="00041B7F">
              <w:t>Anti-lock braking system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92BA" w14:textId="77777777" w:rsidR="000475AC" w:rsidRPr="00041B7F" w:rsidRDefault="000475AC" w:rsidP="00604E25">
            <w:pPr>
              <w:spacing w:after="60"/>
              <w:jc w:val="center"/>
            </w:pPr>
            <w:proofErr w:type="spellStart"/>
            <w:r w:rsidRPr="00041B7F">
              <w:t>X</w:t>
            </w:r>
            <w:r w:rsidRPr="00041B7F">
              <w:rPr>
                <w:vertAlign w:val="superscript"/>
              </w:rPr>
              <w:t>e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C3A1" w14:textId="77777777" w:rsidR="000475AC" w:rsidRPr="00041B7F" w:rsidRDefault="000475AC" w:rsidP="00604E25">
            <w:pPr>
              <w:spacing w:after="60"/>
              <w:jc w:val="center"/>
            </w:pPr>
            <w:proofErr w:type="spellStart"/>
            <w:proofErr w:type="gramStart"/>
            <w:r w:rsidRPr="00041B7F">
              <w:t>X</w:t>
            </w:r>
            <w:r w:rsidRPr="00041B7F">
              <w:rPr>
                <w:vertAlign w:val="superscript"/>
              </w:rPr>
              <w:t>d,e</w:t>
            </w:r>
            <w:proofErr w:type="spellEnd"/>
            <w:proofErr w:type="gram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046E" w14:textId="77777777" w:rsidR="000475AC" w:rsidRPr="00041B7F" w:rsidRDefault="000475AC" w:rsidP="00604E25">
            <w:pPr>
              <w:spacing w:after="60"/>
              <w:jc w:val="center"/>
            </w:pPr>
            <w:proofErr w:type="spellStart"/>
            <w:proofErr w:type="gramStart"/>
            <w:r w:rsidRPr="00041B7F">
              <w:t>X</w:t>
            </w:r>
            <w:r w:rsidRPr="00041B7F">
              <w:rPr>
                <w:vertAlign w:val="superscript"/>
              </w:rPr>
              <w:t>d,e</w:t>
            </w:r>
            <w:proofErr w:type="spellEnd"/>
            <w:proofErr w:type="gram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BD10" w14:textId="77777777" w:rsidR="000475AC" w:rsidRPr="00041B7F" w:rsidRDefault="000475AC" w:rsidP="00604E25">
            <w:pPr>
              <w:spacing w:after="60"/>
              <w:jc w:val="center"/>
            </w:pPr>
            <w:proofErr w:type="spellStart"/>
            <w:proofErr w:type="gramStart"/>
            <w:r w:rsidRPr="00041B7F">
              <w:t>X</w:t>
            </w:r>
            <w:r w:rsidRPr="00041B7F">
              <w:rPr>
                <w:vertAlign w:val="superscript"/>
              </w:rPr>
              <w:t>d,e</w:t>
            </w:r>
            <w:proofErr w:type="spellEnd"/>
            <w:proofErr w:type="gramEnd"/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E522" w14:textId="77777777" w:rsidR="000475AC" w:rsidRPr="00041B7F" w:rsidRDefault="000475AC" w:rsidP="00604E25">
            <w:pPr>
              <w:tabs>
                <w:tab w:val="left" w:pos="313"/>
              </w:tabs>
              <w:spacing w:after="60"/>
              <w:ind w:left="142" w:right="118"/>
              <w:jc w:val="both"/>
              <w:rPr>
                <w:sz w:val="18"/>
                <w:szCs w:val="18"/>
              </w:rPr>
            </w:pPr>
            <w:r w:rsidRPr="00041B7F">
              <w:rPr>
                <w:b/>
                <w:bCs/>
                <w:sz w:val="18"/>
                <w:szCs w:val="18"/>
                <w:vertAlign w:val="superscript"/>
              </w:rPr>
              <w:t>d</w:t>
            </w:r>
            <w:r w:rsidRPr="00041B7F">
              <w:rPr>
                <w:sz w:val="18"/>
                <w:szCs w:val="18"/>
                <w:vertAlign w:val="superscript"/>
              </w:rPr>
              <w:t xml:space="preserve"> </w:t>
            </w:r>
            <w:r w:rsidRPr="00041B7F">
              <w:rPr>
                <w:sz w:val="18"/>
                <w:szCs w:val="18"/>
              </w:rPr>
              <w:t>Applicable to motor vehicles (tractors and rigid vehicles) with a maximum mass exceeding 16 tonnes and motor vehicles authorized to tow trailers (i.e. full-trailers, semi-trailers and centre axle-trailers) with a maximum mass exceeding 10 tonnes. Motor vehicles shall be equipped with a category 1 anti-lock braking system.</w:t>
            </w:r>
          </w:p>
          <w:p w14:paraId="326D066B" w14:textId="77777777" w:rsidR="000475AC" w:rsidRPr="00041B7F" w:rsidRDefault="000475AC" w:rsidP="00604E25">
            <w:pPr>
              <w:tabs>
                <w:tab w:val="left" w:pos="313"/>
              </w:tabs>
              <w:spacing w:after="60"/>
              <w:ind w:left="142" w:right="118"/>
              <w:jc w:val="both"/>
              <w:rPr>
                <w:sz w:val="18"/>
                <w:szCs w:val="18"/>
              </w:rPr>
            </w:pPr>
            <w:r w:rsidRPr="00041B7F">
              <w:rPr>
                <w:sz w:val="18"/>
                <w:szCs w:val="18"/>
              </w:rPr>
              <w:t xml:space="preserve">   Applicable to trailers (i.e. full-trailers, semi-trailers and centre axle-trailers) with a maximum mass exceeding 10 tonnes. Trailers shall be equipped with a category </w:t>
            </w:r>
            <w:proofErr w:type="spellStart"/>
            <w:r w:rsidRPr="00041B7F">
              <w:rPr>
                <w:sz w:val="18"/>
                <w:szCs w:val="18"/>
              </w:rPr>
              <w:t>A</w:t>
            </w:r>
            <w:proofErr w:type="spellEnd"/>
            <w:r w:rsidRPr="00041B7F">
              <w:rPr>
                <w:sz w:val="18"/>
                <w:szCs w:val="18"/>
              </w:rPr>
              <w:t xml:space="preserve"> anti-lock braking system.</w:t>
            </w:r>
          </w:p>
          <w:p w14:paraId="1B9C1223" w14:textId="77777777" w:rsidR="000475AC" w:rsidRPr="00041B7F" w:rsidRDefault="000475AC" w:rsidP="00604E25">
            <w:pPr>
              <w:tabs>
                <w:tab w:val="left" w:pos="313"/>
              </w:tabs>
              <w:spacing w:after="60"/>
              <w:ind w:left="142" w:right="118"/>
              <w:jc w:val="both"/>
            </w:pPr>
            <w:r w:rsidRPr="00041B7F">
              <w:rPr>
                <w:sz w:val="18"/>
                <w:szCs w:val="18"/>
                <w:vertAlign w:val="superscript"/>
              </w:rPr>
              <w:t xml:space="preserve">e </w:t>
            </w:r>
            <w:r w:rsidRPr="00041B7F">
              <w:rPr>
                <w:sz w:val="18"/>
                <w:szCs w:val="18"/>
              </w:rPr>
              <w:t>Applicable to all motor vehicles and applicable to trailers with a maximum mass exceeding 3.5 tonnes, first registered (or which entered into service if registration is not mandatory) after 31 March 2018.</w:t>
            </w:r>
          </w:p>
        </w:tc>
      </w:tr>
      <w:tr w:rsidR="000475AC" w:rsidRPr="00041B7F" w14:paraId="3C4BAB97" w14:textId="77777777" w:rsidTr="00E97380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E5B1" w14:textId="77777777" w:rsidR="000475AC" w:rsidRPr="00041B7F" w:rsidRDefault="000475AC" w:rsidP="00604E25">
            <w:pPr>
              <w:spacing w:after="60"/>
              <w:jc w:val="both"/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B302" w14:textId="77777777" w:rsidR="000475AC" w:rsidRPr="00041B7F" w:rsidRDefault="000475AC" w:rsidP="00604E25">
            <w:pPr>
              <w:spacing w:after="60"/>
              <w:jc w:val="both"/>
            </w:pPr>
            <w:r w:rsidRPr="00041B7F">
              <w:t>Endurance braking system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295E" w14:textId="77777777" w:rsidR="000475AC" w:rsidRPr="00041B7F" w:rsidRDefault="000475AC" w:rsidP="00604E25">
            <w:pPr>
              <w:spacing w:after="60"/>
              <w:jc w:val="center"/>
            </w:pPr>
            <w:proofErr w:type="spellStart"/>
            <w:r w:rsidRPr="00041B7F">
              <w:t>X</w:t>
            </w:r>
            <w:r w:rsidRPr="00041B7F">
              <w:rPr>
                <w:vertAlign w:val="superscript"/>
              </w:rPr>
              <w:t>f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EC96" w14:textId="77777777" w:rsidR="000475AC" w:rsidRPr="00041B7F" w:rsidRDefault="000475AC" w:rsidP="00604E25">
            <w:pPr>
              <w:spacing w:after="60"/>
              <w:jc w:val="center"/>
            </w:pPr>
            <w:proofErr w:type="spellStart"/>
            <w:r w:rsidRPr="00041B7F">
              <w:t>X</w:t>
            </w:r>
            <w:r w:rsidRPr="00041B7F">
              <w:rPr>
                <w:vertAlign w:val="superscript"/>
              </w:rPr>
              <w:t>g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36FE" w14:textId="77777777" w:rsidR="000475AC" w:rsidRPr="00041B7F" w:rsidRDefault="000475AC" w:rsidP="00604E25">
            <w:pPr>
              <w:spacing w:after="60"/>
              <w:jc w:val="center"/>
            </w:pPr>
            <w:proofErr w:type="spellStart"/>
            <w:r w:rsidRPr="00041B7F">
              <w:t>X</w:t>
            </w:r>
            <w:r w:rsidRPr="00041B7F">
              <w:rPr>
                <w:vertAlign w:val="superscript"/>
              </w:rPr>
              <w:t>g</w:t>
            </w:r>
            <w:proofErr w:type="spellEnd"/>
            <w:r w:rsidRPr="00041B7F">
              <w:t xml:space="preserve">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9BE4" w14:textId="77777777" w:rsidR="000475AC" w:rsidRPr="00041B7F" w:rsidRDefault="000475AC" w:rsidP="00604E25">
            <w:pPr>
              <w:spacing w:after="60"/>
              <w:jc w:val="center"/>
            </w:pPr>
            <w:proofErr w:type="spellStart"/>
            <w:r w:rsidRPr="00041B7F">
              <w:t>X</w:t>
            </w:r>
            <w:r w:rsidRPr="00041B7F">
              <w:rPr>
                <w:vertAlign w:val="superscript"/>
              </w:rPr>
              <w:t>g</w:t>
            </w:r>
            <w:proofErr w:type="spellEnd"/>
            <w:r w:rsidRPr="00041B7F">
              <w:t xml:space="preserve">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7025" w14:textId="77777777" w:rsidR="000475AC" w:rsidRPr="00D75904" w:rsidRDefault="000475AC" w:rsidP="00604E25">
            <w:pPr>
              <w:spacing w:after="60"/>
              <w:ind w:left="142" w:right="118"/>
              <w:jc w:val="both"/>
              <w:rPr>
                <w:bCs/>
                <w:sz w:val="18"/>
                <w:szCs w:val="18"/>
                <w:vertAlign w:val="superscript"/>
              </w:rPr>
            </w:pPr>
            <w:proofErr w:type="spellStart"/>
            <w:r w:rsidRPr="00D75904">
              <w:rPr>
                <w:sz w:val="18"/>
                <w:szCs w:val="18"/>
                <w:vertAlign w:val="superscript"/>
              </w:rPr>
              <w:t>f</w:t>
            </w:r>
            <w:proofErr w:type="spellEnd"/>
            <w:r w:rsidRPr="00D75904">
              <w:rPr>
                <w:sz w:val="18"/>
                <w:szCs w:val="18"/>
              </w:rPr>
              <w:t xml:space="preserve"> Applicable to motor vehicles with a maximum mass exceeding 16 tonnes or authorized to tow a trailer with a maximum mass exceeding 10 tonnes first registered after 31 March 2018. The endurance braking system shall be of type IIA.</w:t>
            </w:r>
          </w:p>
          <w:p w14:paraId="0028E7A7" w14:textId="77777777" w:rsidR="000475AC" w:rsidRPr="00041B7F" w:rsidRDefault="000475AC" w:rsidP="00604E25">
            <w:pPr>
              <w:spacing w:after="60"/>
              <w:ind w:left="142" w:right="118"/>
              <w:jc w:val="both"/>
              <w:rPr>
                <w:sz w:val="18"/>
                <w:szCs w:val="18"/>
              </w:rPr>
            </w:pPr>
            <w:r w:rsidRPr="00D75904">
              <w:rPr>
                <w:bCs/>
                <w:sz w:val="18"/>
                <w:szCs w:val="18"/>
                <w:vertAlign w:val="superscript"/>
              </w:rPr>
              <w:t>g</w:t>
            </w:r>
            <w:r w:rsidRPr="00D75904">
              <w:rPr>
                <w:sz w:val="18"/>
                <w:szCs w:val="18"/>
                <w:vertAlign w:val="superscript"/>
              </w:rPr>
              <w:t xml:space="preserve"> </w:t>
            </w:r>
            <w:r w:rsidRPr="00D75904">
              <w:rPr>
                <w:sz w:val="18"/>
                <w:szCs w:val="18"/>
              </w:rPr>
              <w:t>Applicable to motor vehicles with a maximum mass exceeding 16 tonnes or authorized to tow a trailer with a maximum mass exceeding 10 tonnes. The endurance braking system shall be of type IIA.</w:t>
            </w:r>
          </w:p>
        </w:tc>
      </w:tr>
    </w:tbl>
    <w:p w14:paraId="5939E3DF" w14:textId="63476BEE" w:rsidR="003252C0" w:rsidRDefault="003252C0" w:rsidP="00E97380">
      <w:pPr>
        <w:pStyle w:val="Heading3"/>
        <w:spacing w:before="120" w:after="120"/>
        <w:ind w:left="567"/>
        <w:rPr>
          <w:b/>
        </w:rPr>
      </w:pPr>
      <w:r w:rsidRPr="003252C0">
        <w:rPr>
          <w:b/>
        </w:rPr>
        <w:t>9.2.3</w:t>
      </w:r>
      <w:r w:rsidRPr="003252C0">
        <w:rPr>
          <w:b/>
        </w:rPr>
        <w:tab/>
      </w:r>
      <w:r>
        <w:rPr>
          <w:b/>
        </w:rPr>
        <w:tab/>
      </w:r>
      <w:r w:rsidRPr="003252C0">
        <w:rPr>
          <w:b/>
        </w:rPr>
        <w:t>Braking equipment</w:t>
      </w:r>
    </w:p>
    <w:p w14:paraId="79B4B96E" w14:textId="77777777" w:rsidR="003F70AC" w:rsidRDefault="003252C0" w:rsidP="00E97380">
      <w:pPr>
        <w:pStyle w:val="Heading4"/>
        <w:tabs>
          <w:tab w:val="left" w:pos="1418"/>
        </w:tabs>
        <w:spacing w:before="120" w:after="120"/>
        <w:ind w:left="567"/>
        <w:rPr>
          <w:b/>
          <w:i/>
        </w:rPr>
      </w:pPr>
      <w:r w:rsidRPr="003252C0">
        <w:rPr>
          <w:b/>
        </w:rPr>
        <w:t>9.2.3.1</w:t>
      </w:r>
      <w:r w:rsidRPr="003252C0">
        <w:rPr>
          <w:b/>
        </w:rPr>
        <w:tab/>
      </w:r>
      <w:r>
        <w:rPr>
          <w:b/>
        </w:rPr>
        <w:tab/>
      </w:r>
      <w:r w:rsidRPr="003252C0">
        <w:rPr>
          <w:b/>
          <w:i/>
        </w:rPr>
        <w:t>General provisions</w:t>
      </w:r>
    </w:p>
    <w:p w14:paraId="7AA4B475" w14:textId="5254E550" w:rsidR="003F70AC" w:rsidRDefault="003252C0" w:rsidP="00E97380">
      <w:pPr>
        <w:pStyle w:val="Heading4"/>
        <w:tabs>
          <w:tab w:val="left" w:pos="1418"/>
        </w:tabs>
        <w:spacing w:before="120" w:after="120"/>
        <w:ind w:left="567" w:right="1134"/>
      </w:pPr>
      <w:r w:rsidRPr="00781355">
        <w:t>9.2.3.1.1</w:t>
      </w:r>
      <w:r w:rsidRPr="00781355">
        <w:tab/>
      </w:r>
      <w:r>
        <w:tab/>
      </w:r>
      <w:r w:rsidRPr="00781355">
        <w:t xml:space="preserve">Motor vehicles and trailers intended for use as transport units for dangerous goods </w:t>
      </w:r>
      <w:r w:rsidR="00E97380">
        <w:tab/>
      </w:r>
      <w:r w:rsidR="00E97380">
        <w:tab/>
      </w:r>
      <w:r w:rsidRPr="00781355">
        <w:t xml:space="preserve">shall fulfil all </w:t>
      </w:r>
      <w:r>
        <w:tab/>
      </w:r>
      <w:r w:rsidRPr="00781355">
        <w:t xml:space="preserve">relevant technical requirements of </w:t>
      </w:r>
      <w:r>
        <w:t>UN</w:t>
      </w:r>
      <w:r w:rsidRPr="00781355">
        <w:t xml:space="preserve"> Regulation No.13</w:t>
      </w:r>
      <w:r>
        <w:rPr>
          <w:rStyle w:val="FootnoteReference"/>
        </w:rPr>
        <w:footnoteReference w:customMarkFollows="1" w:id="2"/>
        <w:t>4</w:t>
      </w:r>
      <w:r w:rsidRPr="00781355">
        <w:t xml:space="preserve">, as </w:t>
      </w:r>
      <w:r w:rsidR="00E97380">
        <w:tab/>
      </w:r>
      <w:r w:rsidR="00E97380">
        <w:tab/>
      </w:r>
      <w:r w:rsidR="00E97380">
        <w:tab/>
      </w:r>
      <w:r w:rsidRPr="00781355">
        <w:t>amended, in accordance with the dates of application specified therein.</w:t>
      </w:r>
    </w:p>
    <w:p w14:paraId="2D594CBB" w14:textId="77777777" w:rsidR="00E97380" w:rsidRDefault="003252C0" w:rsidP="00E97380">
      <w:pPr>
        <w:pStyle w:val="Heading4"/>
        <w:tabs>
          <w:tab w:val="left" w:pos="1418"/>
        </w:tabs>
        <w:spacing w:before="120" w:after="120"/>
        <w:ind w:left="567" w:right="1134"/>
      </w:pPr>
      <w:r w:rsidRPr="00781355">
        <w:t>9.2.3.1.2</w:t>
      </w:r>
      <w:r w:rsidRPr="00781355">
        <w:tab/>
      </w:r>
      <w:r>
        <w:tab/>
      </w:r>
      <w:r w:rsidRPr="00781355">
        <w:t xml:space="preserve">EX/II, EX/III, FL and AT vehicles shall fulfil the requirements of </w:t>
      </w:r>
      <w:r>
        <w:t>UN</w:t>
      </w:r>
      <w:r w:rsidRPr="00781355">
        <w:t xml:space="preserve"> </w:t>
      </w:r>
      <w:r w:rsidR="00E97380">
        <w:tab/>
      </w:r>
      <w:r w:rsidR="00E97380">
        <w:tab/>
      </w:r>
      <w:r w:rsidR="00E97380">
        <w:tab/>
      </w:r>
      <w:r w:rsidR="00E97380">
        <w:tab/>
      </w:r>
      <w:r w:rsidRPr="00781355">
        <w:t>Regulation No.13</w:t>
      </w:r>
      <w:r w:rsidRPr="00781355">
        <w:rPr>
          <w:b/>
          <w:bCs/>
          <w:vertAlign w:val="superscript"/>
        </w:rPr>
        <w:t>4</w:t>
      </w:r>
      <w:r w:rsidRPr="00781355">
        <w:t>, Annex 5.</w:t>
      </w:r>
      <w:r w:rsidR="003F70AC">
        <w:t xml:space="preserve"> </w:t>
      </w:r>
    </w:p>
    <w:p w14:paraId="7B766706" w14:textId="77777777" w:rsidR="00E97380" w:rsidRDefault="003252C0" w:rsidP="00E97380">
      <w:pPr>
        <w:pStyle w:val="Heading4"/>
        <w:tabs>
          <w:tab w:val="left" w:pos="1418"/>
        </w:tabs>
        <w:spacing w:before="120" w:after="120"/>
        <w:ind w:left="567" w:right="1134"/>
        <w:rPr>
          <w:i/>
        </w:rPr>
      </w:pPr>
      <w:r w:rsidRPr="00781355">
        <w:t>9.2.3.2</w:t>
      </w:r>
      <w:r w:rsidR="00E97380">
        <w:rPr>
          <w:i/>
        </w:rPr>
        <w:tab/>
      </w:r>
      <w:r w:rsidR="00E97380">
        <w:rPr>
          <w:i/>
        </w:rPr>
        <w:tab/>
      </w:r>
      <w:r w:rsidRPr="00781355">
        <w:rPr>
          <w:i/>
        </w:rPr>
        <w:t>(Deleted)</w:t>
      </w:r>
    </w:p>
    <w:p w14:paraId="7A9F06F1" w14:textId="33C3D95C" w:rsidR="0075219B" w:rsidRPr="00E97380" w:rsidRDefault="000A772A" w:rsidP="00E97380">
      <w:pPr>
        <w:pStyle w:val="Heading4"/>
        <w:tabs>
          <w:tab w:val="left" w:pos="1418"/>
        </w:tabs>
        <w:spacing w:before="120" w:after="120"/>
        <w:ind w:left="567" w:right="1134"/>
        <w:jc w:val="both"/>
        <w:rPr>
          <w:i/>
        </w:rPr>
      </w:pPr>
      <w:r w:rsidRPr="00E97380">
        <w:rPr>
          <w:i/>
          <w:u w:val="single"/>
        </w:rPr>
        <w:t>Comment</w:t>
      </w:r>
      <w:r w:rsidRPr="00E97380">
        <w:rPr>
          <w:i/>
        </w:rPr>
        <w:t>: Consequently, neither an anti-lock braking system nor an endurance braking system seem to be required for an EX/II vehicle of category O</w:t>
      </w:r>
      <w:r w:rsidRPr="00E97380">
        <w:rPr>
          <w:i/>
          <w:vertAlign w:val="subscript"/>
        </w:rPr>
        <w:t>1</w:t>
      </w:r>
      <w:r w:rsidRPr="00E97380">
        <w:rPr>
          <w:i/>
        </w:rPr>
        <w:t xml:space="preserve"> </w:t>
      </w:r>
      <w:r w:rsidR="008E2436" w:rsidRPr="00E97380">
        <w:rPr>
          <w:i/>
        </w:rPr>
        <w:t>or O</w:t>
      </w:r>
      <w:r w:rsidR="008E2436" w:rsidRPr="00E97380">
        <w:rPr>
          <w:i/>
          <w:vertAlign w:val="subscript"/>
        </w:rPr>
        <w:t>2</w:t>
      </w:r>
      <w:r w:rsidR="008E2436" w:rsidRPr="00E97380">
        <w:rPr>
          <w:i/>
        </w:rPr>
        <w:t xml:space="preserve"> </w:t>
      </w:r>
      <w:r w:rsidRPr="00E97380">
        <w:rPr>
          <w:i/>
        </w:rPr>
        <w:t>since th</w:t>
      </w:r>
      <w:r w:rsidR="008E2436" w:rsidRPr="00E97380">
        <w:rPr>
          <w:i/>
        </w:rPr>
        <w:t>e</w:t>
      </w:r>
      <w:r w:rsidRPr="00E97380">
        <w:rPr>
          <w:i/>
        </w:rPr>
        <w:t>s</w:t>
      </w:r>
      <w:r w:rsidR="008E2436" w:rsidRPr="00E97380">
        <w:rPr>
          <w:i/>
        </w:rPr>
        <w:t>e</w:t>
      </w:r>
      <w:r w:rsidRPr="00E97380">
        <w:rPr>
          <w:i/>
        </w:rPr>
        <w:t xml:space="preserve"> vehicle</w:t>
      </w:r>
      <w:r w:rsidR="008E2436" w:rsidRPr="00E97380">
        <w:rPr>
          <w:i/>
        </w:rPr>
        <w:t>s</w:t>
      </w:r>
      <w:r w:rsidRPr="00E97380">
        <w:rPr>
          <w:i/>
        </w:rPr>
        <w:t xml:space="preserve"> ha</w:t>
      </w:r>
      <w:r w:rsidR="008E2436" w:rsidRPr="00E97380">
        <w:rPr>
          <w:i/>
        </w:rPr>
        <w:t>ve</w:t>
      </w:r>
      <w:r w:rsidRPr="00E97380">
        <w:rPr>
          <w:i/>
        </w:rPr>
        <w:t xml:space="preserve"> a maximum mass of 750 kg</w:t>
      </w:r>
      <w:r w:rsidR="008E2436" w:rsidRPr="00E97380">
        <w:rPr>
          <w:i/>
        </w:rPr>
        <w:t xml:space="preserve"> and 3,5 tonnes respectively</w:t>
      </w:r>
      <w:r w:rsidRPr="00E97380">
        <w:rPr>
          <w:i/>
        </w:rPr>
        <w:t>.</w:t>
      </w:r>
    </w:p>
    <w:p w14:paraId="090B1FC7" w14:textId="77777777" w:rsidR="00E97380" w:rsidRDefault="00E97380">
      <w:pPr>
        <w:suppressAutoHyphens w:val="0"/>
        <w:spacing w:line="240" w:lineRule="auto"/>
        <w:rPr>
          <w:b/>
          <w:bCs/>
          <w:color w:val="1F497D"/>
        </w:rPr>
      </w:pPr>
      <w:r>
        <w:rPr>
          <w:b/>
          <w:bCs/>
          <w:color w:val="1F497D"/>
        </w:rPr>
        <w:br w:type="page"/>
      </w:r>
    </w:p>
    <w:p w14:paraId="019E5210" w14:textId="3C6CFF66" w:rsidR="000A772A" w:rsidRDefault="00E97380" w:rsidP="00E97380">
      <w:pPr>
        <w:pStyle w:val="H1G"/>
      </w:pPr>
      <w:r w:rsidRPr="00E97380">
        <w:lastRenderedPageBreak/>
        <w:tab/>
      </w:r>
      <w:r w:rsidRPr="00E97380">
        <w:tab/>
      </w:r>
      <w:r w:rsidR="0020780A" w:rsidRPr="00E97380">
        <w:t>Ex</w:t>
      </w:r>
      <w:r w:rsidR="000A6A62" w:rsidRPr="00E97380">
        <w:t>tract</w:t>
      </w:r>
      <w:r w:rsidR="0020780A" w:rsidRPr="00E97380">
        <w:t xml:space="preserve"> from</w:t>
      </w:r>
      <w:r w:rsidR="000A772A" w:rsidRPr="00E97380">
        <w:t xml:space="preserve"> </w:t>
      </w:r>
      <w:hyperlink r:id="rId8" w:history="1">
        <w:r w:rsidR="0020780A" w:rsidRPr="00E97380">
          <w:rPr>
            <w:rStyle w:val="Hyperlink"/>
            <w:bCs/>
            <w:color w:val="auto"/>
          </w:rPr>
          <w:t>UN Regulation No.13</w:t>
        </w:r>
      </w:hyperlink>
    </w:p>
    <w:p w14:paraId="3C8EBAE1" w14:textId="77777777" w:rsidR="00E97380" w:rsidRPr="00E97380" w:rsidRDefault="00E97380" w:rsidP="00E97380"/>
    <w:p w14:paraId="483796E6" w14:textId="26B5AAA1" w:rsidR="000A772A" w:rsidRPr="000A772A" w:rsidRDefault="00244658" w:rsidP="00244658">
      <w:pPr>
        <w:ind w:left="993"/>
      </w:pPr>
      <w:r>
        <w:rPr>
          <w:noProof/>
          <w:lang w:val="sv-SE" w:eastAsia="sv-SE"/>
        </w:rPr>
        <w:drawing>
          <wp:inline distT="0" distB="0" distL="0" distR="0" wp14:anchorId="225FAEC5" wp14:editId="29F474F7">
            <wp:extent cx="4548250" cy="5969490"/>
            <wp:effectExtent l="0" t="0" r="508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2055" cy="598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9D1CC" w14:textId="77777777" w:rsidR="0020780A" w:rsidRPr="0020780A" w:rsidRDefault="0020780A" w:rsidP="0020780A">
      <w:pPr>
        <w:pStyle w:val="BodyText"/>
        <w:ind w:left="1134"/>
        <w:rPr>
          <w:rStyle w:val="ttext"/>
          <w:color w:val="333333"/>
        </w:rPr>
      </w:pPr>
    </w:p>
    <w:p w14:paraId="785227CB" w14:textId="1ACCE0D9" w:rsidR="0020780A" w:rsidRDefault="0020780A" w:rsidP="0020780A">
      <w:pPr>
        <w:pStyle w:val="BodyText"/>
        <w:ind w:left="1134"/>
        <w:rPr>
          <w:rStyle w:val="ttext"/>
          <w:color w:val="333333"/>
        </w:rPr>
      </w:pPr>
    </w:p>
    <w:p w14:paraId="02CD88CB" w14:textId="1FFAF894" w:rsidR="0020780A" w:rsidRPr="00C80A82" w:rsidRDefault="00244658" w:rsidP="00E97380">
      <w:pPr>
        <w:pStyle w:val="SingleTxtG"/>
        <w:rPr>
          <w:rStyle w:val="ttext"/>
          <w:i/>
          <w:color w:val="333333"/>
        </w:rPr>
      </w:pPr>
      <w:r w:rsidRPr="00D76981">
        <w:rPr>
          <w:rStyle w:val="ttext"/>
          <w:i/>
          <w:color w:val="333333"/>
          <w:u w:val="single"/>
        </w:rPr>
        <w:t>Comment</w:t>
      </w:r>
      <w:r w:rsidRPr="00C80A82">
        <w:rPr>
          <w:rStyle w:val="ttext"/>
          <w:i/>
          <w:color w:val="333333"/>
        </w:rPr>
        <w:t xml:space="preserve">: </w:t>
      </w:r>
      <w:r w:rsidR="0020780A" w:rsidRPr="00C80A82">
        <w:rPr>
          <w:rStyle w:val="ttext"/>
          <w:i/>
          <w:color w:val="333333"/>
        </w:rPr>
        <w:t>Annex 5 specifically states that category O</w:t>
      </w:r>
      <w:r w:rsidR="0020780A" w:rsidRPr="00C80A82">
        <w:rPr>
          <w:rStyle w:val="ttext"/>
          <w:i/>
          <w:color w:val="333333"/>
          <w:vertAlign w:val="subscript"/>
        </w:rPr>
        <w:t>1</w:t>
      </w:r>
      <w:r w:rsidR="0020780A" w:rsidRPr="00C80A82">
        <w:rPr>
          <w:rStyle w:val="ttext"/>
          <w:i/>
          <w:color w:val="333333"/>
        </w:rPr>
        <w:t xml:space="preserve"> </w:t>
      </w:r>
      <w:r w:rsidR="008E2436">
        <w:rPr>
          <w:rStyle w:val="ttext"/>
          <w:i/>
          <w:color w:val="333333"/>
        </w:rPr>
        <w:t>and O</w:t>
      </w:r>
      <w:r w:rsidR="008E2436" w:rsidRPr="008E2436">
        <w:rPr>
          <w:rStyle w:val="ttext"/>
          <w:i/>
          <w:color w:val="333333"/>
          <w:vertAlign w:val="subscript"/>
        </w:rPr>
        <w:t>2</w:t>
      </w:r>
      <w:r w:rsidR="008E2436">
        <w:rPr>
          <w:rStyle w:val="ttext"/>
          <w:i/>
          <w:color w:val="333333"/>
        </w:rPr>
        <w:t xml:space="preserve"> </w:t>
      </w:r>
      <w:r w:rsidR="0020780A" w:rsidRPr="00C80A82">
        <w:rPr>
          <w:rStyle w:val="ttext"/>
          <w:i/>
          <w:color w:val="333333"/>
        </w:rPr>
        <w:t>EX/III vehicles must be equipped with a braking system</w:t>
      </w:r>
      <w:r w:rsidR="008E2436" w:rsidRPr="008B5F36">
        <w:rPr>
          <w:rStyle w:val="ttext"/>
          <w:i/>
          <w:color w:val="333333"/>
        </w:rPr>
        <w:t xml:space="preserve"> that automatically brakes the trailer to a stop if the coupling device separates while the trailer is in motion</w:t>
      </w:r>
      <w:r w:rsidR="0020780A" w:rsidRPr="00C80A82">
        <w:rPr>
          <w:rStyle w:val="ttext"/>
          <w:i/>
          <w:color w:val="333333"/>
        </w:rPr>
        <w:t xml:space="preserve">. </w:t>
      </w:r>
      <w:r w:rsidRPr="00C80A82">
        <w:rPr>
          <w:rStyle w:val="ttext"/>
          <w:i/>
          <w:color w:val="333333"/>
        </w:rPr>
        <w:t>EX/II vehicles are</w:t>
      </w:r>
      <w:r w:rsidR="0020780A" w:rsidRPr="00C80A82">
        <w:rPr>
          <w:rStyle w:val="ttext"/>
          <w:i/>
          <w:color w:val="333333"/>
        </w:rPr>
        <w:t xml:space="preserve"> not mentioned</w:t>
      </w:r>
      <w:r w:rsidRPr="00C80A82">
        <w:rPr>
          <w:rStyle w:val="ttext"/>
          <w:i/>
          <w:color w:val="333333"/>
        </w:rPr>
        <w:t>.</w:t>
      </w:r>
    </w:p>
    <w:p w14:paraId="2205728B" w14:textId="77777777" w:rsidR="0020780A" w:rsidRPr="0020780A" w:rsidRDefault="0020780A" w:rsidP="0020780A">
      <w:pPr>
        <w:pStyle w:val="BodyText"/>
        <w:ind w:left="1134"/>
        <w:rPr>
          <w:rStyle w:val="ttext"/>
          <w:color w:val="333333"/>
        </w:rPr>
      </w:pPr>
      <w:r w:rsidRPr="0020780A">
        <w:rPr>
          <w:rStyle w:val="ttext"/>
          <w:color w:val="333333"/>
        </w:rPr>
        <w:t> </w:t>
      </w:r>
    </w:p>
    <w:p w14:paraId="4D3D6D50" w14:textId="77777777" w:rsidR="00C466C7" w:rsidRDefault="00C466C7" w:rsidP="00C466C7">
      <w:pPr>
        <w:spacing w:before="240"/>
        <w:ind w:left="1134" w:right="992"/>
        <w:jc w:val="center"/>
      </w:pPr>
      <w:r>
        <w:t>_____________</w:t>
      </w:r>
    </w:p>
    <w:sectPr w:rsidR="00C466C7" w:rsidSect="002658C2">
      <w:headerReference w:type="even" r:id="rId10"/>
      <w:headerReference w:type="default" r:id="rId11"/>
      <w:footerReference w:type="even" r:id="rId12"/>
      <w:footerReference w:type="default" r:id="rId13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709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FBFE9" w14:textId="77777777" w:rsidR="002163D2" w:rsidRDefault="002163D2"/>
  </w:endnote>
  <w:endnote w:type="continuationSeparator" w:id="0">
    <w:p w14:paraId="6C7279EC" w14:textId="77777777" w:rsidR="002163D2" w:rsidRDefault="002163D2"/>
  </w:endnote>
  <w:endnote w:type="continuationNotice" w:id="1">
    <w:p w14:paraId="154E8669" w14:textId="77777777" w:rsidR="002163D2" w:rsidRDefault="002163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FB9D9" w14:textId="0F7541E3" w:rsidR="008C7AFF" w:rsidRPr="009D2A5B" w:rsidRDefault="000C2DEF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8C7AFF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F7218D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8C7AFF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BCE9B" w14:textId="6BDDE9DB" w:rsidR="008C7AFF" w:rsidRPr="009D2A5B" w:rsidRDefault="008C7AFF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0C2DEF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0C2DEF" w:rsidRPr="009D2A5B">
      <w:rPr>
        <w:b/>
        <w:sz w:val="18"/>
      </w:rPr>
      <w:fldChar w:fldCharType="separate"/>
    </w:r>
    <w:r w:rsidR="00216BDC">
      <w:rPr>
        <w:b/>
        <w:noProof/>
        <w:sz w:val="18"/>
      </w:rPr>
      <w:t>3</w:t>
    </w:r>
    <w:r w:rsidR="000C2DEF"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4F608" w14:textId="77777777" w:rsidR="002163D2" w:rsidRPr="000B175B" w:rsidRDefault="002163D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7FA55A" w14:textId="77777777" w:rsidR="002163D2" w:rsidRPr="00FC68B7" w:rsidRDefault="002163D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235BED4" w14:textId="77777777" w:rsidR="002163D2" w:rsidRDefault="002163D2"/>
  </w:footnote>
  <w:footnote w:id="2">
    <w:p w14:paraId="2BCDF8EF" w14:textId="17D3BB40" w:rsidR="00E97380" w:rsidRDefault="00E97380" w:rsidP="00E97380">
      <w:pPr>
        <w:pStyle w:val="Heading4"/>
        <w:tabs>
          <w:tab w:val="left" w:pos="1418"/>
        </w:tabs>
        <w:spacing w:after="200"/>
        <w:ind w:left="567"/>
        <w:rPr>
          <w:sz w:val="22"/>
        </w:rPr>
      </w:pPr>
      <w:r>
        <w:rPr>
          <w:sz w:val="22"/>
        </w:rPr>
        <w:tab/>
      </w:r>
      <w:r w:rsidRPr="003252C0">
        <w:rPr>
          <w:rStyle w:val="FootnoteReference"/>
          <w:sz w:val="22"/>
        </w:rPr>
        <w:t>4</w:t>
      </w:r>
      <w:r w:rsidRPr="003252C0">
        <w:rPr>
          <w:sz w:val="24"/>
        </w:rPr>
        <w:t xml:space="preserve"> </w:t>
      </w:r>
      <w:r w:rsidRPr="003252C0">
        <w:rPr>
          <w:sz w:val="24"/>
          <w:lang w:val="en-US"/>
        </w:rPr>
        <w:tab/>
      </w:r>
      <w:r w:rsidRPr="003252C0">
        <w:rPr>
          <w:rStyle w:val="FootnoteReference"/>
          <w:sz w:val="22"/>
        </w:rPr>
        <w:t>UN Regulation No. 13 (Uniform provisions concerning the approval of vehicles of categories M, N and O with regard to braking).</w:t>
      </w:r>
    </w:p>
    <w:p w14:paraId="0E21077A" w14:textId="5EBEE240" w:rsidR="003252C0" w:rsidRPr="00E97380" w:rsidRDefault="003252C0" w:rsidP="00E9738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4AABC" w14:textId="207B4F81" w:rsidR="008C7AFF" w:rsidRPr="00FA7F6B" w:rsidRDefault="008C7AFF" w:rsidP="009D2A5B">
    <w:pPr>
      <w:pStyle w:val="Header"/>
      <w:rPr>
        <w:szCs w:val="18"/>
        <w:lang w:val="fr-CH"/>
      </w:rPr>
    </w:pPr>
    <w:r w:rsidRPr="00FA7F6B">
      <w:rPr>
        <w:szCs w:val="18"/>
        <w:lang w:val="fr-CH"/>
      </w:rPr>
      <w:t>INF.</w:t>
    </w:r>
    <w:r w:rsidR="005C7AE4" w:rsidRPr="005C7AE4">
      <w:rPr>
        <w:szCs w:val="18"/>
        <w:lang w:val="fr-CH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39F0" w14:textId="78479DFF" w:rsidR="008C7AFF" w:rsidRPr="00CD57D2" w:rsidRDefault="008C7AFF" w:rsidP="009D2A5B">
    <w:pPr>
      <w:pStyle w:val="Header"/>
      <w:jc w:val="right"/>
      <w:rPr>
        <w:lang w:val="fr-CH"/>
      </w:rPr>
    </w:pPr>
    <w:r>
      <w:rPr>
        <w:lang w:val="fr-CH"/>
      </w:rPr>
      <w:t>INF.</w:t>
    </w:r>
    <w:r w:rsidR="005C7AE4">
      <w:rPr>
        <w:lang w:val="fr-CH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D27EC"/>
    <w:multiLevelType w:val="hybridMultilevel"/>
    <w:tmpl w:val="78EE9DFE"/>
    <w:lvl w:ilvl="0" w:tplc="78B2B27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8C5F87"/>
    <w:multiLevelType w:val="hybridMultilevel"/>
    <w:tmpl w:val="FBD84848"/>
    <w:lvl w:ilvl="0" w:tplc="78B2B274">
      <w:start w:val="1"/>
      <w:numFmt w:val="decimal"/>
      <w:lvlText w:val="%1."/>
      <w:lvlJc w:val="left"/>
      <w:pPr>
        <w:ind w:left="347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060" w:hanging="360"/>
      </w:pPr>
    </w:lvl>
    <w:lvl w:ilvl="2" w:tplc="041D001B">
      <w:start w:val="1"/>
      <w:numFmt w:val="lowerRoman"/>
      <w:lvlText w:val="%3."/>
      <w:lvlJc w:val="right"/>
      <w:pPr>
        <w:ind w:left="3780" w:hanging="180"/>
      </w:pPr>
    </w:lvl>
    <w:lvl w:ilvl="3" w:tplc="041D000F" w:tentative="1">
      <w:start w:val="1"/>
      <w:numFmt w:val="decimal"/>
      <w:lvlText w:val="%4."/>
      <w:lvlJc w:val="left"/>
      <w:pPr>
        <w:ind w:left="4500" w:hanging="360"/>
      </w:pPr>
    </w:lvl>
    <w:lvl w:ilvl="4" w:tplc="041D0019" w:tentative="1">
      <w:start w:val="1"/>
      <w:numFmt w:val="lowerLetter"/>
      <w:lvlText w:val="%5."/>
      <w:lvlJc w:val="left"/>
      <w:pPr>
        <w:ind w:left="5220" w:hanging="360"/>
      </w:pPr>
    </w:lvl>
    <w:lvl w:ilvl="5" w:tplc="041D001B" w:tentative="1">
      <w:start w:val="1"/>
      <w:numFmt w:val="lowerRoman"/>
      <w:lvlText w:val="%6."/>
      <w:lvlJc w:val="right"/>
      <w:pPr>
        <w:ind w:left="5940" w:hanging="180"/>
      </w:pPr>
    </w:lvl>
    <w:lvl w:ilvl="6" w:tplc="041D000F" w:tentative="1">
      <w:start w:val="1"/>
      <w:numFmt w:val="decimal"/>
      <w:lvlText w:val="%7."/>
      <w:lvlJc w:val="left"/>
      <w:pPr>
        <w:ind w:left="6660" w:hanging="360"/>
      </w:pPr>
    </w:lvl>
    <w:lvl w:ilvl="7" w:tplc="041D0019" w:tentative="1">
      <w:start w:val="1"/>
      <w:numFmt w:val="lowerLetter"/>
      <w:lvlText w:val="%8."/>
      <w:lvlJc w:val="left"/>
      <w:pPr>
        <w:ind w:left="7380" w:hanging="360"/>
      </w:pPr>
    </w:lvl>
    <w:lvl w:ilvl="8" w:tplc="041D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C9448AF"/>
    <w:multiLevelType w:val="hybridMultilevel"/>
    <w:tmpl w:val="600620AE"/>
    <w:lvl w:ilvl="0" w:tplc="AF32A0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150BCC"/>
    <w:multiLevelType w:val="hybridMultilevel"/>
    <w:tmpl w:val="B6264074"/>
    <w:lvl w:ilvl="0" w:tplc="CFA814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5662E18"/>
    <w:multiLevelType w:val="hybridMultilevel"/>
    <w:tmpl w:val="25882728"/>
    <w:lvl w:ilvl="0" w:tplc="7B26FC8C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62B1293"/>
    <w:multiLevelType w:val="hybridMultilevel"/>
    <w:tmpl w:val="4B7E74B8"/>
    <w:lvl w:ilvl="0" w:tplc="BC6AD7F4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D0E8F"/>
    <w:multiLevelType w:val="hybridMultilevel"/>
    <w:tmpl w:val="5A2A965A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66CA5"/>
    <w:multiLevelType w:val="hybridMultilevel"/>
    <w:tmpl w:val="F13E8478"/>
    <w:lvl w:ilvl="0" w:tplc="CFA814B4">
      <w:start w:val="1"/>
      <w:numFmt w:val="decimal"/>
      <w:lvlText w:val="%1."/>
      <w:lvlJc w:val="left"/>
      <w:pPr>
        <w:ind w:left="28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546" w:hanging="360"/>
      </w:pPr>
    </w:lvl>
    <w:lvl w:ilvl="2" w:tplc="041D001B" w:tentative="1">
      <w:start w:val="1"/>
      <w:numFmt w:val="lowerRoman"/>
      <w:lvlText w:val="%3."/>
      <w:lvlJc w:val="right"/>
      <w:pPr>
        <w:ind w:left="4266" w:hanging="180"/>
      </w:pPr>
    </w:lvl>
    <w:lvl w:ilvl="3" w:tplc="041D000F" w:tentative="1">
      <w:start w:val="1"/>
      <w:numFmt w:val="decimal"/>
      <w:lvlText w:val="%4."/>
      <w:lvlJc w:val="left"/>
      <w:pPr>
        <w:ind w:left="4986" w:hanging="360"/>
      </w:pPr>
    </w:lvl>
    <w:lvl w:ilvl="4" w:tplc="041D0019" w:tentative="1">
      <w:start w:val="1"/>
      <w:numFmt w:val="lowerLetter"/>
      <w:lvlText w:val="%5."/>
      <w:lvlJc w:val="left"/>
      <w:pPr>
        <w:ind w:left="5706" w:hanging="360"/>
      </w:pPr>
    </w:lvl>
    <w:lvl w:ilvl="5" w:tplc="041D001B" w:tentative="1">
      <w:start w:val="1"/>
      <w:numFmt w:val="lowerRoman"/>
      <w:lvlText w:val="%6."/>
      <w:lvlJc w:val="right"/>
      <w:pPr>
        <w:ind w:left="6426" w:hanging="180"/>
      </w:pPr>
    </w:lvl>
    <w:lvl w:ilvl="6" w:tplc="041D000F" w:tentative="1">
      <w:start w:val="1"/>
      <w:numFmt w:val="decimal"/>
      <w:lvlText w:val="%7."/>
      <w:lvlJc w:val="left"/>
      <w:pPr>
        <w:ind w:left="7146" w:hanging="360"/>
      </w:pPr>
    </w:lvl>
    <w:lvl w:ilvl="7" w:tplc="041D0019" w:tentative="1">
      <w:start w:val="1"/>
      <w:numFmt w:val="lowerLetter"/>
      <w:lvlText w:val="%8."/>
      <w:lvlJc w:val="left"/>
      <w:pPr>
        <w:ind w:left="7866" w:hanging="360"/>
      </w:pPr>
    </w:lvl>
    <w:lvl w:ilvl="8" w:tplc="041D001B" w:tentative="1">
      <w:start w:val="1"/>
      <w:numFmt w:val="lowerRoman"/>
      <w:lvlText w:val="%9."/>
      <w:lvlJc w:val="right"/>
      <w:pPr>
        <w:ind w:left="8586" w:hanging="180"/>
      </w:pPr>
    </w:lvl>
  </w:abstractNum>
  <w:abstractNum w:abstractNumId="23" w15:restartNumberingAfterBreak="0">
    <w:nsid w:val="348F221C"/>
    <w:multiLevelType w:val="hybridMultilevel"/>
    <w:tmpl w:val="7FE60012"/>
    <w:lvl w:ilvl="0" w:tplc="78B2B274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3B5329D3"/>
    <w:multiLevelType w:val="hybridMultilevel"/>
    <w:tmpl w:val="75E08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C69A9"/>
    <w:multiLevelType w:val="hybridMultilevel"/>
    <w:tmpl w:val="6F9E5C32"/>
    <w:lvl w:ilvl="0" w:tplc="0E5C5F32">
      <w:start w:val="1"/>
      <w:numFmt w:val="bullet"/>
      <w:lvlText w:val="•"/>
      <w:lvlJc w:val="left"/>
      <w:pPr>
        <w:ind w:left="2421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470B28FE"/>
    <w:multiLevelType w:val="hybridMultilevel"/>
    <w:tmpl w:val="D152B426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7E85496"/>
    <w:multiLevelType w:val="hybridMultilevel"/>
    <w:tmpl w:val="C04245A0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48011DD7"/>
    <w:multiLevelType w:val="multilevel"/>
    <w:tmpl w:val="0409001D"/>
    <w:numStyleLink w:val="1ai"/>
  </w:abstractNum>
  <w:abstractNum w:abstractNumId="29" w15:restartNumberingAfterBreak="0">
    <w:nsid w:val="4D7F4507"/>
    <w:multiLevelType w:val="hybridMultilevel"/>
    <w:tmpl w:val="D55CBCD6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1D97FFE"/>
    <w:multiLevelType w:val="hybridMultilevel"/>
    <w:tmpl w:val="ABC678D2"/>
    <w:lvl w:ilvl="0" w:tplc="3BB86E0E">
      <w:start w:val="8"/>
      <w:numFmt w:val="bullet"/>
      <w:lvlText w:val="-"/>
      <w:lvlJc w:val="left"/>
      <w:pPr>
        <w:ind w:left="204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32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F47EE"/>
    <w:multiLevelType w:val="hybridMultilevel"/>
    <w:tmpl w:val="74265920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BD93A87"/>
    <w:multiLevelType w:val="hybridMultilevel"/>
    <w:tmpl w:val="088C5BEA"/>
    <w:lvl w:ilvl="0" w:tplc="FDAEA28A">
      <w:start w:val="1"/>
      <w:numFmt w:val="bullet"/>
      <w:lvlText w:val="⁃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3205E84"/>
    <w:multiLevelType w:val="hybridMultilevel"/>
    <w:tmpl w:val="A844B41C"/>
    <w:lvl w:ilvl="0" w:tplc="041D000F">
      <w:start w:val="1"/>
      <w:numFmt w:val="decimal"/>
      <w:lvlText w:val="%1."/>
      <w:lvlJc w:val="left"/>
      <w:pPr>
        <w:ind w:left="2771" w:hanging="360"/>
      </w:pPr>
    </w:lvl>
    <w:lvl w:ilvl="1" w:tplc="041D0019" w:tentative="1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6" w15:restartNumberingAfterBreak="0">
    <w:nsid w:val="78B33ECA"/>
    <w:multiLevelType w:val="hybridMultilevel"/>
    <w:tmpl w:val="FDF2BA08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8BC0620"/>
    <w:multiLevelType w:val="hybridMultilevel"/>
    <w:tmpl w:val="FCC49FA0"/>
    <w:lvl w:ilvl="0" w:tplc="82929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13241"/>
    <w:multiLevelType w:val="hybridMultilevel"/>
    <w:tmpl w:val="DB783D1E"/>
    <w:lvl w:ilvl="0" w:tplc="6B1C7B0C">
      <w:start w:val="7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 w15:restartNumberingAfterBreak="0">
    <w:nsid w:val="7C912753"/>
    <w:multiLevelType w:val="hybridMultilevel"/>
    <w:tmpl w:val="D46E1F70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9"/>
  </w:num>
  <w:num w:numId="13">
    <w:abstractNumId w:val="11"/>
  </w:num>
  <w:num w:numId="14">
    <w:abstractNumId w:val="30"/>
  </w:num>
  <w:num w:numId="15">
    <w:abstractNumId w:val="17"/>
  </w:num>
  <w:num w:numId="16">
    <w:abstractNumId w:val="13"/>
  </w:num>
  <w:num w:numId="17">
    <w:abstractNumId w:val="37"/>
  </w:num>
  <w:num w:numId="18">
    <w:abstractNumId w:val="32"/>
  </w:num>
  <w:num w:numId="19">
    <w:abstractNumId w:val="27"/>
  </w:num>
  <w:num w:numId="20">
    <w:abstractNumId w:val="29"/>
  </w:num>
  <w:num w:numId="21">
    <w:abstractNumId w:val="35"/>
  </w:num>
  <w:num w:numId="22">
    <w:abstractNumId w:val="28"/>
  </w:num>
  <w:num w:numId="23">
    <w:abstractNumId w:val="15"/>
  </w:num>
  <w:num w:numId="24">
    <w:abstractNumId w:val="10"/>
  </w:num>
  <w:num w:numId="25">
    <w:abstractNumId w:val="23"/>
  </w:num>
  <w:num w:numId="26">
    <w:abstractNumId w:val="12"/>
  </w:num>
  <w:num w:numId="27">
    <w:abstractNumId w:val="22"/>
  </w:num>
  <w:num w:numId="28">
    <w:abstractNumId w:val="18"/>
  </w:num>
  <w:num w:numId="29">
    <w:abstractNumId w:val="20"/>
  </w:num>
  <w:num w:numId="30">
    <w:abstractNumId w:val="36"/>
  </w:num>
  <w:num w:numId="31">
    <w:abstractNumId w:val="16"/>
  </w:num>
  <w:num w:numId="32">
    <w:abstractNumId w:val="25"/>
  </w:num>
  <w:num w:numId="33">
    <w:abstractNumId w:val="38"/>
  </w:num>
  <w:num w:numId="34">
    <w:abstractNumId w:val="14"/>
  </w:num>
  <w:num w:numId="35">
    <w:abstractNumId w:val="33"/>
  </w:num>
  <w:num w:numId="36">
    <w:abstractNumId w:val="26"/>
  </w:num>
  <w:num w:numId="37">
    <w:abstractNumId w:val="34"/>
  </w:num>
  <w:num w:numId="38">
    <w:abstractNumId w:val="31"/>
  </w:num>
  <w:num w:numId="39">
    <w:abstractNumId w:val="24"/>
  </w:num>
  <w:num w:numId="40">
    <w:abstractNumId w:val="3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i-FI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00D25"/>
    <w:rsid w:val="000020A2"/>
    <w:rsid w:val="000035B8"/>
    <w:rsid w:val="00013E97"/>
    <w:rsid w:val="000149A1"/>
    <w:rsid w:val="00020AD1"/>
    <w:rsid w:val="000218B5"/>
    <w:rsid w:val="000260EE"/>
    <w:rsid w:val="000375AD"/>
    <w:rsid w:val="00037F90"/>
    <w:rsid w:val="00042C00"/>
    <w:rsid w:val="00046B0A"/>
    <w:rsid w:val="00046B1F"/>
    <w:rsid w:val="000470B0"/>
    <w:rsid w:val="000475AC"/>
    <w:rsid w:val="00047EB7"/>
    <w:rsid w:val="00050F6B"/>
    <w:rsid w:val="00057E97"/>
    <w:rsid w:val="00061528"/>
    <w:rsid w:val="0006361C"/>
    <w:rsid w:val="00067232"/>
    <w:rsid w:val="00072C8C"/>
    <w:rsid w:val="000733B5"/>
    <w:rsid w:val="00081815"/>
    <w:rsid w:val="0008342E"/>
    <w:rsid w:val="00085917"/>
    <w:rsid w:val="00091557"/>
    <w:rsid w:val="000931C0"/>
    <w:rsid w:val="00093840"/>
    <w:rsid w:val="00093871"/>
    <w:rsid w:val="00096262"/>
    <w:rsid w:val="0009761A"/>
    <w:rsid w:val="00097B02"/>
    <w:rsid w:val="000A06FA"/>
    <w:rsid w:val="000A0FD0"/>
    <w:rsid w:val="000A1785"/>
    <w:rsid w:val="000A3752"/>
    <w:rsid w:val="000A58D8"/>
    <w:rsid w:val="000A5CF8"/>
    <w:rsid w:val="000A6A62"/>
    <w:rsid w:val="000A772A"/>
    <w:rsid w:val="000A77BB"/>
    <w:rsid w:val="000B0595"/>
    <w:rsid w:val="000B175B"/>
    <w:rsid w:val="000B363D"/>
    <w:rsid w:val="000B3A0F"/>
    <w:rsid w:val="000B4EF7"/>
    <w:rsid w:val="000B633F"/>
    <w:rsid w:val="000B7AA1"/>
    <w:rsid w:val="000B7EDC"/>
    <w:rsid w:val="000C125A"/>
    <w:rsid w:val="000C2C03"/>
    <w:rsid w:val="000C2D2E"/>
    <w:rsid w:val="000C2DEF"/>
    <w:rsid w:val="000C2F83"/>
    <w:rsid w:val="000C3305"/>
    <w:rsid w:val="000C3328"/>
    <w:rsid w:val="000C4D51"/>
    <w:rsid w:val="000C7F79"/>
    <w:rsid w:val="000D080C"/>
    <w:rsid w:val="000D1E89"/>
    <w:rsid w:val="000D3D97"/>
    <w:rsid w:val="000D7449"/>
    <w:rsid w:val="000D7C1A"/>
    <w:rsid w:val="000D7EE5"/>
    <w:rsid w:val="000E0415"/>
    <w:rsid w:val="000E300C"/>
    <w:rsid w:val="000E3D37"/>
    <w:rsid w:val="000E5C70"/>
    <w:rsid w:val="000E6237"/>
    <w:rsid w:val="000E7FCB"/>
    <w:rsid w:val="000F0284"/>
    <w:rsid w:val="00101DB8"/>
    <w:rsid w:val="00102AA6"/>
    <w:rsid w:val="00103CC1"/>
    <w:rsid w:val="00104CDA"/>
    <w:rsid w:val="001103AA"/>
    <w:rsid w:val="0011119B"/>
    <w:rsid w:val="0011666B"/>
    <w:rsid w:val="0012118B"/>
    <w:rsid w:val="001211F5"/>
    <w:rsid w:val="001212CB"/>
    <w:rsid w:val="00126089"/>
    <w:rsid w:val="001277C3"/>
    <w:rsid w:val="001333ED"/>
    <w:rsid w:val="001362A8"/>
    <w:rsid w:val="00140773"/>
    <w:rsid w:val="00141383"/>
    <w:rsid w:val="00142AB2"/>
    <w:rsid w:val="00142BCF"/>
    <w:rsid w:val="00154657"/>
    <w:rsid w:val="00155068"/>
    <w:rsid w:val="00162D38"/>
    <w:rsid w:val="001644E3"/>
    <w:rsid w:val="00165F3A"/>
    <w:rsid w:val="00172E32"/>
    <w:rsid w:val="00177CE8"/>
    <w:rsid w:val="001802DC"/>
    <w:rsid w:val="0018210E"/>
    <w:rsid w:val="00186D7B"/>
    <w:rsid w:val="00193CA7"/>
    <w:rsid w:val="0019451E"/>
    <w:rsid w:val="0019698C"/>
    <w:rsid w:val="001A1DCF"/>
    <w:rsid w:val="001A4C52"/>
    <w:rsid w:val="001A6E55"/>
    <w:rsid w:val="001B08A2"/>
    <w:rsid w:val="001B13A5"/>
    <w:rsid w:val="001B4B04"/>
    <w:rsid w:val="001B5C50"/>
    <w:rsid w:val="001C03F9"/>
    <w:rsid w:val="001C0917"/>
    <w:rsid w:val="001C46D0"/>
    <w:rsid w:val="001C5A58"/>
    <w:rsid w:val="001C6027"/>
    <w:rsid w:val="001C6663"/>
    <w:rsid w:val="001C7895"/>
    <w:rsid w:val="001D0C8C"/>
    <w:rsid w:val="001D1419"/>
    <w:rsid w:val="001D26DF"/>
    <w:rsid w:val="001D3A03"/>
    <w:rsid w:val="001E0B9E"/>
    <w:rsid w:val="001E0E72"/>
    <w:rsid w:val="001E29E7"/>
    <w:rsid w:val="001E36B4"/>
    <w:rsid w:val="001E3CD2"/>
    <w:rsid w:val="001E5415"/>
    <w:rsid w:val="001E7451"/>
    <w:rsid w:val="001E7B67"/>
    <w:rsid w:val="001F1377"/>
    <w:rsid w:val="001F679D"/>
    <w:rsid w:val="001F7435"/>
    <w:rsid w:val="002027A3"/>
    <w:rsid w:val="00202DA8"/>
    <w:rsid w:val="0020780A"/>
    <w:rsid w:val="00210EBC"/>
    <w:rsid w:val="0021157B"/>
    <w:rsid w:val="00211E0B"/>
    <w:rsid w:val="00212B1A"/>
    <w:rsid w:val="002163D2"/>
    <w:rsid w:val="00216BDC"/>
    <w:rsid w:val="00220B09"/>
    <w:rsid w:val="002210D5"/>
    <w:rsid w:val="002221AA"/>
    <w:rsid w:val="0022321E"/>
    <w:rsid w:val="00225730"/>
    <w:rsid w:val="00233955"/>
    <w:rsid w:val="0023539C"/>
    <w:rsid w:val="00236A96"/>
    <w:rsid w:val="0023771B"/>
    <w:rsid w:val="0024023A"/>
    <w:rsid w:val="00243217"/>
    <w:rsid w:val="00244658"/>
    <w:rsid w:val="00246079"/>
    <w:rsid w:val="00246DAC"/>
    <w:rsid w:val="00246FE5"/>
    <w:rsid w:val="00247BDC"/>
    <w:rsid w:val="00250A58"/>
    <w:rsid w:val="00252290"/>
    <w:rsid w:val="00252EEE"/>
    <w:rsid w:val="002559FF"/>
    <w:rsid w:val="002658C2"/>
    <w:rsid w:val="00267F5F"/>
    <w:rsid w:val="002757B9"/>
    <w:rsid w:val="00280A1D"/>
    <w:rsid w:val="002820E6"/>
    <w:rsid w:val="002834C5"/>
    <w:rsid w:val="00284DBC"/>
    <w:rsid w:val="00286343"/>
    <w:rsid w:val="00286B4D"/>
    <w:rsid w:val="00287DCC"/>
    <w:rsid w:val="00291E09"/>
    <w:rsid w:val="00292ACF"/>
    <w:rsid w:val="002A0CC5"/>
    <w:rsid w:val="002A3C85"/>
    <w:rsid w:val="002A603B"/>
    <w:rsid w:val="002A6EFA"/>
    <w:rsid w:val="002B1061"/>
    <w:rsid w:val="002B4341"/>
    <w:rsid w:val="002B46EB"/>
    <w:rsid w:val="002B65D8"/>
    <w:rsid w:val="002B742C"/>
    <w:rsid w:val="002C004B"/>
    <w:rsid w:val="002C211E"/>
    <w:rsid w:val="002C63B0"/>
    <w:rsid w:val="002D0CE4"/>
    <w:rsid w:val="002D13E9"/>
    <w:rsid w:val="002D27F5"/>
    <w:rsid w:val="002D2E24"/>
    <w:rsid w:val="002D4643"/>
    <w:rsid w:val="002D4B6C"/>
    <w:rsid w:val="002D5825"/>
    <w:rsid w:val="002E20D5"/>
    <w:rsid w:val="002F175C"/>
    <w:rsid w:val="002F3C64"/>
    <w:rsid w:val="00301D76"/>
    <w:rsid w:val="00302E18"/>
    <w:rsid w:val="0030606F"/>
    <w:rsid w:val="00312976"/>
    <w:rsid w:val="00315022"/>
    <w:rsid w:val="003173A5"/>
    <w:rsid w:val="003229D8"/>
    <w:rsid w:val="00324058"/>
    <w:rsid w:val="003252C0"/>
    <w:rsid w:val="003255CD"/>
    <w:rsid w:val="00327C1F"/>
    <w:rsid w:val="0033230E"/>
    <w:rsid w:val="003358CF"/>
    <w:rsid w:val="00335D02"/>
    <w:rsid w:val="0034605E"/>
    <w:rsid w:val="00350BA2"/>
    <w:rsid w:val="00352709"/>
    <w:rsid w:val="00354ED9"/>
    <w:rsid w:val="0035741C"/>
    <w:rsid w:val="0036340C"/>
    <w:rsid w:val="003706D8"/>
    <w:rsid w:val="0037107E"/>
    <w:rsid w:val="00371178"/>
    <w:rsid w:val="00372DE1"/>
    <w:rsid w:val="003754FC"/>
    <w:rsid w:val="00375B70"/>
    <w:rsid w:val="00381A13"/>
    <w:rsid w:val="0038452A"/>
    <w:rsid w:val="003915D3"/>
    <w:rsid w:val="00393A3C"/>
    <w:rsid w:val="003A10AC"/>
    <w:rsid w:val="003A30E1"/>
    <w:rsid w:val="003A6498"/>
    <w:rsid w:val="003A6728"/>
    <w:rsid w:val="003A6810"/>
    <w:rsid w:val="003A7C69"/>
    <w:rsid w:val="003B0BF3"/>
    <w:rsid w:val="003B36D1"/>
    <w:rsid w:val="003B4FD6"/>
    <w:rsid w:val="003B7418"/>
    <w:rsid w:val="003C2CC4"/>
    <w:rsid w:val="003C4E57"/>
    <w:rsid w:val="003C74DD"/>
    <w:rsid w:val="003D30B0"/>
    <w:rsid w:val="003D3380"/>
    <w:rsid w:val="003D4B23"/>
    <w:rsid w:val="003E0B6D"/>
    <w:rsid w:val="003E47CA"/>
    <w:rsid w:val="003F310D"/>
    <w:rsid w:val="003F354A"/>
    <w:rsid w:val="003F70AC"/>
    <w:rsid w:val="003F7107"/>
    <w:rsid w:val="003F710A"/>
    <w:rsid w:val="004002CE"/>
    <w:rsid w:val="004036DC"/>
    <w:rsid w:val="00406D5C"/>
    <w:rsid w:val="00410C89"/>
    <w:rsid w:val="0041397F"/>
    <w:rsid w:val="0041539A"/>
    <w:rsid w:val="00422E03"/>
    <w:rsid w:val="00426B9B"/>
    <w:rsid w:val="004306DC"/>
    <w:rsid w:val="004325CB"/>
    <w:rsid w:val="004356D2"/>
    <w:rsid w:val="004428E6"/>
    <w:rsid w:val="00442A83"/>
    <w:rsid w:val="00444B16"/>
    <w:rsid w:val="0044530F"/>
    <w:rsid w:val="00446D76"/>
    <w:rsid w:val="00453BB3"/>
    <w:rsid w:val="0045495B"/>
    <w:rsid w:val="00454D98"/>
    <w:rsid w:val="00456890"/>
    <w:rsid w:val="0045737E"/>
    <w:rsid w:val="00463984"/>
    <w:rsid w:val="00463B7B"/>
    <w:rsid w:val="004643FE"/>
    <w:rsid w:val="00470310"/>
    <w:rsid w:val="00471330"/>
    <w:rsid w:val="004757DA"/>
    <w:rsid w:val="004760B7"/>
    <w:rsid w:val="0048014F"/>
    <w:rsid w:val="00482DA4"/>
    <w:rsid w:val="0048397A"/>
    <w:rsid w:val="00485C67"/>
    <w:rsid w:val="00486410"/>
    <w:rsid w:val="004A12F2"/>
    <w:rsid w:val="004A301A"/>
    <w:rsid w:val="004C1788"/>
    <w:rsid w:val="004C2461"/>
    <w:rsid w:val="004C63B1"/>
    <w:rsid w:val="004C648F"/>
    <w:rsid w:val="004C72BF"/>
    <w:rsid w:val="004C7462"/>
    <w:rsid w:val="004C7936"/>
    <w:rsid w:val="004D4E04"/>
    <w:rsid w:val="004D5426"/>
    <w:rsid w:val="004D71EB"/>
    <w:rsid w:val="004E0C05"/>
    <w:rsid w:val="004E1EFB"/>
    <w:rsid w:val="004E55C6"/>
    <w:rsid w:val="004E77B2"/>
    <w:rsid w:val="004F0CCB"/>
    <w:rsid w:val="004F5695"/>
    <w:rsid w:val="004F5C30"/>
    <w:rsid w:val="004F68B6"/>
    <w:rsid w:val="004F7A1B"/>
    <w:rsid w:val="00503DEB"/>
    <w:rsid w:val="00504B2D"/>
    <w:rsid w:val="00507CE8"/>
    <w:rsid w:val="00511B5C"/>
    <w:rsid w:val="0052013D"/>
    <w:rsid w:val="0052136D"/>
    <w:rsid w:val="00522B58"/>
    <w:rsid w:val="0052389F"/>
    <w:rsid w:val="00523CD7"/>
    <w:rsid w:val="00526FF7"/>
    <w:rsid w:val="0052775E"/>
    <w:rsid w:val="00533685"/>
    <w:rsid w:val="005420F2"/>
    <w:rsid w:val="00544E1A"/>
    <w:rsid w:val="00545721"/>
    <w:rsid w:val="00546993"/>
    <w:rsid w:val="005470FC"/>
    <w:rsid w:val="005523E5"/>
    <w:rsid w:val="00553B62"/>
    <w:rsid w:val="005628B6"/>
    <w:rsid w:val="005651EF"/>
    <w:rsid w:val="005659C3"/>
    <w:rsid w:val="00566B2D"/>
    <w:rsid w:val="0057049C"/>
    <w:rsid w:val="005706BC"/>
    <w:rsid w:val="00583295"/>
    <w:rsid w:val="00584FAE"/>
    <w:rsid w:val="00586DB8"/>
    <w:rsid w:val="00590F4A"/>
    <w:rsid w:val="005933E3"/>
    <w:rsid w:val="0059363D"/>
    <w:rsid w:val="00596193"/>
    <w:rsid w:val="0059782B"/>
    <w:rsid w:val="005A1668"/>
    <w:rsid w:val="005A280E"/>
    <w:rsid w:val="005A4EAD"/>
    <w:rsid w:val="005A6437"/>
    <w:rsid w:val="005B05FD"/>
    <w:rsid w:val="005B0A84"/>
    <w:rsid w:val="005B3DB3"/>
    <w:rsid w:val="005B4E13"/>
    <w:rsid w:val="005C5CC2"/>
    <w:rsid w:val="005C7713"/>
    <w:rsid w:val="005C7AE4"/>
    <w:rsid w:val="005D01AA"/>
    <w:rsid w:val="005D0201"/>
    <w:rsid w:val="005D2A29"/>
    <w:rsid w:val="005E6A77"/>
    <w:rsid w:val="005E6BB4"/>
    <w:rsid w:val="005F4EF7"/>
    <w:rsid w:val="005F7B75"/>
    <w:rsid w:val="006001EE"/>
    <w:rsid w:val="00600FA9"/>
    <w:rsid w:val="00603A22"/>
    <w:rsid w:val="00605042"/>
    <w:rsid w:val="00611FC4"/>
    <w:rsid w:val="006162FB"/>
    <w:rsid w:val="006167E8"/>
    <w:rsid w:val="00616EEB"/>
    <w:rsid w:val="006176FB"/>
    <w:rsid w:val="0062206C"/>
    <w:rsid w:val="0062213C"/>
    <w:rsid w:val="006309EF"/>
    <w:rsid w:val="00633CDB"/>
    <w:rsid w:val="00640636"/>
    <w:rsid w:val="00640B26"/>
    <w:rsid w:val="00642081"/>
    <w:rsid w:val="00644282"/>
    <w:rsid w:val="00644563"/>
    <w:rsid w:val="00644CD3"/>
    <w:rsid w:val="00650BD3"/>
    <w:rsid w:val="00651B2F"/>
    <w:rsid w:val="00652D0A"/>
    <w:rsid w:val="0066005F"/>
    <w:rsid w:val="00661C95"/>
    <w:rsid w:val="006623D5"/>
    <w:rsid w:val="00662531"/>
    <w:rsid w:val="00662BB6"/>
    <w:rsid w:val="006634C7"/>
    <w:rsid w:val="00667F8F"/>
    <w:rsid w:val="0067091C"/>
    <w:rsid w:val="00670BBE"/>
    <w:rsid w:val="006713A7"/>
    <w:rsid w:val="00671F98"/>
    <w:rsid w:val="00673C44"/>
    <w:rsid w:val="00674897"/>
    <w:rsid w:val="00676B85"/>
    <w:rsid w:val="00684C21"/>
    <w:rsid w:val="00686FF1"/>
    <w:rsid w:val="00693578"/>
    <w:rsid w:val="006A2530"/>
    <w:rsid w:val="006B49F6"/>
    <w:rsid w:val="006B4DDD"/>
    <w:rsid w:val="006B5C35"/>
    <w:rsid w:val="006C18FA"/>
    <w:rsid w:val="006C3589"/>
    <w:rsid w:val="006D03EC"/>
    <w:rsid w:val="006D2B94"/>
    <w:rsid w:val="006D317D"/>
    <w:rsid w:val="006D37AF"/>
    <w:rsid w:val="006D51D0"/>
    <w:rsid w:val="006D75CD"/>
    <w:rsid w:val="006E3B48"/>
    <w:rsid w:val="006E4935"/>
    <w:rsid w:val="006E564B"/>
    <w:rsid w:val="006E7191"/>
    <w:rsid w:val="006E73A7"/>
    <w:rsid w:val="006F303E"/>
    <w:rsid w:val="006F3CCF"/>
    <w:rsid w:val="007011A3"/>
    <w:rsid w:val="00701773"/>
    <w:rsid w:val="00702574"/>
    <w:rsid w:val="00703577"/>
    <w:rsid w:val="00705894"/>
    <w:rsid w:val="007112CD"/>
    <w:rsid w:val="0071793F"/>
    <w:rsid w:val="0072632A"/>
    <w:rsid w:val="007327D5"/>
    <w:rsid w:val="00741721"/>
    <w:rsid w:val="007418F1"/>
    <w:rsid w:val="00743E81"/>
    <w:rsid w:val="00746BBF"/>
    <w:rsid w:val="0075219B"/>
    <w:rsid w:val="00753674"/>
    <w:rsid w:val="007543E1"/>
    <w:rsid w:val="00754592"/>
    <w:rsid w:val="007611CF"/>
    <w:rsid w:val="007612FF"/>
    <w:rsid w:val="007629C8"/>
    <w:rsid w:val="00765EC1"/>
    <w:rsid w:val="0077047D"/>
    <w:rsid w:val="00781439"/>
    <w:rsid w:val="007816F1"/>
    <w:rsid w:val="0078507B"/>
    <w:rsid w:val="00791AC2"/>
    <w:rsid w:val="00793939"/>
    <w:rsid w:val="00796A62"/>
    <w:rsid w:val="00797575"/>
    <w:rsid w:val="007A1179"/>
    <w:rsid w:val="007A787F"/>
    <w:rsid w:val="007B67FC"/>
    <w:rsid w:val="007B6BA5"/>
    <w:rsid w:val="007B6C1C"/>
    <w:rsid w:val="007C0F3F"/>
    <w:rsid w:val="007C3390"/>
    <w:rsid w:val="007C4F4B"/>
    <w:rsid w:val="007C5966"/>
    <w:rsid w:val="007D3484"/>
    <w:rsid w:val="007E01E9"/>
    <w:rsid w:val="007E26B9"/>
    <w:rsid w:val="007E63F3"/>
    <w:rsid w:val="007E64A7"/>
    <w:rsid w:val="007F0F4A"/>
    <w:rsid w:val="007F10A1"/>
    <w:rsid w:val="007F23F5"/>
    <w:rsid w:val="007F29A5"/>
    <w:rsid w:val="007F6611"/>
    <w:rsid w:val="007F70AF"/>
    <w:rsid w:val="007F7106"/>
    <w:rsid w:val="007F7A86"/>
    <w:rsid w:val="007F7AB8"/>
    <w:rsid w:val="00804032"/>
    <w:rsid w:val="00804157"/>
    <w:rsid w:val="00804222"/>
    <w:rsid w:val="008116D7"/>
    <w:rsid w:val="00811920"/>
    <w:rsid w:val="00815AD0"/>
    <w:rsid w:val="00815E91"/>
    <w:rsid w:val="008212E9"/>
    <w:rsid w:val="008242D7"/>
    <w:rsid w:val="00824EA3"/>
    <w:rsid w:val="008257B1"/>
    <w:rsid w:val="008268C5"/>
    <w:rsid w:val="00835C5B"/>
    <w:rsid w:val="00836F65"/>
    <w:rsid w:val="00840043"/>
    <w:rsid w:val="00841EA6"/>
    <w:rsid w:val="00842F17"/>
    <w:rsid w:val="00843767"/>
    <w:rsid w:val="00844141"/>
    <w:rsid w:val="00845E45"/>
    <w:rsid w:val="008544D5"/>
    <w:rsid w:val="00854501"/>
    <w:rsid w:val="008556FB"/>
    <w:rsid w:val="0085672F"/>
    <w:rsid w:val="008679D9"/>
    <w:rsid w:val="008711DC"/>
    <w:rsid w:val="00871389"/>
    <w:rsid w:val="00875C74"/>
    <w:rsid w:val="008767BF"/>
    <w:rsid w:val="008777A4"/>
    <w:rsid w:val="00880848"/>
    <w:rsid w:val="00883999"/>
    <w:rsid w:val="00887652"/>
    <w:rsid w:val="008878DE"/>
    <w:rsid w:val="00895251"/>
    <w:rsid w:val="008979B1"/>
    <w:rsid w:val="008A3058"/>
    <w:rsid w:val="008A6B25"/>
    <w:rsid w:val="008A6C4F"/>
    <w:rsid w:val="008A7F90"/>
    <w:rsid w:val="008B13FA"/>
    <w:rsid w:val="008B187F"/>
    <w:rsid w:val="008B2335"/>
    <w:rsid w:val="008B27FB"/>
    <w:rsid w:val="008B2B78"/>
    <w:rsid w:val="008B2D85"/>
    <w:rsid w:val="008B5119"/>
    <w:rsid w:val="008B5F36"/>
    <w:rsid w:val="008C400E"/>
    <w:rsid w:val="008C4ADB"/>
    <w:rsid w:val="008C678F"/>
    <w:rsid w:val="008C7AFF"/>
    <w:rsid w:val="008D7341"/>
    <w:rsid w:val="008E0678"/>
    <w:rsid w:val="008E2331"/>
    <w:rsid w:val="008E2436"/>
    <w:rsid w:val="008E33CD"/>
    <w:rsid w:val="008E6480"/>
    <w:rsid w:val="008F03A8"/>
    <w:rsid w:val="008F0834"/>
    <w:rsid w:val="008F5ACB"/>
    <w:rsid w:val="008F6CE6"/>
    <w:rsid w:val="00905DC9"/>
    <w:rsid w:val="00907BA5"/>
    <w:rsid w:val="0091141B"/>
    <w:rsid w:val="0091190D"/>
    <w:rsid w:val="009223CA"/>
    <w:rsid w:val="00927829"/>
    <w:rsid w:val="00933E40"/>
    <w:rsid w:val="00934137"/>
    <w:rsid w:val="009408BB"/>
    <w:rsid w:val="00940F93"/>
    <w:rsid w:val="00943E66"/>
    <w:rsid w:val="0094558F"/>
    <w:rsid w:val="00946884"/>
    <w:rsid w:val="00951724"/>
    <w:rsid w:val="009536F9"/>
    <w:rsid w:val="00956168"/>
    <w:rsid w:val="00961690"/>
    <w:rsid w:val="009636BB"/>
    <w:rsid w:val="00963ABB"/>
    <w:rsid w:val="00964581"/>
    <w:rsid w:val="0097110C"/>
    <w:rsid w:val="009760F3"/>
    <w:rsid w:val="00977203"/>
    <w:rsid w:val="00995AB4"/>
    <w:rsid w:val="0099754E"/>
    <w:rsid w:val="009A0E8D"/>
    <w:rsid w:val="009A176F"/>
    <w:rsid w:val="009A3C75"/>
    <w:rsid w:val="009B0F25"/>
    <w:rsid w:val="009B1518"/>
    <w:rsid w:val="009B15AA"/>
    <w:rsid w:val="009B26E7"/>
    <w:rsid w:val="009B350F"/>
    <w:rsid w:val="009C17A1"/>
    <w:rsid w:val="009C2166"/>
    <w:rsid w:val="009C28EA"/>
    <w:rsid w:val="009C3D71"/>
    <w:rsid w:val="009C454F"/>
    <w:rsid w:val="009C565B"/>
    <w:rsid w:val="009C58EF"/>
    <w:rsid w:val="009D0B64"/>
    <w:rsid w:val="009D2486"/>
    <w:rsid w:val="009D2A5B"/>
    <w:rsid w:val="009D393E"/>
    <w:rsid w:val="009E18F4"/>
    <w:rsid w:val="009E1D30"/>
    <w:rsid w:val="009E6561"/>
    <w:rsid w:val="009F2BB8"/>
    <w:rsid w:val="009F3AE6"/>
    <w:rsid w:val="00A00A3F"/>
    <w:rsid w:val="00A01489"/>
    <w:rsid w:val="00A12E50"/>
    <w:rsid w:val="00A14388"/>
    <w:rsid w:val="00A1777D"/>
    <w:rsid w:val="00A22D5C"/>
    <w:rsid w:val="00A2665E"/>
    <w:rsid w:val="00A3009E"/>
    <w:rsid w:val="00A3026E"/>
    <w:rsid w:val="00A30C84"/>
    <w:rsid w:val="00A31D95"/>
    <w:rsid w:val="00A338F1"/>
    <w:rsid w:val="00A3409F"/>
    <w:rsid w:val="00A44D24"/>
    <w:rsid w:val="00A45808"/>
    <w:rsid w:val="00A46763"/>
    <w:rsid w:val="00A477C4"/>
    <w:rsid w:val="00A533E7"/>
    <w:rsid w:val="00A5402C"/>
    <w:rsid w:val="00A56AAB"/>
    <w:rsid w:val="00A7218F"/>
    <w:rsid w:val="00A72F22"/>
    <w:rsid w:val="00A7360F"/>
    <w:rsid w:val="00A748A6"/>
    <w:rsid w:val="00A769F4"/>
    <w:rsid w:val="00A776B4"/>
    <w:rsid w:val="00A86F6A"/>
    <w:rsid w:val="00A90E84"/>
    <w:rsid w:val="00A915B4"/>
    <w:rsid w:val="00A94361"/>
    <w:rsid w:val="00A94BB3"/>
    <w:rsid w:val="00A95D61"/>
    <w:rsid w:val="00A970A8"/>
    <w:rsid w:val="00AA1F98"/>
    <w:rsid w:val="00AA293C"/>
    <w:rsid w:val="00AA475C"/>
    <w:rsid w:val="00AA5165"/>
    <w:rsid w:val="00AA55D5"/>
    <w:rsid w:val="00AA66C0"/>
    <w:rsid w:val="00AB2A18"/>
    <w:rsid w:val="00AB32F7"/>
    <w:rsid w:val="00AB4050"/>
    <w:rsid w:val="00AB5B47"/>
    <w:rsid w:val="00AC36B7"/>
    <w:rsid w:val="00AC5045"/>
    <w:rsid w:val="00AC6EC4"/>
    <w:rsid w:val="00AD44C2"/>
    <w:rsid w:val="00AD48FA"/>
    <w:rsid w:val="00AE0B20"/>
    <w:rsid w:val="00AE50F3"/>
    <w:rsid w:val="00AF466C"/>
    <w:rsid w:val="00AF7B8E"/>
    <w:rsid w:val="00B03BDC"/>
    <w:rsid w:val="00B0614C"/>
    <w:rsid w:val="00B101E9"/>
    <w:rsid w:val="00B117CF"/>
    <w:rsid w:val="00B11BB4"/>
    <w:rsid w:val="00B11D71"/>
    <w:rsid w:val="00B12557"/>
    <w:rsid w:val="00B129BB"/>
    <w:rsid w:val="00B12CA6"/>
    <w:rsid w:val="00B2148A"/>
    <w:rsid w:val="00B21F96"/>
    <w:rsid w:val="00B22BC2"/>
    <w:rsid w:val="00B240FC"/>
    <w:rsid w:val="00B24F79"/>
    <w:rsid w:val="00B25EB2"/>
    <w:rsid w:val="00B27148"/>
    <w:rsid w:val="00B27885"/>
    <w:rsid w:val="00B30179"/>
    <w:rsid w:val="00B31424"/>
    <w:rsid w:val="00B34EAB"/>
    <w:rsid w:val="00B36690"/>
    <w:rsid w:val="00B36CA9"/>
    <w:rsid w:val="00B41584"/>
    <w:rsid w:val="00B421C1"/>
    <w:rsid w:val="00B47633"/>
    <w:rsid w:val="00B51CEC"/>
    <w:rsid w:val="00B552A3"/>
    <w:rsid w:val="00B55C71"/>
    <w:rsid w:val="00B56E4A"/>
    <w:rsid w:val="00B56E9C"/>
    <w:rsid w:val="00B612DF"/>
    <w:rsid w:val="00B61320"/>
    <w:rsid w:val="00B6151A"/>
    <w:rsid w:val="00B61BB6"/>
    <w:rsid w:val="00B63F86"/>
    <w:rsid w:val="00B64B1F"/>
    <w:rsid w:val="00B6553F"/>
    <w:rsid w:val="00B70F1E"/>
    <w:rsid w:val="00B77D05"/>
    <w:rsid w:val="00B8059B"/>
    <w:rsid w:val="00B81206"/>
    <w:rsid w:val="00B81E12"/>
    <w:rsid w:val="00B8394B"/>
    <w:rsid w:val="00B85D76"/>
    <w:rsid w:val="00B87639"/>
    <w:rsid w:val="00B94746"/>
    <w:rsid w:val="00BA4F47"/>
    <w:rsid w:val="00BB090B"/>
    <w:rsid w:val="00BB1184"/>
    <w:rsid w:val="00BB5635"/>
    <w:rsid w:val="00BB7CD1"/>
    <w:rsid w:val="00BC2725"/>
    <w:rsid w:val="00BC3FA0"/>
    <w:rsid w:val="00BC41E8"/>
    <w:rsid w:val="00BC626B"/>
    <w:rsid w:val="00BC67E1"/>
    <w:rsid w:val="00BC6D21"/>
    <w:rsid w:val="00BC74E9"/>
    <w:rsid w:val="00BC7D09"/>
    <w:rsid w:val="00BD6AE8"/>
    <w:rsid w:val="00BE0FF0"/>
    <w:rsid w:val="00BE4F17"/>
    <w:rsid w:val="00BF36DF"/>
    <w:rsid w:val="00BF3CC6"/>
    <w:rsid w:val="00BF68A8"/>
    <w:rsid w:val="00BF6B31"/>
    <w:rsid w:val="00C00247"/>
    <w:rsid w:val="00C0468A"/>
    <w:rsid w:val="00C10FE6"/>
    <w:rsid w:val="00C11A03"/>
    <w:rsid w:val="00C11B49"/>
    <w:rsid w:val="00C217A5"/>
    <w:rsid w:val="00C22C0C"/>
    <w:rsid w:val="00C23978"/>
    <w:rsid w:val="00C25E1A"/>
    <w:rsid w:val="00C266E8"/>
    <w:rsid w:val="00C26804"/>
    <w:rsid w:val="00C30215"/>
    <w:rsid w:val="00C33407"/>
    <w:rsid w:val="00C3410A"/>
    <w:rsid w:val="00C4154F"/>
    <w:rsid w:val="00C42298"/>
    <w:rsid w:val="00C42300"/>
    <w:rsid w:val="00C43462"/>
    <w:rsid w:val="00C43F8F"/>
    <w:rsid w:val="00C4527F"/>
    <w:rsid w:val="00C45E05"/>
    <w:rsid w:val="00C463DD"/>
    <w:rsid w:val="00C466C7"/>
    <w:rsid w:val="00C4724C"/>
    <w:rsid w:val="00C530F4"/>
    <w:rsid w:val="00C605F3"/>
    <w:rsid w:val="00C629A0"/>
    <w:rsid w:val="00C64629"/>
    <w:rsid w:val="00C66F1F"/>
    <w:rsid w:val="00C745C3"/>
    <w:rsid w:val="00C7755F"/>
    <w:rsid w:val="00C77BE5"/>
    <w:rsid w:val="00C80A82"/>
    <w:rsid w:val="00C900EB"/>
    <w:rsid w:val="00C94F2C"/>
    <w:rsid w:val="00C97C39"/>
    <w:rsid w:val="00C97CF6"/>
    <w:rsid w:val="00CA39FB"/>
    <w:rsid w:val="00CB2276"/>
    <w:rsid w:val="00CB3E03"/>
    <w:rsid w:val="00CB46A6"/>
    <w:rsid w:val="00CB5F84"/>
    <w:rsid w:val="00CC24B7"/>
    <w:rsid w:val="00CC2A1B"/>
    <w:rsid w:val="00CC2D45"/>
    <w:rsid w:val="00CC5B3B"/>
    <w:rsid w:val="00CC719E"/>
    <w:rsid w:val="00CD1FCA"/>
    <w:rsid w:val="00CD285E"/>
    <w:rsid w:val="00CD2BAF"/>
    <w:rsid w:val="00CD46A7"/>
    <w:rsid w:val="00CD57D2"/>
    <w:rsid w:val="00CE1761"/>
    <w:rsid w:val="00CE1CFD"/>
    <w:rsid w:val="00CE3E6E"/>
    <w:rsid w:val="00CE4A8F"/>
    <w:rsid w:val="00CE4E67"/>
    <w:rsid w:val="00CF3164"/>
    <w:rsid w:val="00CF44DD"/>
    <w:rsid w:val="00CF7501"/>
    <w:rsid w:val="00CF7AC0"/>
    <w:rsid w:val="00D1284B"/>
    <w:rsid w:val="00D13737"/>
    <w:rsid w:val="00D13F4D"/>
    <w:rsid w:val="00D2031B"/>
    <w:rsid w:val="00D224BF"/>
    <w:rsid w:val="00D22523"/>
    <w:rsid w:val="00D25FE2"/>
    <w:rsid w:val="00D43252"/>
    <w:rsid w:val="00D43CDB"/>
    <w:rsid w:val="00D44198"/>
    <w:rsid w:val="00D46DAD"/>
    <w:rsid w:val="00D46E53"/>
    <w:rsid w:val="00D47C42"/>
    <w:rsid w:val="00D47EEA"/>
    <w:rsid w:val="00D47F36"/>
    <w:rsid w:val="00D5385E"/>
    <w:rsid w:val="00D53946"/>
    <w:rsid w:val="00D550D4"/>
    <w:rsid w:val="00D56292"/>
    <w:rsid w:val="00D62742"/>
    <w:rsid w:val="00D709D0"/>
    <w:rsid w:val="00D7419E"/>
    <w:rsid w:val="00D76981"/>
    <w:rsid w:val="00D773DF"/>
    <w:rsid w:val="00D80842"/>
    <w:rsid w:val="00D810EE"/>
    <w:rsid w:val="00D82581"/>
    <w:rsid w:val="00D876F8"/>
    <w:rsid w:val="00D91A8D"/>
    <w:rsid w:val="00D9255F"/>
    <w:rsid w:val="00D94AB7"/>
    <w:rsid w:val="00D95303"/>
    <w:rsid w:val="00D97453"/>
    <w:rsid w:val="00D978C6"/>
    <w:rsid w:val="00DA3C1C"/>
    <w:rsid w:val="00DA5024"/>
    <w:rsid w:val="00DB09D9"/>
    <w:rsid w:val="00DB1304"/>
    <w:rsid w:val="00DB1AD8"/>
    <w:rsid w:val="00DB43CD"/>
    <w:rsid w:val="00DB57B1"/>
    <w:rsid w:val="00DB6E62"/>
    <w:rsid w:val="00DC12A9"/>
    <w:rsid w:val="00DD5FD2"/>
    <w:rsid w:val="00DE37C6"/>
    <w:rsid w:val="00DE4667"/>
    <w:rsid w:val="00DE4970"/>
    <w:rsid w:val="00DE7486"/>
    <w:rsid w:val="00DE79A0"/>
    <w:rsid w:val="00DF0E6D"/>
    <w:rsid w:val="00DF0EC4"/>
    <w:rsid w:val="00DF418D"/>
    <w:rsid w:val="00E01B7D"/>
    <w:rsid w:val="00E01D54"/>
    <w:rsid w:val="00E02661"/>
    <w:rsid w:val="00E046DF"/>
    <w:rsid w:val="00E04F33"/>
    <w:rsid w:val="00E10E7D"/>
    <w:rsid w:val="00E13DAF"/>
    <w:rsid w:val="00E14853"/>
    <w:rsid w:val="00E15557"/>
    <w:rsid w:val="00E21502"/>
    <w:rsid w:val="00E261FA"/>
    <w:rsid w:val="00E26778"/>
    <w:rsid w:val="00E27346"/>
    <w:rsid w:val="00E51E40"/>
    <w:rsid w:val="00E54F0D"/>
    <w:rsid w:val="00E5605F"/>
    <w:rsid w:val="00E56FD4"/>
    <w:rsid w:val="00E5731F"/>
    <w:rsid w:val="00E62A14"/>
    <w:rsid w:val="00E62CCF"/>
    <w:rsid w:val="00E71BC8"/>
    <w:rsid w:val="00E7260F"/>
    <w:rsid w:val="00E726E6"/>
    <w:rsid w:val="00E73F5D"/>
    <w:rsid w:val="00E756DA"/>
    <w:rsid w:val="00E77E4E"/>
    <w:rsid w:val="00E77FE5"/>
    <w:rsid w:val="00E836E7"/>
    <w:rsid w:val="00E879F6"/>
    <w:rsid w:val="00E9389A"/>
    <w:rsid w:val="00E955EE"/>
    <w:rsid w:val="00E96630"/>
    <w:rsid w:val="00E96B8D"/>
    <w:rsid w:val="00E96C02"/>
    <w:rsid w:val="00E97380"/>
    <w:rsid w:val="00EA13FC"/>
    <w:rsid w:val="00EA706A"/>
    <w:rsid w:val="00EB65AE"/>
    <w:rsid w:val="00EB7345"/>
    <w:rsid w:val="00EB7992"/>
    <w:rsid w:val="00EC098C"/>
    <w:rsid w:val="00EC106A"/>
    <w:rsid w:val="00EC32A0"/>
    <w:rsid w:val="00ED7A2A"/>
    <w:rsid w:val="00EE086A"/>
    <w:rsid w:val="00EE65FE"/>
    <w:rsid w:val="00EE6B3A"/>
    <w:rsid w:val="00EF1D7F"/>
    <w:rsid w:val="00F05E4B"/>
    <w:rsid w:val="00F1104B"/>
    <w:rsid w:val="00F11976"/>
    <w:rsid w:val="00F13381"/>
    <w:rsid w:val="00F16B7D"/>
    <w:rsid w:val="00F227A6"/>
    <w:rsid w:val="00F31170"/>
    <w:rsid w:val="00F31E5F"/>
    <w:rsid w:val="00F36890"/>
    <w:rsid w:val="00F36F0D"/>
    <w:rsid w:val="00F42999"/>
    <w:rsid w:val="00F51ECD"/>
    <w:rsid w:val="00F57B45"/>
    <w:rsid w:val="00F57ED1"/>
    <w:rsid w:val="00F6100A"/>
    <w:rsid w:val="00F66565"/>
    <w:rsid w:val="00F7218D"/>
    <w:rsid w:val="00F74866"/>
    <w:rsid w:val="00F8015D"/>
    <w:rsid w:val="00F90DF9"/>
    <w:rsid w:val="00F93781"/>
    <w:rsid w:val="00FA038A"/>
    <w:rsid w:val="00FA2064"/>
    <w:rsid w:val="00FA26FD"/>
    <w:rsid w:val="00FA2814"/>
    <w:rsid w:val="00FA42D6"/>
    <w:rsid w:val="00FA4773"/>
    <w:rsid w:val="00FA4FEB"/>
    <w:rsid w:val="00FA7F6B"/>
    <w:rsid w:val="00FB1A29"/>
    <w:rsid w:val="00FB4C10"/>
    <w:rsid w:val="00FB613B"/>
    <w:rsid w:val="00FB7B98"/>
    <w:rsid w:val="00FC0D58"/>
    <w:rsid w:val="00FC1945"/>
    <w:rsid w:val="00FC2EA1"/>
    <w:rsid w:val="00FC3938"/>
    <w:rsid w:val="00FC3C87"/>
    <w:rsid w:val="00FC600C"/>
    <w:rsid w:val="00FC68B7"/>
    <w:rsid w:val="00FD3588"/>
    <w:rsid w:val="00FD3956"/>
    <w:rsid w:val="00FD45C9"/>
    <w:rsid w:val="00FD70F7"/>
    <w:rsid w:val="00FD7C13"/>
    <w:rsid w:val="00FE0275"/>
    <w:rsid w:val="00FE106A"/>
    <w:rsid w:val="00FF145D"/>
    <w:rsid w:val="00FF1D85"/>
    <w:rsid w:val="00FF280A"/>
    <w:rsid w:val="00FF5BE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A367A1"/>
  <w15:docId w15:val="{459282D2-905E-497E-BF00-3B5A9564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C24B7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C24B7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C24B7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C24B7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C24B7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C24B7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C24B7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C24B7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C24B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CC24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CC24B7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CC24B7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CC24B7"/>
    <w:rPr>
      <w:rFonts w:cs="Courier New"/>
    </w:rPr>
  </w:style>
  <w:style w:type="paragraph" w:styleId="BodyText">
    <w:name w:val="Body Text"/>
    <w:basedOn w:val="Normal"/>
    <w:next w:val="Normal"/>
    <w:semiHidden/>
    <w:rsid w:val="00CC24B7"/>
  </w:style>
  <w:style w:type="paragraph" w:styleId="BodyTextIndent">
    <w:name w:val="Body Text Indent"/>
    <w:basedOn w:val="Normal"/>
    <w:semiHidden/>
    <w:rsid w:val="00CC24B7"/>
    <w:pPr>
      <w:spacing w:after="120"/>
      <w:ind w:left="283"/>
    </w:pPr>
  </w:style>
  <w:style w:type="paragraph" w:styleId="BlockText">
    <w:name w:val="Block Text"/>
    <w:basedOn w:val="Normal"/>
    <w:semiHidden/>
    <w:rsid w:val="00CC24B7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CC24B7"/>
    <w:rPr>
      <w:sz w:val="6"/>
    </w:rPr>
  </w:style>
  <w:style w:type="paragraph" w:styleId="CommentText">
    <w:name w:val="annotation text"/>
    <w:basedOn w:val="Normal"/>
    <w:link w:val="CommentTextChar"/>
    <w:semiHidden/>
    <w:rsid w:val="00CC24B7"/>
  </w:style>
  <w:style w:type="character" w:styleId="LineNumber">
    <w:name w:val="line number"/>
    <w:semiHidden/>
    <w:rsid w:val="00CC24B7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CC24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Web11">
    <w:name w:val="Tableau Web 1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,5_GR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evision">
    <w:name w:val="Revision"/>
    <w:hidden/>
    <w:uiPriority w:val="99"/>
    <w:semiHidden/>
    <w:rsid w:val="006634C7"/>
    <w:rPr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A30C84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6A62"/>
    <w:rPr>
      <w:b/>
      <w:bCs/>
    </w:rPr>
  </w:style>
  <w:style w:type="character" w:customStyle="1" w:styleId="CommentTextChar">
    <w:name w:val="Comment Text Char"/>
    <w:link w:val="CommentText"/>
    <w:semiHidden/>
    <w:rsid w:val="00796A62"/>
    <w:rPr>
      <w:lang w:val="en-GB" w:eastAsia="en-US"/>
    </w:rPr>
  </w:style>
  <w:style w:type="character" w:customStyle="1" w:styleId="CommentSubjectChar">
    <w:name w:val="Comment Subject Char"/>
    <w:link w:val="CommentSubject"/>
    <w:semiHidden/>
    <w:rsid w:val="00796A62"/>
    <w:rPr>
      <w:b/>
      <w:bCs/>
      <w:lang w:val="en-GB" w:eastAsia="en-US"/>
    </w:rPr>
  </w:style>
  <w:style w:type="character" w:customStyle="1" w:styleId="st1">
    <w:name w:val="st1"/>
    <w:basedOn w:val="DefaultParagraphFont"/>
    <w:rsid w:val="002D13E9"/>
  </w:style>
  <w:style w:type="paragraph" w:customStyle="1" w:styleId="Default">
    <w:name w:val="Default"/>
    <w:rsid w:val="00C97CF6"/>
    <w:pPr>
      <w:autoSpaceDE w:val="0"/>
      <w:autoSpaceDN w:val="0"/>
      <w:adjustRightInd w:val="0"/>
    </w:pPr>
    <w:rPr>
      <w:color w:val="000000"/>
      <w:sz w:val="24"/>
      <w:szCs w:val="24"/>
      <w:lang w:val="sv-SE"/>
    </w:rPr>
  </w:style>
  <w:style w:type="character" w:customStyle="1" w:styleId="ttext">
    <w:name w:val="t_text"/>
    <w:basedOn w:val="DefaultParagraphFont"/>
    <w:rsid w:val="00B2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europa.eu/en/publication-detail/-/publication/0a43f880-d612-11e5-a4b5-01aa75ed71a1/language-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0F50-8E76-4CE2-B8A1-530ED31C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1126259</vt:lpstr>
      <vt:lpstr>1126259</vt:lpstr>
      <vt:lpstr>1126259</vt:lpstr>
      <vt:lpstr>1126259</vt:lpstr>
    </vt:vector>
  </TitlesOfParts>
  <Company>CSD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4</cp:revision>
  <cp:lastPrinted>2019-04-25T13:35:00Z</cp:lastPrinted>
  <dcterms:created xsi:type="dcterms:W3CDTF">2019-04-25T13:41:00Z</dcterms:created>
  <dcterms:modified xsi:type="dcterms:W3CDTF">2019-04-29T14:49:00Z</dcterms:modified>
</cp:coreProperties>
</file>