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25" w:rsidRPr="008268C5" w:rsidRDefault="00925C25" w:rsidP="00925C25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925C25" w:rsidRPr="008268C5" w:rsidRDefault="00925C25" w:rsidP="00925C25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925C25" w:rsidRPr="008268C5" w:rsidRDefault="00925C25" w:rsidP="00925C25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925C25" w:rsidRPr="008268C5" w:rsidRDefault="00925C25" w:rsidP="00925C25">
      <w:pPr>
        <w:spacing w:before="120"/>
        <w:rPr>
          <w:b/>
        </w:rPr>
      </w:pPr>
      <w:r>
        <w:rPr>
          <w:b/>
        </w:rPr>
        <w:t>106</w:t>
      </w:r>
      <w:r w:rsidRPr="00963ABB">
        <w:rPr>
          <w:b/>
          <w:vertAlign w:val="superscript"/>
        </w:rPr>
        <w:t>th</w:t>
      </w:r>
      <w:r>
        <w:rPr>
          <w:b/>
        </w:rPr>
        <w:t xml:space="preserve"> </w:t>
      </w:r>
      <w:r w:rsidRPr="008268C5">
        <w:rPr>
          <w:b/>
        </w:rPr>
        <w:t>session</w:t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="00AB10FF">
        <w:rPr>
          <w:b/>
        </w:rPr>
        <w:t>1</w:t>
      </w:r>
      <w:r w:rsidR="00AE6B63">
        <w:rPr>
          <w:b/>
        </w:rPr>
        <w:t>6</w:t>
      </w:r>
      <w:r w:rsidR="00260DE5">
        <w:rPr>
          <w:b/>
        </w:rPr>
        <w:t xml:space="preserve"> </w:t>
      </w:r>
      <w:r w:rsidR="00326872">
        <w:rPr>
          <w:b/>
        </w:rPr>
        <w:t xml:space="preserve">May </w:t>
      </w:r>
      <w:r>
        <w:rPr>
          <w:b/>
        </w:rPr>
        <w:t>2019</w:t>
      </w:r>
    </w:p>
    <w:p w:rsidR="00925C25" w:rsidRPr="00260DE5" w:rsidRDefault="00925C25" w:rsidP="00925C25">
      <w:r w:rsidRPr="00260DE5">
        <w:t>Geneva, 13-17 May 2019</w:t>
      </w:r>
    </w:p>
    <w:p w:rsidR="00925C25" w:rsidRPr="000D1A27" w:rsidRDefault="00925C25" w:rsidP="00925C25">
      <w:r w:rsidRPr="000D1A27">
        <w:t>Item 6 (</w:t>
      </w:r>
      <w:r w:rsidR="00C51175">
        <w:t>b</w:t>
      </w:r>
      <w:r w:rsidRPr="000D1A27">
        <w:t>) of the provisional agenda:</w:t>
      </w:r>
    </w:p>
    <w:p w:rsidR="00925C25" w:rsidRPr="000D1A27" w:rsidRDefault="00925C25" w:rsidP="00925C25">
      <w:pPr>
        <w:rPr>
          <w:b/>
        </w:rPr>
      </w:pPr>
      <w:r w:rsidRPr="000D1A27">
        <w:rPr>
          <w:b/>
        </w:rPr>
        <w:t>Proposals for amendments to annexes A and B of ADR:</w:t>
      </w:r>
    </w:p>
    <w:p w:rsidR="00925C25" w:rsidRPr="00B22295" w:rsidRDefault="00C51175" w:rsidP="00925C25">
      <w:pPr>
        <w:rPr>
          <w:b/>
          <w:bCs/>
        </w:rPr>
      </w:pPr>
      <w:r>
        <w:rPr>
          <w:b/>
          <w:bCs/>
          <w:szCs w:val="24"/>
        </w:rPr>
        <w:t>m</w:t>
      </w:r>
      <w:r w:rsidR="007E47EC">
        <w:rPr>
          <w:b/>
          <w:bCs/>
          <w:szCs w:val="24"/>
        </w:rPr>
        <w:t>iscellaneous Pr</w:t>
      </w:r>
      <w:r w:rsidR="00EF4E86">
        <w:rPr>
          <w:b/>
          <w:bCs/>
          <w:szCs w:val="24"/>
        </w:rPr>
        <w:t>oposals</w:t>
      </w:r>
    </w:p>
    <w:p w:rsidR="00AB10FF" w:rsidRPr="004A301A" w:rsidRDefault="00326872" w:rsidP="00AB10FF">
      <w:pPr>
        <w:pStyle w:val="HChG"/>
        <w:rPr>
          <w:sz w:val="27"/>
          <w:szCs w:val="27"/>
        </w:rPr>
      </w:pPr>
      <w:r>
        <w:tab/>
      </w:r>
      <w:r>
        <w:tab/>
      </w:r>
      <w:r w:rsidR="00B36628">
        <w:t xml:space="preserve">Comments on 2019/11 and INF.12: Cross-sectional shapes of shells in accordance with </w:t>
      </w:r>
      <w:r w:rsidR="0097051A">
        <w:t xml:space="preserve">ADR </w:t>
      </w:r>
      <w:r w:rsidR="00B36628">
        <w:t xml:space="preserve">6.8.2.1.18 - </w:t>
      </w:r>
      <w:r w:rsidR="00EF4E86">
        <w:t xml:space="preserve">Guideline </w:t>
      </w:r>
      <w:r w:rsidR="00B36628" w:rsidRPr="0056720E">
        <w:rPr>
          <w:color w:val="000000" w:themeColor="text1"/>
        </w:rPr>
        <w:t xml:space="preserve">for the application of the </w:t>
      </w:r>
      <w:r w:rsidR="0097051A">
        <w:rPr>
          <w:color w:val="000000" w:themeColor="text1"/>
        </w:rPr>
        <w:t>3</w:t>
      </w:r>
      <w:r w:rsidR="0097051A" w:rsidRPr="0097051A">
        <w:rPr>
          <w:color w:val="000000" w:themeColor="text1"/>
          <w:vertAlign w:val="superscript"/>
        </w:rPr>
        <w:t>rd</w:t>
      </w:r>
      <w:r w:rsidR="00B36628" w:rsidRPr="0056720E">
        <w:rPr>
          <w:color w:val="000000" w:themeColor="text1"/>
        </w:rPr>
        <w:t xml:space="preserve"> sentence in footnote 3 </w:t>
      </w:r>
      <w:r w:rsidR="0097051A">
        <w:rPr>
          <w:color w:val="000000" w:themeColor="text1"/>
        </w:rPr>
        <w:t>of</w:t>
      </w:r>
      <w:r w:rsidR="00B36628" w:rsidRPr="0056720E">
        <w:rPr>
          <w:color w:val="000000" w:themeColor="text1"/>
        </w:rPr>
        <w:t xml:space="preserve"> </w:t>
      </w:r>
      <w:r w:rsidR="0097051A">
        <w:rPr>
          <w:color w:val="000000" w:themeColor="text1"/>
        </w:rPr>
        <w:t xml:space="preserve">ADR </w:t>
      </w:r>
      <w:r w:rsidR="00B36628" w:rsidRPr="0056720E">
        <w:rPr>
          <w:color w:val="000000" w:themeColor="text1"/>
        </w:rPr>
        <w:t>6.8.2.1.18</w:t>
      </w:r>
    </w:p>
    <w:p w:rsidR="00AB10FF" w:rsidRDefault="00AB10FF" w:rsidP="004D23B2">
      <w:pPr>
        <w:pStyle w:val="H1G"/>
      </w:pPr>
      <w:r>
        <w:tab/>
      </w:r>
      <w:r>
        <w:tab/>
      </w:r>
      <w:r w:rsidRPr="00A16F6A">
        <w:t>Transmit</w:t>
      </w:r>
      <w:r w:rsidR="00D21758">
        <w:t>ted by the Government of the United Kingdom</w:t>
      </w:r>
    </w:p>
    <w:p w:rsidR="00EF4E86" w:rsidRPr="00D21758" w:rsidRDefault="004D23B2" w:rsidP="004D23B2">
      <w:pPr>
        <w:pStyle w:val="SingleTxtG"/>
      </w:pPr>
      <w:r>
        <w:t>1.</w:t>
      </w:r>
      <w:r>
        <w:tab/>
      </w:r>
      <w:r w:rsidR="00AE6B63">
        <w:t>During the discussion on 2019/11 and INF.12 at the 106</w:t>
      </w:r>
      <w:r w:rsidR="00AE6B63" w:rsidRPr="00AE6B63">
        <w:rPr>
          <w:vertAlign w:val="superscript"/>
        </w:rPr>
        <w:t>th</w:t>
      </w:r>
      <w:r w:rsidR="00AE6B63">
        <w:t xml:space="preserve"> session of the Working Party on the Transport of Dangero</w:t>
      </w:r>
      <w:r w:rsidR="006B3ADE">
        <w:t xml:space="preserve">us Goods it was decided that a guideline should be put in place alongside the proposal in 2019/11 for consideration at the autumn session of the Joint Meeting. </w:t>
      </w:r>
      <w:r w:rsidR="000D34E0">
        <w:t>To</w:t>
      </w:r>
      <w:r w:rsidR="006B3ADE">
        <w:t xml:space="preserve"> respect the concerns expressed in INF.12 </w:t>
      </w:r>
      <w:r w:rsidR="000D34E0">
        <w:t xml:space="preserve">the guideline </w:t>
      </w:r>
      <w:proofErr w:type="gramStart"/>
      <w:r w:rsidR="000D34E0">
        <w:t xml:space="preserve">would </w:t>
      </w:r>
      <w:r w:rsidR="006B3ADE">
        <w:t xml:space="preserve"> </w:t>
      </w:r>
      <w:r w:rsidR="000D34E0">
        <w:t>contain</w:t>
      </w:r>
      <w:proofErr w:type="gramEnd"/>
      <w:r w:rsidR="000D34E0">
        <w:t xml:space="preserve"> </w:t>
      </w:r>
      <w:r w:rsidR="006B3ADE">
        <w:t xml:space="preserve">the </w:t>
      </w:r>
      <w:r w:rsidR="000D34E0">
        <w:t xml:space="preserve">relevant </w:t>
      </w:r>
      <w:r w:rsidR="006B3ADE">
        <w:t xml:space="preserve">requirements set out in the enquiry version of the revised standard EN 13094:2019 as agreed by the members of CEN/RC 296/WG2, </w:t>
      </w:r>
      <w:r w:rsidR="000D34E0">
        <w:t xml:space="preserve">at </w:t>
      </w:r>
      <w:r w:rsidR="006B3ADE">
        <w:t>which a number the Contracting Parties</w:t>
      </w:r>
      <w:r w:rsidR="000D34E0">
        <w:t xml:space="preserve"> are represented</w:t>
      </w:r>
      <w:r w:rsidR="006B3ADE">
        <w:t>.</w:t>
      </w:r>
      <w:r w:rsidR="000D34E0">
        <w:t xml:space="preserve"> In this way it would be possible to introduce the proposal in 2019/11 as had already been agreed, irrespective of whether the new standard is published before the deadline of 1 June 2020 to be recognised in the 2021 edition of ADR.</w:t>
      </w:r>
      <w:r w:rsidR="006B3ADE">
        <w:t xml:space="preserve"> </w:t>
      </w:r>
    </w:p>
    <w:p w:rsidR="0055338D" w:rsidRPr="0056720E" w:rsidRDefault="004D23B2" w:rsidP="004D23B2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0D34E0">
        <w:rPr>
          <w:lang w:val="en-US"/>
        </w:rPr>
        <w:t>In accordance with the enquiry version of the standard, the</w:t>
      </w:r>
      <w:r w:rsidR="0055338D" w:rsidRPr="0056720E">
        <w:rPr>
          <w:lang w:val="en-US"/>
        </w:rPr>
        <w:t xml:space="preserve"> guideline </w:t>
      </w:r>
      <w:r w:rsidR="000D34E0">
        <w:rPr>
          <w:lang w:val="en-US"/>
        </w:rPr>
        <w:t>would read</w:t>
      </w:r>
      <w:r w:rsidR="0055338D" w:rsidRPr="0056720E">
        <w:rPr>
          <w:lang w:val="en-US"/>
        </w:rPr>
        <w:t>:</w:t>
      </w:r>
    </w:p>
    <w:p w:rsidR="007E47EC" w:rsidRPr="0056720E" w:rsidRDefault="00D21758" w:rsidP="004D23B2">
      <w:pPr>
        <w:pStyle w:val="SingleTxtG"/>
        <w:ind w:left="1701"/>
        <w:rPr>
          <w:lang w:eastAsia="de-DE"/>
        </w:rPr>
      </w:pPr>
      <w:r>
        <w:t>“</w:t>
      </w:r>
      <w:r w:rsidR="007E47EC" w:rsidRPr="0056720E">
        <w:t xml:space="preserve">Guideline for the application of the </w:t>
      </w:r>
      <w:r w:rsidR="0097051A">
        <w:t>3</w:t>
      </w:r>
      <w:r w:rsidR="0097051A" w:rsidRPr="0097051A">
        <w:rPr>
          <w:vertAlign w:val="superscript"/>
        </w:rPr>
        <w:t>rd</w:t>
      </w:r>
      <w:r w:rsidR="007E47EC" w:rsidRPr="0056720E">
        <w:t xml:space="preserve"> sentence in footnote 3 </w:t>
      </w:r>
      <w:r w:rsidR="0097051A">
        <w:t>of ADR</w:t>
      </w:r>
      <w:r w:rsidR="007E47EC" w:rsidRPr="0056720E">
        <w:t xml:space="preserve"> 6.8.2.1.18</w:t>
      </w:r>
    </w:p>
    <w:p w:rsidR="007E47EC" w:rsidRPr="0056720E" w:rsidRDefault="007E47EC" w:rsidP="004D23B2">
      <w:pPr>
        <w:pStyle w:val="SingleTxtG"/>
        <w:ind w:left="1701"/>
      </w:pPr>
      <w:proofErr w:type="gramStart"/>
      <w:r w:rsidRPr="0056720E">
        <w:t>In order to</w:t>
      </w:r>
      <w:proofErr w:type="gramEnd"/>
      <w:r w:rsidRPr="0056720E">
        <w:t xml:space="preserve"> provide safe construction for the safe use of tanks </w:t>
      </w:r>
      <w:r w:rsidR="000D34E0">
        <w:t xml:space="preserve">in accordance with </w:t>
      </w:r>
      <w:r w:rsidR="000D34E0" w:rsidRPr="0056720E">
        <w:t xml:space="preserve">the </w:t>
      </w:r>
      <w:r w:rsidR="000D34E0">
        <w:t>3</w:t>
      </w:r>
      <w:r w:rsidR="000D34E0" w:rsidRPr="0097051A">
        <w:rPr>
          <w:vertAlign w:val="superscript"/>
        </w:rPr>
        <w:t>rd</w:t>
      </w:r>
      <w:r w:rsidR="000D34E0" w:rsidRPr="0056720E">
        <w:t xml:space="preserve"> sentence in footnote 3 </w:t>
      </w:r>
      <w:r w:rsidR="000D34E0">
        <w:t>of ADR</w:t>
      </w:r>
      <w:r w:rsidR="000D34E0" w:rsidRPr="0056720E">
        <w:t xml:space="preserve"> 6.8.2.1.18</w:t>
      </w:r>
      <w:r w:rsidR="00D0508B">
        <w:t xml:space="preserve">, </w:t>
      </w:r>
      <w:r w:rsidRPr="0056720E">
        <w:t xml:space="preserve">the requirements foreseen by </w:t>
      </w:r>
      <w:proofErr w:type="spellStart"/>
      <w:r w:rsidRPr="0056720E">
        <w:t>prEN</w:t>
      </w:r>
      <w:proofErr w:type="spellEnd"/>
      <w:r w:rsidRPr="0056720E">
        <w:t xml:space="preserve"> 13094:2019 to be re</w:t>
      </w:r>
      <w:r w:rsidR="00D0508B">
        <w:t xml:space="preserve">cognised </w:t>
      </w:r>
      <w:r w:rsidRPr="0056720E">
        <w:t>in ADR 6.8.2.6.2 are reproduced below for the purpose of design and construction of t</w:t>
      </w:r>
      <w:r w:rsidR="00D21758">
        <w:t>anks according to ADR 6.8.2.1:</w:t>
      </w:r>
    </w:p>
    <w:p w:rsidR="002E1FA5" w:rsidRPr="0056720E" w:rsidRDefault="002E1FA5" w:rsidP="004D23B2">
      <w:pPr>
        <w:pStyle w:val="SingleTxtG"/>
        <w:ind w:left="1701"/>
        <w:rPr>
          <w:lang w:eastAsia="de-DE"/>
        </w:rPr>
      </w:pPr>
      <w:r w:rsidRPr="0056720E">
        <w:rPr>
          <w:lang w:eastAsia="de-DE"/>
        </w:rPr>
        <w:t>1.</w:t>
      </w:r>
      <w:r w:rsidR="00E06C45" w:rsidRPr="0056720E">
        <w:rPr>
          <w:lang w:eastAsia="de-DE"/>
        </w:rPr>
        <w:tab/>
      </w:r>
      <w:r w:rsidR="0055338D" w:rsidRPr="0056720E">
        <w:rPr>
          <w:lang w:eastAsia="de-DE"/>
        </w:rPr>
        <w:t>Shell cross section</w:t>
      </w:r>
    </w:p>
    <w:p w:rsidR="002E1FA5" w:rsidRPr="0056720E" w:rsidRDefault="0055338D" w:rsidP="004D23B2">
      <w:pPr>
        <w:pStyle w:val="SingleTxtG"/>
        <w:ind w:left="1701"/>
        <w:rPr>
          <w:color w:val="000000" w:themeColor="text1"/>
          <w:lang w:eastAsia="de-DE"/>
        </w:rPr>
      </w:pPr>
      <w:r w:rsidRPr="0056720E">
        <w:rPr>
          <w:color w:val="000000" w:themeColor="text1"/>
          <w:lang w:eastAsia="de-DE"/>
        </w:rPr>
        <w:t>1.1</w:t>
      </w:r>
      <w:r w:rsidR="00E06C45" w:rsidRPr="0056720E">
        <w:rPr>
          <w:color w:val="000000" w:themeColor="text1"/>
          <w:lang w:eastAsia="de-DE"/>
        </w:rPr>
        <w:tab/>
      </w:r>
      <w:r w:rsidRPr="0056720E">
        <w:rPr>
          <w:color w:val="000000" w:themeColor="text1"/>
          <w:lang w:eastAsia="de-DE"/>
        </w:rPr>
        <w:t>General</w:t>
      </w:r>
    </w:p>
    <w:p w:rsidR="0055338D" w:rsidRPr="0056720E" w:rsidRDefault="0055338D" w:rsidP="004D23B2">
      <w:pPr>
        <w:suppressAutoHyphens w:val="0"/>
        <w:spacing w:line="240" w:lineRule="auto"/>
        <w:ind w:left="2268" w:right="1134"/>
        <w:jc w:val="both"/>
        <w:rPr>
          <w:color w:val="000000" w:themeColor="text1"/>
          <w:lang w:eastAsia="de-DE"/>
        </w:rPr>
      </w:pPr>
      <w:r w:rsidRPr="0056720E">
        <w:rPr>
          <w:color w:val="000000" w:themeColor="text1"/>
          <w:lang w:eastAsia="de-DE"/>
        </w:rPr>
        <w:t>A shell may have a circular, elliptical or other cross section shape (including box-shaped) or combinations thereof, as defined in EN14564.</w:t>
      </w:r>
      <w:r w:rsidRPr="0056720E">
        <w:rPr>
          <w:color w:val="000000" w:themeColor="text1"/>
          <w:lang w:eastAsia="de-DE"/>
        </w:rPr>
        <w:br/>
        <w:t>Where a combination of shapes is used for a cross section, the required minimum thickness for the whole cross section at that point according to 6.8.1 shall be the greatest minimum thickness required for the shapes used.</w:t>
      </w:r>
    </w:p>
    <w:p w:rsidR="002E1FA5" w:rsidRPr="0056720E" w:rsidRDefault="00E06C45" w:rsidP="004D23B2">
      <w:pPr>
        <w:pStyle w:val="SingleTxtG"/>
        <w:spacing w:before="120"/>
        <w:ind w:left="1701"/>
        <w:rPr>
          <w:color w:val="000000" w:themeColor="text1"/>
          <w:lang w:eastAsia="de-DE"/>
        </w:rPr>
      </w:pPr>
      <w:r w:rsidRPr="0056720E">
        <w:rPr>
          <w:color w:val="000000" w:themeColor="text1"/>
          <w:lang w:eastAsia="de-DE"/>
        </w:rPr>
        <w:t>1.2</w:t>
      </w:r>
      <w:r w:rsidRPr="0056720E">
        <w:rPr>
          <w:color w:val="000000" w:themeColor="text1"/>
          <w:lang w:eastAsia="de-DE"/>
        </w:rPr>
        <w:tab/>
      </w:r>
      <w:r w:rsidR="0055338D" w:rsidRPr="0056720E">
        <w:rPr>
          <w:color w:val="000000" w:themeColor="text1"/>
          <w:lang w:eastAsia="de-DE"/>
        </w:rPr>
        <w:t>Requirements for shells of non-circular cross section</w:t>
      </w:r>
    </w:p>
    <w:p w:rsidR="002E1FA5" w:rsidRPr="0056720E" w:rsidRDefault="002E1FA5" w:rsidP="004D23B2">
      <w:pPr>
        <w:pStyle w:val="ListParagraph"/>
        <w:numPr>
          <w:ilvl w:val="0"/>
          <w:numId w:val="42"/>
        </w:numPr>
        <w:spacing w:line="240" w:lineRule="auto"/>
        <w:ind w:left="2268" w:right="1134" w:firstLine="0"/>
        <w:rPr>
          <w:rFonts w:ascii="Times New Roman" w:hAnsi="Times New Roman"/>
          <w:color w:val="000000" w:themeColor="text1"/>
          <w:sz w:val="20"/>
          <w:szCs w:val="20"/>
          <w:lang w:eastAsia="de-DE"/>
        </w:rPr>
      </w:pPr>
      <w:r w:rsidRPr="0056720E">
        <w:rPr>
          <w:rFonts w:ascii="Times New Roman" w:hAnsi="Times New Roman"/>
          <w:color w:val="000000" w:themeColor="text1"/>
          <w:sz w:val="20"/>
          <w:szCs w:val="20"/>
          <w:lang w:eastAsia="de-DE"/>
        </w:rPr>
        <w:t>The</w:t>
      </w:r>
      <w:r w:rsidR="0055338D" w:rsidRPr="0056720E">
        <w:rPr>
          <w:rFonts w:ascii="Times New Roman" w:hAnsi="Times New Roman"/>
          <w:color w:val="000000" w:themeColor="text1"/>
          <w:sz w:val="20"/>
          <w:szCs w:val="20"/>
          <w:lang w:eastAsia="de-DE"/>
        </w:rPr>
        <w:t xml:space="preserve"> radius of convexity of the shell wall shall not exceed 2 m at the sides and 3 m radius at the top </w:t>
      </w:r>
      <w:proofErr w:type="spellStart"/>
      <w:r w:rsidR="0055338D" w:rsidRPr="0056720E">
        <w:rPr>
          <w:rFonts w:ascii="Times New Roman" w:hAnsi="Times New Roman"/>
          <w:color w:val="000000" w:themeColor="text1"/>
          <w:sz w:val="20"/>
          <w:szCs w:val="20"/>
          <w:lang w:eastAsia="de-DE"/>
        </w:rPr>
        <w:t>and</w:t>
      </w:r>
      <w:proofErr w:type="spellEnd"/>
      <w:r w:rsidR="0055338D" w:rsidRPr="0056720E">
        <w:rPr>
          <w:rFonts w:ascii="Times New Roman" w:hAnsi="Times New Roman"/>
          <w:color w:val="000000" w:themeColor="text1"/>
          <w:sz w:val="20"/>
          <w:szCs w:val="20"/>
          <w:lang w:eastAsia="de-DE"/>
        </w:rPr>
        <w:t xml:space="preserve"> </w:t>
      </w:r>
      <w:proofErr w:type="spellStart"/>
      <w:r w:rsidR="0055338D" w:rsidRPr="0056720E">
        <w:rPr>
          <w:rFonts w:ascii="Times New Roman" w:hAnsi="Times New Roman"/>
          <w:color w:val="000000" w:themeColor="text1"/>
          <w:sz w:val="20"/>
          <w:szCs w:val="20"/>
          <w:lang w:eastAsia="de-DE"/>
        </w:rPr>
        <w:t>the</w:t>
      </w:r>
      <w:proofErr w:type="spellEnd"/>
      <w:r w:rsidR="0055338D" w:rsidRPr="0056720E">
        <w:rPr>
          <w:rFonts w:ascii="Times New Roman" w:hAnsi="Times New Roman"/>
          <w:color w:val="000000" w:themeColor="text1"/>
          <w:sz w:val="20"/>
          <w:szCs w:val="20"/>
          <w:lang w:eastAsia="de-DE"/>
        </w:rPr>
        <w:t xml:space="preserve"> </w:t>
      </w:r>
      <w:proofErr w:type="spellStart"/>
      <w:r w:rsidR="0055338D" w:rsidRPr="0056720E">
        <w:rPr>
          <w:rFonts w:ascii="Times New Roman" w:hAnsi="Times New Roman"/>
          <w:color w:val="000000" w:themeColor="text1"/>
          <w:sz w:val="20"/>
          <w:szCs w:val="20"/>
          <w:lang w:eastAsia="de-DE"/>
        </w:rPr>
        <w:t>bottom</w:t>
      </w:r>
      <w:proofErr w:type="spellEnd"/>
      <w:r w:rsidR="0055338D" w:rsidRPr="0056720E">
        <w:rPr>
          <w:rFonts w:ascii="Times New Roman" w:hAnsi="Times New Roman"/>
          <w:color w:val="000000" w:themeColor="text1"/>
          <w:sz w:val="20"/>
          <w:szCs w:val="20"/>
          <w:lang w:eastAsia="de-DE"/>
        </w:rPr>
        <w:t>;</w:t>
      </w:r>
    </w:p>
    <w:p w:rsidR="0055338D" w:rsidRPr="0056720E" w:rsidRDefault="0055338D" w:rsidP="004D23B2">
      <w:pPr>
        <w:suppressAutoHyphens w:val="0"/>
        <w:spacing w:line="240" w:lineRule="auto"/>
        <w:ind w:left="2268" w:right="1134"/>
        <w:rPr>
          <w:color w:val="000000" w:themeColor="text1"/>
          <w:lang w:eastAsia="de-DE"/>
        </w:rPr>
      </w:pPr>
      <w:r w:rsidRPr="0056720E">
        <w:rPr>
          <w:color w:val="000000" w:themeColor="text1"/>
          <w:lang w:eastAsia="de-DE"/>
        </w:rPr>
        <w:t>b)</w:t>
      </w:r>
      <w:r w:rsidR="004D23B2">
        <w:rPr>
          <w:color w:val="000000" w:themeColor="text1"/>
          <w:lang w:eastAsia="de-DE"/>
        </w:rPr>
        <w:tab/>
      </w:r>
      <w:r w:rsidR="002E1FA5" w:rsidRPr="0056720E">
        <w:rPr>
          <w:color w:val="000000" w:themeColor="text1"/>
          <w:lang w:eastAsia="de-DE"/>
        </w:rPr>
        <w:t>There</w:t>
      </w:r>
      <w:r w:rsidRPr="0056720E">
        <w:rPr>
          <w:color w:val="000000" w:themeColor="text1"/>
          <w:lang w:eastAsia="de-DE"/>
        </w:rPr>
        <w:t xml:space="preserve"> shall be a minimum radius of 200 mm linking the top/bottom and side convexities.</w:t>
      </w:r>
      <w:r w:rsidRPr="0056720E">
        <w:rPr>
          <w:color w:val="000000" w:themeColor="text1"/>
          <w:lang w:eastAsia="de-DE"/>
        </w:rPr>
        <w:br/>
        <w:t>NOTE 6.8.1 provides a calculation for an equivalent diameter to be calculated.</w:t>
      </w:r>
    </w:p>
    <w:p w:rsidR="0056720E" w:rsidRPr="0056720E" w:rsidRDefault="0055338D" w:rsidP="004D23B2">
      <w:pPr>
        <w:pStyle w:val="SingleTxtG"/>
        <w:ind w:left="1701"/>
        <w:rPr>
          <w:lang w:eastAsia="de-DE"/>
        </w:rPr>
      </w:pPr>
      <w:r w:rsidRPr="0056720E">
        <w:rPr>
          <w:lang w:eastAsia="de-DE"/>
        </w:rPr>
        <w:t>1.3</w:t>
      </w:r>
      <w:r w:rsidR="00E06C45" w:rsidRPr="0056720E">
        <w:rPr>
          <w:lang w:eastAsia="de-DE"/>
        </w:rPr>
        <w:tab/>
      </w:r>
      <w:r w:rsidRPr="0056720E">
        <w:rPr>
          <w:lang w:eastAsia="de-DE"/>
        </w:rPr>
        <w:t>Sumps and other projections outside the shell</w:t>
      </w:r>
    </w:p>
    <w:p w:rsidR="0055338D" w:rsidRPr="0056720E" w:rsidRDefault="00E06C45" w:rsidP="004D23B2">
      <w:pPr>
        <w:pStyle w:val="SingleTxtG"/>
        <w:ind w:left="2268" w:hanging="567"/>
        <w:rPr>
          <w:lang w:eastAsia="de-DE"/>
        </w:rPr>
      </w:pPr>
      <w:r w:rsidRPr="0056720E">
        <w:rPr>
          <w:lang w:eastAsia="de-DE"/>
        </w:rPr>
        <w:t>1.3.1</w:t>
      </w:r>
      <w:r w:rsidRPr="0056720E">
        <w:rPr>
          <w:lang w:eastAsia="de-DE"/>
        </w:rPr>
        <w:tab/>
      </w:r>
      <w:r w:rsidR="0055338D" w:rsidRPr="0056720E">
        <w:rPr>
          <w:lang w:eastAsia="de-DE"/>
        </w:rPr>
        <w:t xml:space="preserve">Projections outside the basic cross-section of a shell shall be kept to a minimum and </w:t>
      </w:r>
      <w:r w:rsidR="0056720E" w:rsidRPr="0056720E">
        <w:rPr>
          <w:lang w:eastAsia="de-DE"/>
        </w:rPr>
        <w:t xml:space="preserve">protection </w:t>
      </w:r>
      <w:r w:rsidR="0055338D" w:rsidRPr="0056720E">
        <w:rPr>
          <w:lang w:eastAsia="de-DE"/>
        </w:rPr>
        <w:t xml:space="preserve">shall be provided from all directions on the shell unless it is provided by vehicle </w:t>
      </w:r>
      <w:r w:rsidR="0056720E" w:rsidRPr="0056720E">
        <w:rPr>
          <w:lang w:eastAsia="de-DE"/>
        </w:rPr>
        <w:t xml:space="preserve">components </w:t>
      </w:r>
      <w:r w:rsidR="0055338D" w:rsidRPr="0056720E">
        <w:rPr>
          <w:lang w:eastAsia="de-DE"/>
        </w:rPr>
        <w:t>(e.g. chassis members, susp</w:t>
      </w:r>
      <w:r w:rsidR="0056720E" w:rsidRPr="0056720E">
        <w:rPr>
          <w:lang w:eastAsia="de-DE"/>
        </w:rPr>
        <w:t xml:space="preserve">ension components, axles, etc.). </w:t>
      </w:r>
      <w:r w:rsidR="0055338D" w:rsidRPr="0056720E">
        <w:rPr>
          <w:lang w:eastAsia="de-DE"/>
        </w:rPr>
        <w:t xml:space="preserve">The cross-sectional area of each projection shall not exceed 10 % of the cross-sectional area of the shell at that point without the projection. When the projection is not protected, the </w:t>
      </w:r>
      <w:r w:rsidR="00F1711C">
        <w:rPr>
          <w:lang w:eastAsia="de-DE"/>
        </w:rPr>
        <w:t>thickness shall</w:t>
      </w:r>
      <w:r w:rsidR="0055338D" w:rsidRPr="0056720E">
        <w:rPr>
          <w:lang w:eastAsia="de-DE"/>
        </w:rPr>
        <w:t xml:space="preserve"> not be less than the thickness specified for the shell given in 6.8.1. When the projection is protected, the thickness shall be the same thickness as the shell.</w:t>
      </w:r>
    </w:p>
    <w:p w:rsidR="002E1FA5" w:rsidRPr="0056720E" w:rsidRDefault="0055338D" w:rsidP="004D23B2">
      <w:pPr>
        <w:pStyle w:val="SingleTxtG"/>
        <w:ind w:left="2268" w:hanging="567"/>
        <w:rPr>
          <w:lang w:eastAsia="de-DE"/>
        </w:rPr>
      </w:pPr>
      <w:r w:rsidRPr="0056720E">
        <w:rPr>
          <w:lang w:eastAsia="de-DE"/>
        </w:rPr>
        <w:t xml:space="preserve">1.3.2 </w:t>
      </w:r>
      <w:r w:rsidR="00A16F6A" w:rsidRPr="0056720E">
        <w:rPr>
          <w:lang w:eastAsia="de-DE"/>
        </w:rPr>
        <w:tab/>
      </w:r>
      <w:r w:rsidRPr="0056720E">
        <w:rPr>
          <w:lang w:eastAsia="de-DE"/>
        </w:rPr>
        <w:t xml:space="preserve">Shells and their compartments may be provided with sumps and/or internal channelling </w:t>
      </w:r>
      <w:proofErr w:type="gramStart"/>
      <w:r w:rsidRPr="0056720E">
        <w:rPr>
          <w:lang w:eastAsia="de-DE"/>
        </w:rPr>
        <w:t xml:space="preserve">in </w:t>
      </w:r>
      <w:r w:rsidR="0056720E" w:rsidRPr="0056720E">
        <w:rPr>
          <w:lang w:eastAsia="de-DE"/>
        </w:rPr>
        <w:t xml:space="preserve">order </w:t>
      </w:r>
      <w:r w:rsidRPr="0056720E">
        <w:rPr>
          <w:lang w:eastAsia="de-DE"/>
        </w:rPr>
        <w:t>to</w:t>
      </w:r>
      <w:proofErr w:type="gramEnd"/>
      <w:r w:rsidRPr="0056720E">
        <w:rPr>
          <w:lang w:eastAsia="de-DE"/>
        </w:rPr>
        <w:t>:</w:t>
      </w:r>
    </w:p>
    <w:p w:rsidR="00E06C45" w:rsidRPr="0056720E" w:rsidRDefault="0055338D" w:rsidP="00610F63">
      <w:pPr>
        <w:pStyle w:val="ListParagraph"/>
        <w:numPr>
          <w:ilvl w:val="0"/>
          <w:numId w:val="37"/>
        </w:numPr>
        <w:spacing w:after="0" w:line="240" w:lineRule="auto"/>
        <w:ind w:left="2835" w:right="1134" w:hanging="567"/>
        <w:rPr>
          <w:rFonts w:ascii="Times New Roman" w:hAnsi="Times New Roman"/>
          <w:sz w:val="20"/>
          <w:szCs w:val="20"/>
          <w:lang w:eastAsia="de-DE"/>
        </w:rPr>
      </w:pPr>
      <w:proofErr w:type="gramStart"/>
      <w:r w:rsidRPr="0056720E">
        <w:rPr>
          <w:rFonts w:ascii="Times New Roman" w:hAnsi="Times New Roman"/>
          <w:sz w:val="20"/>
          <w:szCs w:val="20"/>
          <w:lang w:eastAsia="de-DE"/>
        </w:rPr>
        <w:t>assist</w:t>
      </w:r>
      <w:proofErr w:type="gram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the complete discharge of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the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substance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carried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>;</w:t>
      </w:r>
    </w:p>
    <w:p w:rsidR="00E06C45" w:rsidRPr="0056720E" w:rsidRDefault="00E06C45" w:rsidP="00610F63">
      <w:pPr>
        <w:pStyle w:val="ListParagraph"/>
        <w:numPr>
          <w:ilvl w:val="0"/>
          <w:numId w:val="37"/>
        </w:numPr>
        <w:spacing w:after="0" w:line="240" w:lineRule="auto"/>
        <w:ind w:left="2835" w:right="1134" w:hanging="567"/>
        <w:rPr>
          <w:rFonts w:ascii="Times New Roman" w:hAnsi="Times New Roman"/>
          <w:sz w:val="20"/>
          <w:szCs w:val="20"/>
          <w:lang w:eastAsia="de-DE"/>
        </w:rPr>
      </w:pPr>
      <w:proofErr w:type="gramStart"/>
      <w:r w:rsidRPr="0056720E">
        <w:rPr>
          <w:rFonts w:ascii="Times New Roman" w:hAnsi="Times New Roman"/>
          <w:sz w:val="20"/>
          <w:szCs w:val="20"/>
          <w:lang w:eastAsia="de-DE"/>
        </w:rPr>
        <w:t>facilitate</w:t>
      </w:r>
      <w:proofErr w:type="gram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the removal of entrained water from the substance carried; or</w:t>
      </w:r>
    </w:p>
    <w:p w:rsidR="00E06C45" w:rsidRPr="0056720E" w:rsidRDefault="00E06C45" w:rsidP="00610F63">
      <w:pPr>
        <w:pStyle w:val="ListParagraph"/>
        <w:numPr>
          <w:ilvl w:val="0"/>
          <w:numId w:val="37"/>
        </w:numPr>
        <w:spacing w:after="120" w:line="240" w:lineRule="auto"/>
        <w:ind w:left="2835" w:right="1134" w:hanging="567"/>
        <w:rPr>
          <w:rFonts w:ascii="Times New Roman" w:hAnsi="Times New Roman"/>
          <w:sz w:val="20"/>
          <w:szCs w:val="20"/>
          <w:lang w:eastAsia="de-DE"/>
        </w:rPr>
      </w:pPr>
      <w:proofErr w:type="gramStart"/>
      <w:r w:rsidRPr="0056720E">
        <w:rPr>
          <w:rFonts w:ascii="Times New Roman" w:hAnsi="Times New Roman"/>
          <w:sz w:val="20"/>
          <w:szCs w:val="20"/>
          <w:lang w:eastAsia="de-DE"/>
        </w:rPr>
        <w:t>locate</w:t>
      </w:r>
      <w:proofErr w:type="gram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a foot valve away from an area where there exists a risk of damage, for example near the coupling section on a semi-trailer.</w:t>
      </w:r>
    </w:p>
    <w:p w:rsidR="0055338D" w:rsidRPr="0056720E" w:rsidRDefault="0055338D" w:rsidP="00583857">
      <w:pPr>
        <w:suppressAutoHyphens w:val="0"/>
        <w:spacing w:line="240" w:lineRule="auto"/>
        <w:ind w:left="2268" w:right="1134"/>
        <w:rPr>
          <w:lang w:eastAsia="de-DE"/>
        </w:rPr>
      </w:pPr>
      <w:r w:rsidRPr="0056720E">
        <w:rPr>
          <w:lang w:eastAsia="de-DE"/>
        </w:rPr>
        <w:t>Sumps shall not protrude more than 150 mm from the contour of the shell.</w:t>
      </w:r>
    </w:p>
    <w:p w:rsidR="002E1FA5" w:rsidRPr="0056720E" w:rsidRDefault="0055338D" w:rsidP="00583857">
      <w:pPr>
        <w:suppressAutoHyphens w:val="0"/>
        <w:spacing w:line="240" w:lineRule="auto"/>
        <w:ind w:left="2268" w:right="1134"/>
        <w:rPr>
          <w:lang w:eastAsia="de-DE"/>
        </w:rPr>
      </w:pPr>
      <w:r w:rsidRPr="0056720E">
        <w:rPr>
          <w:lang w:eastAsia="de-DE"/>
        </w:rPr>
        <w:t>Internal channelling and sumps shall be manufactured from the same material as the shell to which they are fitted; flat material may be used. Their minimum thickness shall be at least equal to that of the shell as given in 6.8.2.1.</w:t>
      </w:r>
    </w:p>
    <w:p w:rsidR="0055338D" w:rsidRPr="0056720E" w:rsidRDefault="0055338D" w:rsidP="00583857">
      <w:pPr>
        <w:suppressAutoHyphens w:val="0"/>
        <w:spacing w:before="120" w:after="120" w:line="240" w:lineRule="auto"/>
        <w:ind w:left="2268" w:right="1134"/>
        <w:rPr>
          <w:lang w:eastAsia="de-DE"/>
        </w:rPr>
      </w:pPr>
      <w:r w:rsidRPr="0056720E">
        <w:rPr>
          <w:lang w:eastAsia="de-DE"/>
        </w:rPr>
        <w:t>A sump may consist of a vertical cylindrical section combined with internal or external channelling sections to lower the mounting flange of the foot valve.</w:t>
      </w:r>
    </w:p>
    <w:p w:rsidR="0056720E" w:rsidRPr="0056720E" w:rsidRDefault="00E06C45" w:rsidP="00610F63">
      <w:pPr>
        <w:pStyle w:val="SingleTxtG"/>
        <w:ind w:left="2268" w:hanging="567"/>
        <w:rPr>
          <w:lang w:eastAsia="de-DE"/>
        </w:rPr>
      </w:pPr>
      <w:r w:rsidRPr="0056720E">
        <w:rPr>
          <w:lang w:eastAsia="de-DE"/>
        </w:rPr>
        <w:t>1.4</w:t>
      </w:r>
      <w:r w:rsidRPr="0056720E">
        <w:rPr>
          <w:lang w:eastAsia="de-DE"/>
        </w:rPr>
        <w:tab/>
      </w:r>
      <w:r w:rsidR="00A16F6A" w:rsidRPr="0056720E">
        <w:rPr>
          <w:lang w:eastAsia="de-DE"/>
        </w:rPr>
        <w:tab/>
      </w:r>
      <w:r w:rsidR="0055338D" w:rsidRPr="0056720E">
        <w:rPr>
          <w:lang w:eastAsia="de-DE"/>
        </w:rPr>
        <w:t xml:space="preserve">Cut-out sections within the contour </w:t>
      </w:r>
      <w:r w:rsidR="0056720E" w:rsidRPr="0056720E">
        <w:rPr>
          <w:lang w:eastAsia="de-DE"/>
        </w:rPr>
        <w:t>of a side or bottom of the shell</w:t>
      </w:r>
    </w:p>
    <w:p w:rsidR="002E1FA5" w:rsidRPr="0056720E" w:rsidRDefault="00610F63" w:rsidP="004D23B2">
      <w:pPr>
        <w:pStyle w:val="SingleTxtG"/>
        <w:ind w:left="1701"/>
        <w:rPr>
          <w:lang w:eastAsia="de-DE"/>
        </w:rPr>
      </w:pPr>
      <w:r>
        <w:rPr>
          <w:lang w:eastAsia="de-DE"/>
        </w:rPr>
        <w:t>1.4.1</w:t>
      </w:r>
      <w:r>
        <w:rPr>
          <w:lang w:eastAsia="de-DE"/>
        </w:rPr>
        <w:tab/>
      </w:r>
      <w:r w:rsidR="0055338D" w:rsidRPr="0056720E">
        <w:rPr>
          <w:lang w:eastAsia="de-DE"/>
        </w:rPr>
        <w:t>Side cut-outs to accommodate service equipment</w:t>
      </w:r>
    </w:p>
    <w:p w:rsidR="00E06C45" w:rsidRPr="0056720E" w:rsidRDefault="0055338D" w:rsidP="00610F63">
      <w:pPr>
        <w:suppressAutoHyphens w:val="0"/>
        <w:spacing w:after="120" w:line="240" w:lineRule="auto"/>
        <w:ind w:left="2268" w:right="1134"/>
        <w:rPr>
          <w:lang w:eastAsia="de-DE"/>
        </w:rPr>
      </w:pPr>
      <w:r w:rsidRPr="0056720E">
        <w:rPr>
          <w:lang w:eastAsia="de-DE"/>
        </w:rPr>
        <w:t>Side cut-outs to provide space for service equipment such as flow meters shall be designed in accordance with the following criteria:</w:t>
      </w:r>
    </w:p>
    <w:p w:rsidR="002E1FA5" w:rsidRPr="0056720E" w:rsidRDefault="0055338D" w:rsidP="00610F63">
      <w:pPr>
        <w:pStyle w:val="ListParagraph"/>
        <w:numPr>
          <w:ilvl w:val="0"/>
          <w:numId w:val="38"/>
        </w:numPr>
        <w:spacing w:after="0" w:line="240" w:lineRule="auto"/>
        <w:ind w:left="2268" w:right="1134" w:firstLine="0"/>
        <w:jc w:val="both"/>
        <w:rPr>
          <w:rFonts w:ascii="Times New Roman" w:hAnsi="Times New Roman"/>
          <w:sz w:val="20"/>
          <w:szCs w:val="20"/>
          <w:lang w:eastAsia="de-DE"/>
        </w:rPr>
      </w:pPr>
      <w:r w:rsidRPr="0056720E">
        <w:rPr>
          <w:rFonts w:ascii="Times New Roman" w:hAnsi="Times New Roman"/>
          <w:sz w:val="20"/>
          <w:szCs w:val="20"/>
          <w:lang w:eastAsia="de-DE"/>
        </w:rPr>
        <w:t xml:space="preserve">The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total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cross-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sectional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area of cut-outs at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any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point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shall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not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exceed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r w:rsidRPr="0056720E">
        <w:rPr>
          <w:rFonts w:ascii="Times New Roman" w:hAnsi="Times New Roman"/>
          <w:sz w:val="20"/>
          <w:szCs w:val="20"/>
          <w:lang w:eastAsia="de-DE"/>
        </w:rPr>
        <w:t xml:space="preserve">20 % of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the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total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cross-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sectional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area of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the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shell without cut-outs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where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the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cut-outs are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located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>;</w:t>
      </w:r>
    </w:p>
    <w:p w:rsidR="002E1FA5" w:rsidRPr="0056720E" w:rsidRDefault="0055338D" w:rsidP="00610F63">
      <w:pPr>
        <w:pStyle w:val="ListParagraph"/>
        <w:numPr>
          <w:ilvl w:val="0"/>
          <w:numId w:val="38"/>
        </w:numPr>
        <w:spacing w:after="0" w:line="240" w:lineRule="auto"/>
        <w:ind w:left="2268" w:right="1134" w:firstLine="0"/>
        <w:jc w:val="both"/>
        <w:rPr>
          <w:rFonts w:ascii="Times New Roman" w:hAnsi="Times New Roman"/>
          <w:sz w:val="20"/>
          <w:szCs w:val="20"/>
          <w:lang w:eastAsia="de-DE"/>
        </w:rPr>
      </w:pPr>
      <w:r w:rsidRPr="0056720E">
        <w:rPr>
          <w:rFonts w:ascii="Times New Roman" w:hAnsi="Times New Roman"/>
          <w:sz w:val="20"/>
          <w:szCs w:val="20"/>
          <w:lang w:eastAsia="de-DE"/>
        </w:rPr>
        <w:t xml:space="preserve">The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length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of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the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cut-out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shall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not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exceed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40 % of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the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length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of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the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shell </w:t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and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in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any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case not exceed 1 400 mm;</w:t>
      </w:r>
    </w:p>
    <w:p w:rsidR="00E06C45" w:rsidRPr="0056720E" w:rsidRDefault="0055338D" w:rsidP="00610F63">
      <w:pPr>
        <w:pStyle w:val="ListParagraph"/>
        <w:numPr>
          <w:ilvl w:val="0"/>
          <w:numId w:val="38"/>
        </w:numPr>
        <w:spacing w:after="0" w:line="240" w:lineRule="auto"/>
        <w:ind w:left="2268" w:right="1134" w:firstLine="0"/>
        <w:jc w:val="both"/>
        <w:rPr>
          <w:rFonts w:ascii="Times New Roman" w:hAnsi="Times New Roman"/>
          <w:sz w:val="20"/>
          <w:szCs w:val="20"/>
          <w:lang w:eastAsia="de-DE"/>
        </w:rPr>
      </w:pPr>
      <w:r w:rsidRPr="0056720E">
        <w:rPr>
          <w:rFonts w:ascii="Times New Roman" w:hAnsi="Times New Roman"/>
          <w:sz w:val="20"/>
          <w:szCs w:val="20"/>
          <w:lang w:eastAsia="de-DE"/>
        </w:rPr>
        <w:t xml:space="preserve">The minimum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distance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from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the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sides of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the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cut-outs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to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the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ends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shall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be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at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least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200 mm;</w:t>
      </w:r>
    </w:p>
    <w:p w:rsidR="002E1FA5" w:rsidRPr="0056720E" w:rsidRDefault="0055338D" w:rsidP="00610F63">
      <w:pPr>
        <w:pStyle w:val="ListParagraph"/>
        <w:numPr>
          <w:ilvl w:val="0"/>
          <w:numId w:val="38"/>
        </w:numPr>
        <w:spacing w:after="0" w:line="240" w:lineRule="auto"/>
        <w:ind w:left="2268" w:right="1134" w:firstLine="0"/>
        <w:jc w:val="both"/>
        <w:rPr>
          <w:rFonts w:ascii="Times New Roman" w:hAnsi="Times New Roman"/>
          <w:sz w:val="20"/>
          <w:szCs w:val="20"/>
          <w:lang w:eastAsia="de-DE"/>
        </w:rPr>
      </w:pPr>
      <w:r w:rsidRPr="0056720E">
        <w:rPr>
          <w:rFonts w:ascii="Times New Roman" w:hAnsi="Times New Roman"/>
          <w:sz w:val="20"/>
          <w:szCs w:val="20"/>
          <w:lang w:eastAsia="de-DE"/>
        </w:rPr>
        <w:t xml:space="preserve">The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height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and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depth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of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the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cut-out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shall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be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such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that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it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does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not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encroach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within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50 mm of the centre lines of the shell;</w:t>
      </w:r>
    </w:p>
    <w:p w:rsidR="002E1FA5" w:rsidRPr="0056720E" w:rsidRDefault="0055338D" w:rsidP="00610F63">
      <w:pPr>
        <w:pStyle w:val="ListParagraph"/>
        <w:numPr>
          <w:ilvl w:val="0"/>
          <w:numId w:val="38"/>
        </w:numPr>
        <w:spacing w:after="0" w:line="240" w:lineRule="auto"/>
        <w:ind w:left="2268" w:right="1134" w:firstLine="0"/>
        <w:jc w:val="both"/>
        <w:rPr>
          <w:rFonts w:ascii="Times New Roman" w:hAnsi="Times New Roman"/>
          <w:sz w:val="20"/>
          <w:szCs w:val="20"/>
          <w:lang w:eastAsia="de-DE"/>
        </w:rPr>
      </w:pPr>
      <w:r w:rsidRPr="0056720E">
        <w:rPr>
          <w:rFonts w:ascii="Times New Roman" w:hAnsi="Times New Roman"/>
          <w:sz w:val="20"/>
          <w:szCs w:val="20"/>
          <w:lang w:eastAsia="de-DE"/>
        </w:rPr>
        <w:t>The thickness shall not be less than the thickness specified in 6.8.1;</w:t>
      </w:r>
    </w:p>
    <w:p w:rsidR="002E1FA5" w:rsidRPr="0056720E" w:rsidRDefault="0055338D" w:rsidP="00610F63">
      <w:pPr>
        <w:pStyle w:val="ListParagraph"/>
        <w:numPr>
          <w:ilvl w:val="0"/>
          <w:numId w:val="38"/>
        </w:numPr>
        <w:spacing w:after="0" w:line="240" w:lineRule="auto"/>
        <w:ind w:left="2268" w:right="1134" w:firstLine="0"/>
        <w:jc w:val="both"/>
        <w:rPr>
          <w:rFonts w:ascii="Times New Roman" w:hAnsi="Times New Roman"/>
          <w:sz w:val="20"/>
          <w:szCs w:val="20"/>
          <w:lang w:eastAsia="de-DE"/>
        </w:rPr>
      </w:pPr>
      <w:r w:rsidRPr="0056720E">
        <w:rPr>
          <w:rFonts w:ascii="Times New Roman" w:hAnsi="Times New Roman"/>
          <w:sz w:val="20"/>
          <w:szCs w:val="20"/>
          <w:lang w:eastAsia="de-DE"/>
        </w:rPr>
        <w:t>The welds shall be fully penetrated (or made of lap joints);</w:t>
      </w:r>
    </w:p>
    <w:p w:rsidR="002E1FA5" w:rsidRPr="0056720E" w:rsidRDefault="0055338D" w:rsidP="00610F63">
      <w:pPr>
        <w:pStyle w:val="ListParagraph"/>
        <w:numPr>
          <w:ilvl w:val="0"/>
          <w:numId w:val="38"/>
        </w:numPr>
        <w:spacing w:after="120" w:line="240" w:lineRule="auto"/>
        <w:ind w:left="2268" w:right="1134" w:firstLine="0"/>
        <w:jc w:val="both"/>
        <w:rPr>
          <w:rFonts w:ascii="Times New Roman" w:hAnsi="Times New Roman"/>
          <w:sz w:val="20"/>
          <w:szCs w:val="20"/>
          <w:lang w:eastAsia="de-DE"/>
        </w:rPr>
      </w:pPr>
      <w:r w:rsidRPr="0056720E">
        <w:rPr>
          <w:rFonts w:ascii="Times New Roman" w:hAnsi="Times New Roman"/>
          <w:sz w:val="20"/>
          <w:szCs w:val="20"/>
          <w:lang w:eastAsia="de-DE"/>
        </w:rPr>
        <w:t xml:space="preserve">The cut-out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shall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not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extend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beyond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one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compartment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or a </w:t>
      </w:r>
      <w:proofErr w:type="spellStart"/>
      <w:r w:rsidRPr="0056720E">
        <w:rPr>
          <w:rFonts w:ascii="Times New Roman" w:hAnsi="Times New Roman"/>
          <w:sz w:val="20"/>
          <w:szCs w:val="20"/>
          <w:lang w:eastAsia="de-DE"/>
        </w:rPr>
        <w:t>section</w:t>
      </w:r>
      <w:proofErr w:type="spellEnd"/>
      <w:r w:rsidRPr="0056720E">
        <w:rPr>
          <w:rFonts w:ascii="Times New Roman" w:hAnsi="Times New Roman"/>
          <w:sz w:val="20"/>
          <w:szCs w:val="20"/>
          <w:lang w:eastAsia="de-DE"/>
        </w:rPr>
        <w:t xml:space="preserve"> of </w:t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r w:rsidRPr="0056720E">
        <w:rPr>
          <w:rFonts w:ascii="Times New Roman" w:hAnsi="Times New Roman"/>
          <w:sz w:val="20"/>
          <w:szCs w:val="20"/>
          <w:lang w:eastAsia="de-DE"/>
        </w:rPr>
        <w:t>shell.</w:t>
      </w:r>
    </w:p>
    <w:p w:rsidR="002E1FA5" w:rsidRPr="0056720E" w:rsidRDefault="00A16F6A" w:rsidP="004D23B2">
      <w:pPr>
        <w:pStyle w:val="SingleTxtG"/>
        <w:ind w:left="1701"/>
        <w:rPr>
          <w:lang w:eastAsia="de-DE"/>
        </w:rPr>
      </w:pPr>
      <w:r w:rsidRPr="0056720E">
        <w:rPr>
          <w:lang w:eastAsia="de-DE"/>
        </w:rPr>
        <w:t>1.4.2</w:t>
      </w:r>
      <w:r w:rsidRPr="0056720E">
        <w:rPr>
          <w:lang w:eastAsia="de-DE"/>
        </w:rPr>
        <w:tab/>
      </w:r>
      <w:r w:rsidR="0055338D" w:rsidRPr="0056720E">
        <w:rPr>
          <w:lang w:eastAsia="de-DE"/>
        </w:rPr>
        <w:t>Cut-outs to accommodate tank mountings or other structural equipment</w:t>
      </w:r>
    </w:p>
    <w:p w:rsidR="002E1FA5" w:rsidRPr="0056720E" w:rsidRDefault="0055338D" w:rsidP="00610F63">
      <w:pPr>
        <w:suppressAutoHyphens w:val="0"/>
        <w:spacing w:line="240" w:lineRule="auto"/>
        <w:ind w:left="2268" w:right="1134"/>
        <w:rPr>
          <w:lang w:eastAsia="de-DE"/>
        </w:rPr>
      </w:pPr>
      <w:r w:rsidRPr="0056720E">
        <w:rPr>
          <w:lang w:eastAsia="de-DE"/>
        </w:rPr>
        <w:t xml:space="preserve">Cut-outs to accommodate structural equipment (e.g. couplings for </w:t>
      </w:r>
      <w:proofErr w:type="spellStart"/>
      <w:r w:rsidRPr="0056720E">
        <w:rPr>
          <w:lang w:eastAsia="de-DE"/>
        </w:rPr>
        <w:t>railers</w:t>
      </w:r>
      <w:proofErr w:type="spellEnd"/>
      <w:r w:rsidRPr="0056720E">
        <w:rPr>
          <w:lang w:eastAsia="de-DE"/>
        </w:rPr>
        <w:t xml:space="preserve"> or semi-trailers), shall be designed in accordance with the following criteria:</w:t>
      </w:r>
    </w:p>
    <w:p w:rsidR="0056720E" w:rsidRPr="0056720E" w:rsidRDefault="0055338D" w:rsidP="00610F63">
      <w:pPr>
        <w:pStyle w:val="ListParagraph"/>
        <w:numPr>
          <w:ilvl w:val="0"/>
          <w:numId w:val="38"/>
        </w:numPr>
        <w:spacing w:after="0" w:line="240" w:lineRule="auto"/>
        <w:ind w:left="2268" w:right="1134" w:firstLine="0"/>
        <w:jc w:val="both"/>
        <w:rPr>
          <w:rFonts w:ascii="Times New Roman" w:hAnsi="Times New Roman"/>
          <w:sz w:val="20"/>
          <w:szCs w:val="20"/>
          <w:lang w:eastAsia="de-DE"/>
        </w:rPr>
      </w:pPr>
      <w:r w:rsidRPr="00A16F6A">
        <w:rPr>
          <w:rFonts w:ascii="Times New Roman" w:hAnsi="Times New Roman"/>
          <w:sz w:val="20"/>
          <w:szCs w:val="20"/>
          <w:lang w:eastAsia="de-DE"/>
        </w:rPr>
        <w:t>The cross-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sectional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area of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the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cut-out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shall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not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exceed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30 % of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the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total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r w:rsidRPr="00A16F6A">
        <w:rPr>
          <w:rFonts w:ascii="Times New Roman" w:hAnsi="Times New Roman"/>
          <w:sz w:val="20"/>
          <w:szCs w:val="20"/>
          <w:lang w:eastAsia="de-DE"/>
        </w:rPr>
        <w:t>cross-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sectional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area of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the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shell without cut-out, where it is located;</w:t>
      </w:r>
    </w:p>
    <w:p w:rsidR="002E1FA5" w:rsidRDefault="0055338D" w:rsidP="00610F63">
      <w:pPr>
        <w:pStyle w:val="ListParagraph"/>
        <w:numPr>
          <w:ilvl w:val="0"/>
          <w:numId w:val="38"/>
        </w:numPr>
        <w:spacing w:after="0" w:line="240" w:lineRule="auto"/>
        <w:ind w:left="2268" w:right="1134" w:firstLine="0"/>
        <w:jc w:val="both"/>
        <w:rPr>
          <w:rFonts w:ascii="Times New Roman" w:hAnsi="Times New Roman"/>
          <w:sz w:val="20"/>
          <w:szCs w:val="20"/>
          <w:lang w:eastAsia="de-DE"/>
        </w:rPr>
      </w:pPr>
      <w:r w:rsidRPr="00A16F6A">
        <w:rPr>
          <w:rFonts w:ascii="Times New Roman" w:hAnsi="Times New Roman"/>
          <w:sz w:val="20"/>
          <w:szCs w:val="20"/>
          <w:lang w:eastAsia="de-DE"/>
        </w:rPr>
        <w:t>The length of the cut-out shall not exceed 35 % of the length of the tank;</w:t>
      </w:r>
    </w:p>
    <w:p w:rsidR="002E1FA5" w:rsidRPr="00A16F6A" w:rsidRDefault="0055338D" w:rsidP="00610F63">
      <w:pPr>
        <w:pStyle w:val="ListParagraph"/>
        <w:numPr>
          <w:ilvl w:val="0"/>
          <w:numId w:val="38"/>
        </w:numPr>
        <w:spacing w:after="0" w:line="240" w:lineRule="auto"/>
        <w:ind w:left="2268" w:right="1134" w:firstLine="0"/>
        <w:jc w:val="both"/>
        <w:rPr>
          <w:rFonts w:ascii="Times New Roman" w:hAnsi="Times New Roman"/>
          <w:sz w:val="20"/>
          <w:szCs w:val="20"/>
          <w:lang w:eastAsia="de-DE"/>
        </w:rPr>
      </w:pPr>
      <w:r w:rsidRPr="00A16F6A">
        <w:rPr>
          <w:rFonts w:ascii="Times New Roman" w:hAnsi="Times New Roman"/>
          <w:sz w:val="20"/>
          <w:szCs w:val="20"/>
          <w:lang w:eastAsia="de-DE"/>
        </w:rPr>
        <w:t xml:space="preserve">Service equipment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shall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not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be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welded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directly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to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a concave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surface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within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the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cut-out;</w:t>
      </w:r>
    </w:p>
    <w:p w:rsidR="002E1FA5" w:rsidRPr="00A16F6A" w:rsidRDefault="0055338D" w:rsidP="00610F63">
      <w:pPr>
        <w:pStyle w:val="ListParagraph"/>
        <w:numPr>
          <w:ilvl w:val="0"/>
          <w:numId w:val="38"/>
        </w:numPr>
        <w:spacing w:after="0" w:line="240" w:lineRule="auto"/>
        <w:ind w:left="2268" w:right="1134" w:firstLine="0"/>
        <w:jc w:val="both"/>
        <w:rPr>
          <w:rFonts w:ascii="Times New Roman" w:hAnsi="Times New Roman"/>
          <w:sz w:val="20"/>
          <w:szCs w:val="20"/>
          <w:lang w:eastAsia="de-DE"/>
        </w:rPr>
      </w:pPr>
      <w:r w:rsidRPr="00A16F6A">
        <w:rPr>
          <w:rFonts w:ascii="Times New Roman" w:hAnsi="Times New Roman"/>
          <w:sz w:val="20"/>
          <w:szCs w:val="20"/>
          <w:lang w:eastAsia="de-DE"/>
        </w:rPr>
        <w:t>The weld shall be fully penetrated;</w:t>
      </w:r>
    </w:p>
    <w:p w:rsidR="00A16F6A" w:rsidRPr="0056720E" w:rsidRDefault="0055338D" w:rsidP="00610F63">
      <w:pPr>
        <w:pStyle w:val="ListParagraph"/>
        <w:numPr>
          <w:ilvl w:val="0"/>
          <w:numId w:val="38"/>
        </w:numPr>
        <w:spacing w:after="0" w:line="240" w:lineRule="auto"/>
        <w:ind w:left="2268" w:right="1134" w:firstLine="0"/>
        <w:jc w:val="both"/>
        <w:rPr>
          <w:rFonts w:ascii="Times New Roman" w:hAnsi="Times New Roman"/>
          <w:sz w:val="20"/>
          <w:szCs w:val="20"/>
          <w:lang w:eastAsia="de-DE"/>
        </w:rPr>
      </w:pPr>
      <w:r w:rsidRPr="00A16F6A">
        <w:rPr>
          <w:rFonts w:ascii="Times New Roman" w:hAnsi="Times New Roman"/>
          <w:sz w:val="20"/>
          <w:szCs w:val="20"/>
          <w:lang w:eastAsia="de-DE"/>
        </w:rPr>
        <w:t xml:space="preserve">The minimum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thickness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shall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not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be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less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than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the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thickness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specified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in </w:t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r w:rsidRPr="00A16F6A">
        <w:rPr>
          <w:rFonts w:ascii="Times New Roman" w:hAnsi="Times New Roman"/>
          <w:sz w:val="20"/>
          <w:szCs w:val="20"/>
          <w:lang w:eastAsia="de-DE"/>
        </w:rPr>
        <w:t>6.8.1;</w:t>
      </w:r>
    </w:p>
    <w:p w:rsidR="0055338D" w:rsidRPr="00A16F6A" w:rsidRDefault="0055338D" w:rsidP="00610F63">
      <w:pPr>
        <w:pStyle w:val="ListParagraph"/>
        <w:numPr>
          <w:ilvl w:val="0"/>
          <w:numId w:val="38"/>
        </w:numPr>
        <w:spacing w:after="0" w:line="240" w:lineRule="auto"/>
        <w:ind w:left="2268" w:right="1134" w:firstLine="0"/>
        <w:jc w:val="both"/>
        <w:rPr>
          <w:rFonts w:ascii="Times New Roman" w:hAnsi="Times New Roman"/>
          <w:sz w:val="20"/>
          <w:szCs w:val="20"/>
          <w:lang w:eastAsia="de-DE"/>
        </w:rPr>
      </w:pPr>
      <w:r w:rsidRPr="00A16F6A">
        <w:rPr>
          <w:rFonts w:ascii="Times New Roman" w:hAnsi="Times New Roman"/>
          <w:sz w:val="20"/>
          <w:szCs w:val="20"/>
          <w:lang w:eastAsia="de-DE"/>
        </w:rPr>
        <w:t xml:space="preserve">The joint of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the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end of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the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structural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plate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to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the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shell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shall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be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to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a </w:t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partition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whose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design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complies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with that for an end;</w:t>
      </w:r>
    </w:p>
    <w:p w:rsidR="0055338D" w:rsidRPr="00A16F6A" w:rsidRDefault="0055338D" w:rsidP="00610F63">
      <w:pPr>
        <w:pStyle w:val="ListParagraph"/>
        <w:numPr>
          <w:ilvl w:val="0"/>
          <w:numId w:val="38"/>
        </w:numPr>
        <w:spacing w:after="0" w:line="240" w:lineRule="auto"/>
        <w:ind w:left="2268" w:right="1134" w:firstLine="0"/>
        <w:jc w:val="both"/>
        <w:rPr>
          <w:rFonts w:ascii="Times New Roman" w:hAnsi="Times New Roman"/>
          <w:sz w:val="20"/>
          <w:szCs w:val="20"/>
          <w:lang w:eastAsia="de-DE"/>
        </w:rPr>
      </w:pPr>
      <w:r w:rsidRPr="00A16F6A">
        <w:rPr>
          <w:rFonts w:ascii="Times New Roman" w:hAnsi="Times New Roman"/>
          <w:sz w:val="20"/>
          <w:szCs w:val="20"/>
          <w:lang w:eastAsia="de-DE"/>
        </w:rPr>
        <w:t xml:space="preserve">The design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shall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not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compromise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complete drainage of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the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product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to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r w:rsidR="00610F63">
        <w:rPr>
          <w:rFonts w:ascii="Times New Roman" w:hAnsi="Times New Roman"/>
          <w:sz w:val="20"/>
          <w:szCs w:val="20"/>
          <w:lang w:eastAsia="de-DE"/>
        </w:rPr>
        <w:tab/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be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 xml:space="preserve"> </w:t>
      </w:r>
      <w:proofErr w:type="spellStart"/>
      <w:r w:rsidRPr="00A16F6A">
        <w:rPr>
          <w:rFonts w:ascii="Times New Roman" w:hAnsi="Times New Roman"/>
          <w:sz w:val="20"/>
          <w:szCs w:val="20"/>
          <w:lang w:eastAsia="de-DE"/>
        </w:rPr>
        <w:t>carried</w:t>
      </w:r>
      <w:proofErr w:type="spellEnd"/>
      <w:r w:rsidRPr="00A16F6A">
        <w:rPr>
          <w:rFonts w:ascii="Times New Roman" w:hAnsi="Times New Roman"/>
          <w:sz w:val="20"/>
          <w:szCs w:val="20"/>
          <w:lang w:eastAsia="de-DE"/>
        </w:rPr>
        <w:t>.</w:t>
      </w:r>
      <w:r w:rsidR="00D21758">
        <w:rPr>
          <w:rFonts w:ascii="Times New Roman" w:hAnsi="Times New Roman"/>
          <w:sz w:val="20"/>
          <w:szCs w:val="20"/>
          <w:lang w:eastAsia="de-DE"/>
        </w:rPr>
        <w:t>”</w:t>
      </w:r>
    </w:p>
    <w:p w:rsidR="00EF4E86" w:rsidRPr="00583857" w:rsidRDefault="00583857" w:rsidP="0058385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EF4E86" w:rsidRPr="00583857" w:rsidSect="00E76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3FD" w:rsidRDefault="002B53FD"/>
  </w:endnote>
  <w:endnote w:type="continuationSeparator" w:id="0">
    <w:p w:rsidR="002B53FD" w:rsidRDefault="002B53FD"/>
  </w:endnote>
  <w:endnote w:type="continuationNotice" w:id="1">
    <w:p w:rsidR="002B53FD" w:rsidRDefault="002B5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570" w:rsidRPr="009D2A5B" w:rsidRDefault="00146570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D0508B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570" w:rsidRPr="009D2A5B" w:rsidRDefault="00146570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D0508B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3FD" w:rsidRPr="000B175B" w:rsidRDefault="002B53F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B53FD" w:rsidRPr="00FC68B7" w:rsidRDefault="002B53F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B53FD" w:rsidRDefault="002B53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570" w:rsidRPr="002E1FA5" w:rsidRDefault="00D21758" w:rsidP="002E1FA5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C51175">
      <w:rPr>
        <w:sz w:val="28"/>
        <w:szCs w:val="28"/>
        <w:lang w:val="fr-CH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F6A" w:rsidRPr="002E1FA5" w:rsidRDefault="0056720E" w:rsidP="00A16F6A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C51175">
      <w:rPr>
        <w:sz w:val="28"/>
        <w:szCs w:val="28"/>
        <w:lang w:val="fr-CH"/>
      </w:rPr>
      <w:t>21</w:t>
    </w:r>
  </w:p>
  <w:p w:rsidR="00146570" w:rsidRPr="00A16F6A" w:rsidRDefault="00146570" w:rsidP="00A16F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570" w:rsidRPr="00AB10FF" w:rsidRDefault="00146570" w:rsidP="00AB10FF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C51175">
      <w:rPr>
        <w:sz w:val="28"/>
        <w:szCs w:val="28"/>
        <w:lang w:val="fr-CH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031D"/>
    <w:multiLevelType w:val="hybridMultilevel"/>
    <w:tmpl w:val="35461CA4"/>
    <w:lvl w:ilvl="0" w:tplc="48B26CA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68A15A8"/>
    <w:multiLevelType w:val="multilevel"/>
    <w:tmpl w:val="E9FC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41A577E"/>
    <w:multiLevelType w:val="hybridMultilevel"/>
    <w:tmpl w:val="CE6205A0"/>
    <w:lvl w:ilvl="0" w:tplc="BE96F1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65075F"/>
    <w:multiLevelType w:val="multilevel"/>
    <w:tmpl w:val="D8B6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954877"/>
    <w:multiLevelType w:val="hybridMultilevel"/>
    <w:tmpl w:val="80BE7FAC"/>
    <w:lvl w:ilvl="0" w:tplc="DBA01E0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245F1A3B"/>
    <w:multiLevelType w:val="hybridMultilevel"/>
    <w:tmpl w:val="107487FA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2CE463D1"/>
    <w:multiLevelType w:val="multilevel"/>
    <w:tmpl w:val="107C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D4725"/>
    <w:multiLevelType w:val="multilevel"/>
    <w:tmpl w:val="32B6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213EFB"/>
    <w:multiLevelType w:val="hybridMultilevel"/>
    <w:tmpl w:val="5672DBAC"/>
    <w:lvl w:ilvl="0" w:tplc="27CE77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A7526E4"/>
    <w:multiLevelType w:val="multilevel"/>
    <w:tmpl w:val="627C96D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abstractNum w:abstractNumId="27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D77114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9" w15:restartNumberingAfterBreak="0">
    <w:nsid w:val="4ED92F95"/>
    <w:multiLevelType w:val="hybridMultilevel"/>
    <w:tmpl w:val="58AE6AAC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4FA93AC9"/>
    <w:multiLevelType w:val="hybridMultilevel"/>
    <w:tmpl w:val="F24AC38C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 w15:restartNumberingAfterBreak="0">
    <w:nsid w:val="4FF107D8"/>
    <w:multiLevelType w:val="hybridMultilevel"/>
    <w:tmpl w:val="A1360C3A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 w15:restartNumberingAfterBreak="0">
    <w:nsid w:val="521962D2"/>
    <w:multiLevelType w:val="multilevel"/>
    <w:tmpl w:val="C7D6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095732F"/>
    <w:multiLevelType w:val="hybridMultilevel"/>
    <w:tmpl w:val="2A101320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7AA2912"/>
    <w:multiLevelType w:val="hybridMultilevel"/>
    <w:tmpl w:val="CC8A73CC"/>
    <w:lvl w:ilvl="0" w:tplc="5978DD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3B817A4"/>
    <w:multiLevelType w:val="multilevel"/>
    <w:tmpl w:val="3E00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BE221B"/>
    <w:multiLevelType w:val="hybridMultilevel"/>
    <w:tmpl w:val="30F0C0C4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9" w15:restartNumberingAfterBreak="0">
    <w:nsid w:val="7C0C3101"/>
    <w:multiLevelType w:val="hybridMultilevel"/>
    <w:tmpl w:val="B024F9B6"/>
    <w:lvl w:ilvl="0" w:tplc="789EB5E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DB01C66"/>
    <w:multiLevelType w:val="hybridMultilevel"/>
    <w:tmpl w:val="F96C5214"/>
    <w:lvl w:ilvl="0" w:tplc="A47813C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8"/>
  </w:num>
  <w:num w:numId="13">
    <w:abstractNumId w:val="10"/>
  </w:num>
  <w:num w:numId="14">
    <w:abstractNumId w:val="33"/>
  </w:num>
  <w:num w:numId="15">
    <w:abstractNumId w:val="16"/>
  </w:num>
  <w:num w:numId="16">
    <w:abstractNumId w:val="13"/>
  </w:num>
  <w:num w:numId="17">
    <w:abstractNumId w:val="27"/>
  </w:num>
  <w:num w:numId="18">
    <w:abstractNumId w:val="41"/>
  </w:num>
  <w:num w:numId="19">
    <w:abstractNumId w:val="35"/>
  </w:num>
  <w:num w:numId="20">
    <w:abstractNumId w:val="14"/>
  </w:num>
  <w:num w:numId="21">
    <w:abstractNumId w:val="17"/>
  </w:num>
  <w:num w:numId="22">
    <w:abstractNumId w:val="29"/>
  </w:num>
  <w:num w:numId="23">
    <w:abstractNumId w:val="15"/>
  </w:num>
  <w:num w:numId="24">
    <w:abstractNumId w:val="28"/>
  </w:num>
  <w:num w:numId="25">
    <w:abstractNumId w:val="21"/>
  </w:num>
  <w:num w:numId="26">
    <w:abstractNumId w:val="25"/>
  </w:num>
  <w:num w:numId="27">
    <w:abstractNumId w:val="36"/>
  </w:num>
  <w:num w:numId="28">
    <w:abstractNumId w:val="40"/>
  </w:num>
  <w:num w:numId="29">
    <w:abstractNumId w:val="11"/>
  </w:num>
  <w:num w:numId="30">
    <w:abstractNumId w:val="19"/>
  </w:num>
  <w:num w:numId="31">
    <w:abstractNumId w:val="32"/>
  </w:num>
  <w:num w:numId="32">
    <w:abstractNumId w:val="37"/>
  </w:num>
  <w:num w:numId="33">
    <w:abstractNumId w:val="12"/>
  </w:num>
  <w:num w:numId="34">
    <w:abstractNumId w:val="24"/>
  </w:num>
  <w:num w:numId="35">
    <w:abstractNumId w:val="22"/>
  </w:num>
  <w:num w:numId="36">
    <w:abstractNumId w:val="34"/>
  </w:num>
  <w:num w:numId="37">
    <w:abstractNumId w:val="38"/>
  </w:num>
  <w:num w:numId="38">
    <w:abstractNumId w:val="31"/>
  </w:num>
  <w:num w:numId="39">
    <w:abstractNumId w:val="30"/>
  </w:num>
  <w:num w:numId="40">
    <w:abstractNumId w:val="39"/>
  </w:num>
  <w:num w:numId="41">
    <w:abstractNumId w:val="26"/>
  </w:num>
  <w:num w:numId="4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fr-CH" w:vendorID="64" w:dllVersion="6" w:nlCheck="1" w:checkStyle="1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13DE"/>
    <w:rsid w:val="000229B5"/>
    <w:rsid w:val="00034A36"/>
    <w:rsid w:val="00034F9D"/>
    <w:rsid w:val="00037F90"/>
    <w:rsid w:val="00046B1F"/>
    <w:rsid w:val="00046BE6"/>
    <w:rsid w:val="000509A7"/>
    <w:rsid w:val="00050F6B"/>
    <w:rsid w:val="00051A53"/>
    <w:rsid w:val="0005583C"/>
    <w:rsid w:val="00057E97"/>
    <w:rsid w:val="00072C8C"/>
    <w:rsid w:val="000733B5"/>
    <w:rsid w:val="00080491"/>
    <w:rsid w:val="00081202"/>
    <w:rsid w:val="0008179C"/>
    <w:rsid w:val="00081815"/>
    <w:rsid w:val="00091625"/>
    <w:rsid w:val="000931C0"/>
    <w:rsid w:val="000B0595"/>
    <w:rsid w:val="000B1333"/>
    <w:rsid w:val="000B175B"/>
    <w:rsid w:val="000B3A0F"/>
    <w:rsid w:val="000B477F"/>
    <w:rsid w:val="000B4EF7"/>
    <w:rsid w:val="000C2C03"/>
    <w:rsid w:val="000C2D2E"/>
    <w:rsid w:val="000C4D51"/>
    <w:rsid w:val="000D1A27"/>
    <w:rsid w:val="000D230B"/>
    <w:rsid w:val="000D34E0"/>
    <w:rsid w:val="000E0415"/>
    <w:rsid w:val="000F1C7D"/>
    <w:rsid w:val="001054BC"/>
    <w:rsid w:val="001103AA"/>
    <w:rsid w:val="0011284E"/>
    <w:rsid w:val="00115F70"/>
    <w:rsid w:val="0011666B"/>
    <w:rsid w:val="001208E2"/>
    <w:rsid w:val="00126112"/>
    <w:rsid w:val="00146570"/>
    <w:rsid w:val="00155068"/>
    <w:rsid w:val="00165F3A"/>
    <w:rsid w:val="0017587F"/>
    <w:rsid w:val="001A1DCA"/>
    <w:rsid w:val="001B13A5"/>
    <w:rsid w:val="001B4B04"/>
    <w:rsid w:val="001B51BE"/>
    <w:rsid w:val="001C6287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7435"/>
    <w:rsid w:val="00202DA8"/>
    <w:rsid w:val="0021157B"/>
    <w:rsid w:val="00211E0B"/>
    <w:rsid w:val="00214D4D"/>
    <w:rsid w:val="0021571C"/>
    <w:rsid w:val="002564BC"/>
    <w:rsid w:val="00260DE5"/>
    <w:rsid w:val="00260F3E"/>
    <w:rsid w:val="00267F5F"/>
    <w:rsid w:val="00277C12"/>
    <w:rsid w:val="002852E1"/>
    <w:rsid w:val="00286B4D"/>
    <w:rsid w:val="002A5964"/>
    <w:rsid w:val="002A603B"/>
    <w:rsid w:val="002B53FD"/>
    <w:rsid w:val="002C134A"/>
    <w:rsid w:val="002C34AF"/>
    <w:rsid w:val="002D2DC1"/>
    <w:rsid w:val="002D4643"/>
    <w:rsid w:val="002D4B6C"/>
    <w:rsid w:val="002E1FA5"/>
    <w:rsid w:val="002F175C"/>
    <w:rsid w:val="00300853"/>
    <w:rsid w:val="00302B8D"/>
    <w:rsid w:val="00302E18"/>
    <w:rsid w:val="00307FAA"/>
    <w:rsid w:val="00312506"/>
    <w:rsid w:val="003229D8"/>
    <w:rsid w:val="00326872"/>
    <w:rsid w:val="00352709"/>
    <w:rsid w:val="00352BD5"/>
    <w:rsid w:val="00371178"/>
    <w:rsid w:val="00371194"/>
    <w:rsid w:val="0038078E"/>
    <w:rsid w:val="00381475"/>
    <w:rsid w:val="003A021A"/>
    <w:rsid w:val="003A6810"/>
    <w:rsid w:val="003A68B8"/>
    <w:rsid w:val="003C2CC4"/>
    <w:rsid w:val="003D12F5"/>
    <w:rsid w:val="003D4B23"/>
    <w:rsid w:val="003D6B2A"/>
    <w:rsid w:val="004059B4"/>
    <w:rsid w:val="00410C89"/>
    <w:rsid w:val="00417834"/>
    <w:rsid w:val="00422E03"/>
    <w:rsid w:val="00426B9B"/>
    <w:rsid w:val="0043040E"/>
    <w:rsid w:val="00430EFE"/>
    <w:rsid w:val="004325CB"/>
    <w:rsid w:val="00441896"/>
    <w:rsid w:val="00442A83"/>
    <w:rsid w:val="00443AB5"/>
    <w:rsid w:val="00450F74"/>
    <w:rsid w:val="0045495B"/>
    <w:rsid w:val="0048397A"/>
    <w:rsid w:val="004877E2"/>
    <w:rsid w:val="00491EC8"/>
    <w:rsid w:val="00495D15"/>
    <w:rsid w:val="004A12F2"/>
    <w:rsid w:val="004C1C18"/>
    <w:rsid w:val="004C2461"/>
    <w:rsid w:val="004C7462"/>
    <w:rsid w:val="004D23B2"/>
    <w:rsid w:val="004D43E2"/>
    <w:rsid w:val="004D4E04"/>
    <w:rsid w:val="004D5426"/>
    <w:rsid w:val="004E0C05"/>
    <w:rsid w:val="004E77B2"/>
    <w:rsid w:val="004F7CA5"/>
    <w:rsid w:val="00503DEB"/>
    <w:rsid w:val="00504B2D"/>
    <w:rsid w:val="00511A9B"/>
    <w:rsid w:val="0052136D"/>
    <w:rsid w:val="00522B58"/>
    <w:rsid w:val="005275A6"/>
    <w:rsid w:val="0052775E"/>
    <w:rsid w:val="00531AFA"/>
    <w:rsid w:val="00535C90"/>
    <w:rsid w:val="005420F2"/>
    <w:rsid w:val="00543785"/>
    <w:rsid w:val="00545927"/>
    <w:rsid w:val="00546993"/>
    <w:rsid w:val="00546AD4"/>
    <w:rsid w:val="0055338D"/>
    <w:rsid w:val="005628B6"/>
    <w:rsid w:val="0056720E"/>
    <w:rsid w:val="00583857"/>
    <w:rsid w:val="00583FC6"/>
    <w:rsid w:val="00586EB5"/>
    <w:rsid w:val="00597EDC"/>
    <w:rsid w:val="005A575C"/>
    <w:rsid w:val="005B3DB3"/>
    <w:rsid w:val="005B4E13"/>
    <w:rsid w:val="005E6A77"/>
    <w:rsid w:val="005F7B75"/>
    <w:rsid w:val="006001EE"/>
    <w:rsid w:val="00605042"/>
    <w:rsid w:val="00605A9A"/>
    <w:rsid w:val="00610F63"/>
    <w:rsid w:val="00611FC4"/>
    <w:rsid w:val="006176FB"/>
    <w:rsid w:val="00631C51"/>
    <w:rsid w:val="00635782"/>
    <w:rsid w:val="00640B26"/>
    <w:rsid w:val="00646D1B"/>
    <w:rsid w:val="00652D0A"/>
    <w:rsid w:val="00656B98"/>
    <w:rsid w:val="006623D5"/>
    <w:rsid w:val="00662BB6"/>
    <w:rsid w:val="00667F8F"/>
    <w:rsid w:val="00684C21"/>
    <w:rsid w:val="0069232B"/>
    <w:rsid w:val="006A2530"/>
    <w:rsid w:val="006B3ADE"/>
    <w:rsid w:val="006B7864"/>
    <w:rsid w:val="006C3589"/>
    <w:rsid w:val="006D37AF"/>
    <w:rsid w:val="006D51D0"/>
    <w:rsid w:val="006E5117"/>
    <w:rsid w:val="006E564B"/>
    <w:rsid w:val="006E7191"/>
    <w:rsid w:val="00703577"/>
    <w:rsid w:val="00705894"/>
    <w:rsid w:val="00716E19"/>
    <w:rsid w:val="0072632A"/>
    <w:rsid w:val="00731FF0"/>
    <w:rsid w:val="007327D5"/>
    <w:rsid w:val="007335A9"/>
    <w:rsid w:val="00744E2A"/>
    <w:rsid w:val="007611CF"/>
    <w:rsid w:val="007629C8"/>
    <w:rsid w:val="00764081"/>
    <w:rsid w:val="007674FA"/>
    <w:rsid w:val="0077047D"/>
    <w:rsid w:val="00775E7A"/>
    <w:rsid w:val="007B00C8"/>
    <w:rsid w:val="007B6BA5"/>
    <w:rsid w:val="007B7349"/>
    <w:rsid w:val="007C3390"/>
    <w:rsid w:val="007C4F4B"/>
    <w:rsid w:val="007D46D5"/>
    <w:rsid w:val="007E01E9"/>
    <w:rsid w:val="007E47EC"/>
    <w:rsid w:val="007E63F3"/>
    <w:rsid w:val="007F2A80"/>
    <w:rsid w:val="007F6611"/>
    <w:rsid w:val="007F7106"/>
    <w:rsid w:val="0080114F"/>
    <w:rsid w:val="00801A58"/>
    <w:rsid w:val="00811920"/>
    <w:rsid w:val="00815AD0"/>
    <w:rsid w:val="008242D7"/>
    <w:rsid w:val="008257B1"/>
    <w:rsid w:val="00843767"/>
    <w:rsid w:val="008521A5"/>
    <w:rsid w:val="00860D0C"/>
    <w:rsid w:val="008679D9"/>
    <w:rsid w:val="00871389"/>
    <w:rsid w:val="00874CB6"/>
    <w:rsid w:val="00881C0C"/>
    <w:rsid w:val="00883999"/>
    <w:rsid w:val="008878DE"/>
    <w:rsid w:val="008979B1"/>
    <w:rsid w:val="008A2607"/>
    <w:rsid w:val="008A6B25"/>
    <w:rsid w:val="008A6C4F"/>
    <w:rsid w:val="008B2335"/>
    <w:rsid w:val="008B717B"/>
    <w:rsid w:val="008D6256"/>
    <w:rsid w:val="008E0678"/>
    <w:rsid w:val="008E7526"/>
    <w:rsid w:val="00901B81"/>
    <w:rsid w:val="009147C7"/>
    <w:rsid w:val="0092212D"/>
    <w:rsid w:val="009223CA"/>
    <w:rsid w:val="00925C25"/>
    <w:rsid w:val="00940F93"/>
    <w:rsid w:val="0094558F"/>
    <w:rsid w:val="0094670D"/>
    <w:rsid w:val="0094766B"/>
    <w:rsid w:val="00961690"/>
    <w:rsid w:val="0097051A"/>
    <w:rsid w:val="009760F3"/>
    <w:rsid w:val="009950AD"/>
    <w:rsid w:val="009A0E8D"/>
    <w:rsid w:val="009B1518"/>
    <w:rsid w:val="009B192C"/>
    <w:rsid w:val="009B26E7"/>
    <w:rsid w:val="009B6669"/>
    <w:rsid w:val="009C3EED"/>
    <w:rsid w:val="009C454F"/>
    <w:rsid w:val="009C5684"/>
    <w:rsid w:val="009D2A5B"/>
    <w:rsid w:val="009D6965"/>
    <w:rsid w:val="00A00A3F"/>
    <w:rsid w:val="00A01489"/>
    <w:rsid w:val="00A14382"/>
    <w:rsid w:val="00A16F6A"/>
    <w:rsid w:val="00A2358C"/>
    <w:rsid w:val="00A3009E"/>
    <w:rsid w:val="00A3026E"/>
    <w:rsid w:val="00A338F1"/>
    <w:rsid w:val="00A40BEB"/>
    <w:rsid w:val="00A43545"/>
    <w:rsid w:val="00A44EAC"/>
    <w:rsid w:val="00A60127"/>
    <w:rsid w:val="00A72F22"/>
    <w:rsid w:val="00A7360F"/>
    <w:rsid w:val="00A748A6"/>
    <w:rsid w:val="00A769F4"/>
    <w:rsid w:val="00A776B4"/>
    <w:rsid w:val="00A81407"/>
    <w:rsid w:val="00A8207E"/>
    <w:rsid w:val="00A9093D"/>
    <w:rsid w:val="00A9142D"/>
    <w:rsid w:val="00A92AFA"/>
    <w:rsid w:val="00A94361"/>
    <w:rsid w:val="00AA293C"/>
    <w:rsid w:val="00AB10FF"/>
    <w:rsid w:val="00AB25C8"/>
    <w:rsid w:val="00AD13BA"/>
    <w:rsid w:val="00AE08DA"/>
    <w:rsid w:val="00AE1E36"/>
    <w:rsid w:val="00AE6935"/>
    <w:rsid w:val="00AE6B63"/>
    <w:rsid w:val="00AF3993"/>
    <w:rsid w:val="00B012FA"/>
    <w:rsid w:val="00B11A73"/>
    <w:rsid w:val="00B11BB4"/>
    <w:rsid w:val="00B141B9"/>
    <w:rsid w:val="00B1568E"/>
    <w:rsid w:val="00B175D8"/>
    <w:rsid w:val="00B22295"/>
    <w:rsid w:val="00B22BC2"/>
    <w:rsid w:val="00B30179"/>
    <w:rsid w:val="00B36283"/>
    <w:rsid w:val="00B36628"/>
    <w:rsid w:val="00B421C1"/>
    <w:rsid w:val="00B42658"/>
    <w:rsid w:val="00B4288A"/>
    <w:rsid w:val="00B55C71"/>
    <w:rsid w:val="00B56E4A"/>
    <w:rsid w:val="00B56E9C"/>
    <w:rsid w:val="00B61320"/>
    <w:rsid w:val="00B64B1F"/>
    <w:rsid w:val="00B6553F"/>
    <w:rsid w:val="00B70F1E"/>
    <w:rsid w:val="00B734ED"/>
    <w:rsid w:val="00B77D05"/>
    <w:rsid w:val="00B81206"/>
    <w:rsid w:val="00B81E12"/>
    <w:rsid w:val="00B857E8"/>
    <w:rsid w:val="00BA1092"/>
    <w:rsid w:val="00BB7CD1"/>
    <w:rsid w:val="00BC3FA0"/>
    <w:rsid w:val="00BC74E9"/>
    <w:rsid w:val="00BD4443"/>
    <w:rsid w:val="00BF68A8"/>
    <w:rsid w:val="00C10FE6"/>
    <w:rsid w:val="00C11A03"/>
    <w:rsid w:val="00C22C0C"/>
    <w:rsid w:val="00C22F9A"/>
    <w:rsid w:val="00C255AF"/>
    <w:rsid w:val="00C26D47"/>
    <w:rsid w:val="00C30C61"/>
    <w:rsid w:val="00C3172E"/>
    <w:rsid w:val="00C35502"/>
    <w:rsid w:val="00C37928"/>
    <w:rsid w:val="00C40B11"/>
    <w:rsid w:val="00C4527F"/>
    <w:rsid w:val="00C463DD"/>
    <w:rsid w:val="00C4724C"/>
    <w:rsid w:val="00C51175"/>
    <w:rsid w:val="00C517D2"/>
    <w:rsid w:val="00C563BF"/>
    <w:rsid w:val="00C629A0"/>
    <w:rsid w:val="00C64629"/>
    <w:rsid w:val="00C745C3"/>
    <w:rsid w:val="00C76F8B"/>
    <w:rsid w:val="00C81EB8"/>
    <w:rsid w:val="00C92461"/>
    <w:rsid w:val="00CB3E03"/>
    <w:rsid w:val="00CD53AE"/>
    <w:rsid w:val="00CE4A8F"/>
    <w:rsid w:val="00CF0197"/>
    <w:rsid w:val="00CF1BAD"/>
    <w:rsid w:val="00D0508B"/>
    <w:rsid w:val="00D2031B"/>
    <w:rsid w:val="00D21758"/>
    <w:rsid w:val="00D24F58"/>
    <w:rsid w:val="00D25FE2"/>
    <w:rsid w:val="00D26430"/>
    <w:rsid w:val="00D406A9"/>
    <w:rsid w:val="00D43252"/>
    <w:rsid w:val="00D445B4"/>
    <w:rsid w:val="00D47EEA"/>
    <w:rsid w:val="00D550D4"/>
    <w:rsid w:val="00D571B0"/>
    <w:rsid w:val="00D773DF"/>
    <w:rsid w:val="00D872AC"/>
    <w:rsid w:val="00D9255F"/>
    <w:rsid w:val="00D95303"/>
    <w:rsid w:val="00D978C6"/>
    <w:rsid w:val="00DA3145"/>
    <w:rsid w:val="00DA3C1C"/>
    <w:rsid w:val="00DB1444"/>
    <w:rsid w:val="00DB2A91"/>
    <w:rsid w:val="00DD29BD"/>
    <w:rsid w:val="00DE1D53"/>
    <w:rsid w:val="00DE4750"/>
    <w:rsid w:val="00DF0F1A"/>
    <w:rsid w:val="00E046DF"/>
    <w:rsid w:val="00E06C45"/>
    <w:rsid w:val="00E15557"/>
    <w:rsid w:val="00E17C63"/>
    <w:rsid w:val="00E240D2"/>
    <w:rsid w:val="00E27346"/>
    <w:rsid w:val="00E51DA4"/>
    <w:rsid w:val="00E53BC3"/>
    <w:rsid w:val="00E71610"/>
    <w:rsid w:val="00E71BC8"/>
    <w:rsid w:val="00E72409"/>
    <w:rsid w:val="00E7260F"/>
    <w:rsid w:val="00E73F5D"/>
    <w:rsid w:val="00E74859"/>
    <w:rsid w:val="00E76186"/>
    <w:rsid w:val="00E77E4E"/>
    <w:rsid w:val="00E8771C"/>
    <w:rsid w:val="00E96630"/>
    <w:rsid w:val="00E973AE"/>
    <w:rsid w:val="00EA3763"/>
    <w:rsid w:val="00EC106A"/>
    <w:rsid w:val="00EC1E8A"/>
    <w:rsid w:val="00ED1389"/>
    <w:rsid w:val="00ED7A2A"/>
    <w:rsid w:val="00EE1FD0"/>
    <w:rsid w:val="00EE6B3A"/>
    <w:rsid w:val="00EF1D7F"/>
    <w:rsid w:val="00EF4E86"/>
    <w:rsid w:val="00F1711C"/>
    <w:rsid w:val="00F31E5F"/>
    <w:rsid w:val="00F32BB7"/>
    <w:rsid w:val="00F47EDC"/>
    <w:rsid w:val="00F502C6"/>
    <w:rsid w:val="00F57FF4"/>
    <w:rsid w:val="00F6100A"/>
    <w:rsid w:val="00F63C9D"/>
    <w:rsid w:val="00F64DBF"/>
    <w:rsid w:val="00F658D5"/>
    <w:rsid w:val="00F66565"/>
    <w:rsid w:val="00F75A16"/>
    <w:rsid w:val="00F77976"/>
    <w:rsid w:val="00F852F4"/>
    <w:rsid w:val="00F913E2"/>
    <w:rsid w:val="00F92A22"/>
    <w:rsid w:val="00F93781"/>
    <w:rsid w:val="00FA1531"/>
    <w:rsid w:val="00FA16BB"/>
    <w:rsid w:val="00FA6DA6"/>
    <w:rsid w:val="00FB06F6"/>
    <w:rsid w:val="00FB3838"/>
    <w:rsid w:val="00FB613B"/>
    <w:rsid w:val="00FC68B7"/>
    <w:rsid w:val="00FE106A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24C6A8"/>
  <w15:docId w15:val="{00A7D37C-5B34-4F49-959C-35FDA6D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D13B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character" w:customStyle="1" w:styleId="apple-converted-space">
    <w:name w:val="apple-converted-space"/>
    <w:basedOn w:val="DefaultParagraphFont"/>
    <w:rsid w:val="00AD13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75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9950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A2F5-CA67-4A68-8202-4FCC3108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1126259</vt:lpstr>
      <vt:lpstr>1126259</vt:lpstr>
      <vt:lpstr>1126259</vt:lpstr>
      <vt:lpstr>1126259</vt:lpstr>
    </vt:vector>
  </TitlesOfParts>
  <Company>CSD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5</cp:revision>
  <cp:lastPrinted>2019-05-16T07:09:00Z</cp:lastPrinted>
  <dcterms:created xsi:type="dcterms:W3CDTF">2019-05-16T07:12:00Z</dcterms:created>
  <dcterms:modified xsi:type="dcterms:W3CDTF">2019-05-16T07:35:00Z</dcterms:modified>
</cp:coreProperties>
</file>