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943" w:rsidRPr="0035573F" w:rsidRDefault="00983783" w:rsidP="0035573F">
      <w:pPr>
        <w:pStyle w:val="HChG"/>
        <w:tabs>
          <w:tab w:val="left" w:pos="5812"/>
        </w:tabs>
        <w:rPr>
          <w:b w:val="0"/>
          <w:bCs/>
          <w:sz w:val="20"/>
        </w:rPr>
      </w:pPr>
      <w:r>
        <w:tab/>
      </w:r>
      <w:r w:rsidR="0035573F">
        <w:tab/>
      </w:r>
      <w:r w:rsidR="00534943">
        <w:t>Annexe</w:t>
      </w:r>
      <w:r w:rsidR="00534943">
        <w:tab/>
      </w:r>
      <w:r w:rsidR="00534943" w:rsidRPr="0035573F">
        <w:rPr>
          <w:b w:val="0"/>
          <w:bCs/>
          <w:sz w:val="20"/>
        </w:rPr>
        <w:t>[Original : anglais et français]</w:t>
      </w:r>
    </w:p>
    <w:p w:rsidR="00534943" w:rsidRDefault="00534943" w:rsidP="00534943"/>
    <w:p w:rsidR="00983783" w:rsidRPr="0060079B" w:rsidRDefault="00983783" w:rsidP="00983783">
      <w:pPr>
        <w:pStyle w:val="SingleTxtG"/>
        <w:rPr>
          <w:lang w:val="fr-FR"/>
        </w:rPr>
      </w:pPr>
      <w:r w:rsidRPr="0060079B">
        <w:rPr>
          <w:lang w:val="fr-FR"/>
        </w:rPr>
        <w:t>PROTOCOLE PORTANT MODIFICATION DU TITRE DE L</w:t>
      </w:r>
      <w:r>
        <w:rPr>
          <w:lang w:val="fr-FR"/>
        </w:rPr>
        <w:t>’</w:t>
      </w:r>
      <w:r w:rsidRPr="0060079B">
        <w:rPr>
          <w:lang w:val="fr-FR"/>
        </w:rPr>
        <w:t>ACCORD EUROPÉEN DU 30 SEPTEMBRE 1957 RELATIF AU TRANSPORT INTERNATIONAL DES MARCHANDISES DANGEREUSES PAR ROUTE (ADR)</w:t>
      </w:r>
    </w:p>
    <w:p w:rsidR="00983783" w:rsidRPr="0060079B" w:rsidRDefault="00983783" w:rsidP="00983783">
      <w:pPr>
        <w:pStyle w:val="SingleTxtG"/>
        <w:ind w:firstLine="567"/>
        <w:rPr>
          <w:lang w:val="fr-FR"/>
        </w:rPr>
      </w:pPr>
      <w:r w:rsidRPr="0060079B">
        <w:rPr>
          <w:lang w:val="fr-FR"/>
        </w:rPr>
        <w:t>Les Parties au présent Protocole,</w:t>
      </w:r>
    </w:p>
    <w:p w:rsidR="00983783" w:rsidRPr="0060079B" w:rsidRDefault="00983783" w:rsidP="00983783">
      <w:pPr>
        <w:pStyle w:val="SingleTxtG"/>
        <w:ind w:firstLine="567"/>
        <w:rPr>
          <w:lang w:val="fr-FR"/>
        </w:rPr>
      </w:pPr>
      <w:r w:rsidRPr="0060079B">
        <w:rPr>
          <w:i/>
          <w:lang w:val="fr-FR"/>
        </w:rPr>
        <w:t>Ayant examiné</w:t>
      </w:r>
      <w:r w:rsidRPr="0060079B">
        <w:rPr>
          <w:lang w:val="fr-FR"/>
        </w:rPr>
        <w:t xml:space="preserve"> les dispositions de l</w:t>
      </w:r>
      <w:r>
        <w:rPr>
          <w:lang w:val="fr-FR"/>
        </w:rPr>
        <w:t>’</w:t>
      </w:r>
      <w:r w:rsidRPr="0060079B">
        <w:rPr>
          <w:lang w:val="fr-FR"/>
        </w:rPr>
        <w:t>article</w:t>
      </w:r>
      <w:r>
        <w:rPr>
          <w:lang w:val="fr-FR"/>
        </w:rPr>
        <w:t> </w:t>
      </w:r>
      <w:r w:rsidRPr="0060079B">
        <w:rPr>
          <w:lang w:val="fr-FR"/>
        </w:rPr>
        <w:t>6 de l</w:t>
      </w:r>
      <w:r>
        <w:rPr>
          <w:lang w:val="fr-FR"/>
        </w:rPr>
        <w:t>’</w:t>
      </w:r>
      <w:r w:rsidRPr="0060079B">
        <w:rPr>
          <w:lang w:val="fr-FR"/>
        </w:rPr>
        <w:t>Accord européen relatif au transport international des marchandises dangereuses par route (ADR), en date, à Genève, du 30</w:t>
      </w:r>
      <w:r>
        <w:rPr>
          <w:lang w:val="fr-FR"/>
        </w:rPr>
        <w:t> </w:t>
      </w:r>
      <w:r w:rsidRPr="0060079B">
        <w:rPr>
          <w:lang w:val="fr-FR"/>
        </w:rPr>
        <w:t>septembre 1957 (ci-après dénommé « l</w:t>
      </w:r>
      <w:r>
        <w:rPr>
          <w:lang w:val="fr-FR"/>
        </w:rPr>
        <w:t>’</w:t>
      </w:r>
      <w:r w:rsidRPr="0060079B">
        <w:rPr>
          <w:lang w:val="fr-FR"/>
        </w:rPr>
        <w:t>Accord »), en ce qui concerne les pays pouvant adhérer à l</w:t>
      </w:r>
      <w:r>
        <w:rPr>
          <w:lang w:val="fr-FR"/>
        </w:rPr>
        <w:t>’</w:t>
      </w:r>
      <w:r w:rsidRPr="0060079B">
        <w:rPr>
          <w:lang w:val="fr-FR"/>
        </w:rPr>
        <w:t>Accord ;</w:t>
      </w:r>
    </w:p>
    <w:p w:rsidR="00983783" w:rsidRPr="0060079B" w:rsidRDefault="00983783" w:rsidP="00983783">
      <w:pPr>
        <w:pStyle w:val="SingleTxtG"/>
        <w:ind w:firstLine="567"/>
        <w:rPr>
          <w:lang w:val="fr-FR"/>
        </w:rPr>
      </w:pPr>
      <w:r w:rsidRPr="0060079B">
        <w:rPr>
          <w:i/>
          <w:lang w:val="fr-FR"/>
        </w:rPr>
        <w:t>Constatant</w:t>
      </w:r>
      <w:r w:rsidRPr="0060079B">
        <w:rPr>
          <w:lang w:val="fr-FR"/>
        </w:rPr>
        <w:t xml:space="preserve"> que, conformément à cet article, l</w:t>
      </w:r>
      <w:r>
        <w:rPr>
          <w:lang w:val="fr-FR"/>
        </w:rPr>
        <w:t>’</w:t>
      </w:r>
      <w:r w:rsidRPr="0060079B">
        <w:rPr>
          <w:lang w:val="fr-FR"/>
        </w:rPr>
        <w:t>Accord est ouvert à l</w:t>
      </w:r>
      <w:r>
        <w:rPr>
          <w:lang w:val="fr-FR"/>
        </w:rPr>
        <w:t>’</w:t>
      </w:r>
      <w:r w:rsidRPr="0060079B">
        <w:rPr>
          <w:lang w:val="fr-FR"/>
        </w:rPr>
        <w:t>adhésion non seulement aux pays membres de la Commission économique pour l</w:t>
      </w:r>
      <w:r>
        <w:rPr>
          <w:lang w:val="fr-FR"/>
        </w:rPr>
        <w:t>’</w:t>
      </w:r>
      <w:r w:rsidRPr="0060079B">
        <w:rPr>
          <w:lang w:val="fr-FR"/>
        </w:rPr>
        <w:t>Europe et aux pays admis à la Commission à titre consultatif conformément au paragraphe</w:t>
      </w:r>
      <w:r>
        <w:rPr>
          <w:lang w:val="fr-FR"/>
        </w:rPr>
        <w:t> </w:t>
      </w:r>
      <w:r w:rsidRPr="0060079B">
        <w:rPr>
          <w:lang w:val="fr-FR"/>
        </w:rPr>
        <w:t>8 du mandat de cette Commission, mais aussi aux pays membres de l</w:t>
      </w:r>
      <w:r>
        <w:rPr>
          <w:lang w:val="fr-FR"/>
        </w:rPr>
        <w:t>’</w:t>
      </w:r>
      <w:r w:rsidRPr="0060079B">
        <w:rPr>
          <w:lang w:val="fr-FR"/>
        </w:rPr>
        <w:t>Organisation des Nations Unies (non membres de la Commission) qui participent aux travaux de la Commission, en application du paragraphe</w:t>
      </w:r>
      <w:r>
        <w:rPr>
          <w:lang w:val="fr-FR"/>
        </w:rPr>
        <w:t> </w:t>
      </w:r>
      <w:r w:rsidRPr="0060079B">
        <w:rPr>
          <w:lang w:val="fr-FR"/>
        </w:rPr>
        <w:t>11 de son mandat</w:t>
      </w:r>
      <w:r>
        <w:rPr>
          <w:lang w:val="fr-FR"/>
        </w:rPr>
        <w:t> </w:t>
      </w:r>
      <w:r w:rsidRPr="0060079B">
        <w:rPr>
          <w:lang w:val="fr-FR"/>
        </w:rPr>
        <w:t>;</w:t>
      </w:r>
    </w:p>
    <w:p w:rsidR="00983783" w:rsidRPr="0060079B" w:rsidRDefault="00983783" w:rsidP="00983783">
      <w:pPr>
        <w:pStyle w:val="SingleTxtG"/>
        <w:ind w:firstLine="567"/>
        <w:rPr>
          <w:lang w:val="fr-FR"/>
        </w:rPr>
      </w:pPr>
      <w:r w:rsidRPr="0060079B">
        <w:rPr>
          <w:i/>
          <w:lang w:val="fr-FR"/>
        </w:rPr>
        <w:t>Ayant à l</w:t>
      </w:r>
      <w:r>
        <w:rPr>
          <w:i/>
          <w:lang w:val="fr-FR"/>
        </w:rPr>
        <w:t>’</w:t>
      </w:r>
      <w:r w:rsidRPr="0060079B">
        <w:rPr>
          <w:i/>
          <w:lang w:val="fr-FR"/>
        </w:rPr>
        <w:t>esprit</w:t>
      </w:r>
      <w:r w:rsidRPr="0060079B">
        <w:rPr>
          <w:lang w:val="fr-FR"/>
        </w:rPr>
        <w:t xml:space="preserve"> la résolution 72/271 de l</w:t>
      </w:r>
      <w:r>
        <w:rPr>
          <w:lang w:val="fr-FR"/>
        </w:rPr>
        <w:t>’</w:t>
      </w:r>
      <w:r w:rsidRPr="0060079B">
        <w:rPr>
          <w:lang w:val="fr-FR"/>
        </w:rPr>
        <w:t>Assemblée générale du 12</w:t>
      </w:r>
      <w:r>
        <w:rPr>
          <w:lang w:val="fr-FR"/>
        </w:rPr>
        <w:t> </w:t>
      </w:r>
      <w:r w:rsidRPr="0060079B">
        <w:rPr>
          <w:lang w:val="fr-FR"/>
        </w:rPr>
        <w:t>avril 2018 sur l</w:t>
      </w:r>
      <w:r>
        <w:rPr>
          <w:lang w:val="fr-FR"/>
        </w:rPr>
        <w:t>’</w:t>
      </w:r>
      <w:r w:rsidRPr="0060079B">
        <w:rPr>
          <w:lang w:val="fr-FR"/>
        </w:rPr>
        <w:t>amélioration de la sécurité routière mondiale, dans laquelle l</w:t>
      </w:r>
      <w:r>
        <w:rPr>
          <w:lang w:val="fr-FR"/>
        </w:rPr>
        <w:t>’</w:t>
      </w:r>
      <w:r w:rsidRPr="0060079B">
        <w:rPr>
          <w:lang w:val="fr-FR"/>
        </w:rPr>
        <w:t>Assemblée a réaffirmé le rôle important que joue l</w:t>
      </w:r>
      <w:r>
        <w:rPr>
          <w:lang w:val="fr-FR"/>
        </w:rPr>
        <w:t>’</w:t>
      </w:r>
      <w:r w:rsidRPr="0060079B">
        <w:rPr>
          <w:lang w:val="fr-FR"/>
        </w:rPr>
        <w:t>ADR, parmi les instruments juridiques des Nations Unies, dans la promotion de la sécurité routière aux niveaux mondial, régional et national, et encouragé les États Membres qui ne l</w:t>
      </w:r>
      <w:r>
        <w:rPr>
          <w:lang w:val="fr-FR"/>
        </w:rPr>
        <w:t>’</w:t>
      </w:r>
      <w:r w:rsidRPr="0060079B">
        <w:rPr>
          <w:lang w:val="fr-FR"/>
        </w:rPr>
        <w:t>ont pas encore fait à envisager de devenir parties contractantes</w:t>
      </w:r>
      <w:r>
        <w:rPr>
          <w:lang w:val="fr-FR"/>
        </w:rPr>
        <w:t> </w:t>
      </w:r>
      <w:r w:rsidRPr="0060079B">
        <w:rPr>
          <w:lang w:val="fr-FR"/>
        </w:rPr>
        <w:t xml:space="preserve">; </w:t>
      </w:r>
    </w:p>
    <w:p w:rsidR="00983783" w:rsidRPr="0060079B" w:rsidRDefault="00983783" w:rsidP="00983783">
      <w:pPr>
        <w:pStyle w:val="SingleTxtG"/>
        <w:ind w:firstLine="567"/>
        <w:rPr>
          <w:lang w:val="fr-FR"/>
        </w:rPr>
      </w:pPr>
      <w:r w:rsidRPr="0060079B">
        <w:rPr>
          <w:i/>
          <w:lang w:val="fr-FR"/>
        </w:rPr>
        <w:t>Prenant note</w:t>
      </w:r>
      <w:r w:rsidRPr="0060079B">
        <w:rPr>
          <w:lang w:val="fr-FR"/>
        </w:rPr>
        <w:t xml:space="preserve"> des vues du Groupe de travail des transports de marchandises dangereuses du Comité des transports intérieurs de la Commission économique pour l</w:t>
      </w:r>
      <w:r>
        <w:rPr>
          <w:lang w:val="fr-FR"/>
        </w:rPr>
        <w:t>’</w:t>
      </w:r>
      <w:r w:rsidRPr="0060079B">
        <w:rPr>
          <w:lang w:val="fr-FR"/>
        </w:rPr>
        <w:t xml:space="preserve">Europe et de la proposition du Gouvernement portugais, selon lesquelles la mention </w:t>
      </w:r>
      <w:r>
        <w:rPr>
          <w:lang w:val="fr-FR"/>
        </w:rPr>
        <w:t>« </w:t>
      </w:r>
      <w:r w:rsidRPr="0060079B">
        <w:rPr>
          <w:lang w:val="fr-FR"/>
        </w:rPr>
        <w:t>Européen</w:t>
      </w:r>
      <w:r>
        <w:rPr>
          <w:lang w:val="fr-FR"/>
        </w:rPr>
        <w:t> »</w:t>
      </w:r>
      <w:r w:rsidRPr="0060079B">
        <w:rPr>
          <w:lang w:val="fr-FR"/>
        </w:rPr>
        <w:t xml:space="preserve"> dans le titre de l</w:t>
      </w:r>
      <w:r>
        <w:rPr>
          <w:lang w:val="fr-FR"/>
        </w:rPr>
        <w:t>’</w:t>
      </w:r>
      <w:r w:rsidRPr="0060079B">
        <w:rPr>
          <w:lang w:val="fr-FR"/>
        </w:rPr>
        <w:t>Accord n</w:t>
      </w:r>
      <w:r>
        <w:rPr>
          <w:lang w:val="fr-FR"/>
        </w:rPr>
        <w:t>’</w:t>
      </w:r>
      <w:r w:rsidRPr="0060079B">
        <w:rPr>
          <w:lang w:val="fr-FR"/>
        </w:rPr>
        <w:t>est pas compatible avec les conditions de participation des États non européens énoncées dans son article</w:t>
      </w:r>
      <w:r>
        <w:rPr>
          <w:lang w:val="fr-FR"/>
        </w:rPr>
        <w:t> </w:t>
      </w:r>
      <w:r w:rsidRPr="0060079B">
        <w:rPr>
          <w:lang w:val="fr-FR"/>
        </w:rPr>
        <w:t>6 et peut constituer un obstacle à l</w:t>
      </w:r>
      <w:r>
        <w:rPr>
          <w:lang w:val="fr-FR"/>
        </w:rPr>
        <w:t>’</w:t>
      </w:r>
      <w:r w:rsidRPr="0060079B">
        <w:rPr>
          <w:lang w:val="fr-FR"/>
        </w:rPr>
        <w:t>adhésion des États non membres de la Commission</w:t>
      </w:r>
      <w:r>
        <w:rPr>
          <w:lang w:val="fr-FR"/>
        </w:rPr>
        <w:t> </w:t>
      </w:r>
      <w:r w:rsidRPr="0060079B">
        <w:rPr>
          <w:lang w:val="fr-FR"/>
        </w:rPr>
        <w:t>;</w:t>
      </w:r>
    </w:p>
    <w:p w:rsidR="00983783" w:rsidRPr="0060079B" w:rsidRDefault="00983783" w:rsidP="00983783">
      <w:pPr>
        <w:pStyle w:val="SingleTxtG"/>
        <w:ind w:firstLine="567"/>
        <w:rPr>
          <w:lang w:val="fr-FR"/>
        </w:rPr>
      </w:pPr>
      <w:r w:rsidRPr="0060079B">
        <w:rPr>
          <w:i/>
          <w:lang w:val="fr-FR"/>
        </w:rPr>
        <w:t>Conviennent</w:t>
      </w:r>
      <w:r w:rsidRPr="0060079B">
        <w:rPr>
          <w:lang w:val="fr-FR"/>
        </w:rPr>
        <w:t xml:space="preserve"> de ce qui suit :</w:t>
      </w:r>
    </w:p>
    <w:p w:rsidR="00983783" w:rsidRPr="0060079B" w:rsidRDefault="00983783" w:rsidP="00EF15A5">
      <w:pPr>
        <w:pStyle w:val="SingleTxtG"/>
        <w:jc w:val="center"/>
        <w:rPr>
          <w:lang w:val="fr-FR"/>
        </w:rPr>
      </w:pPr>
      <w:r w:rsidRPr="0060079B">
        <w:rPr>
          <w:lang w:val="fr-FR"/>
        </w:rPr>
        <w:t xml:space="preserve">ARTICLE </w:t>
      </w:r>
      <w:r w:rsidR="00EF15A5">
        <w:rPr>
          <w:lang w:val="fr-FR"/>
        </w:rPr>
        <w:t>1</w:t>
      </w:r>
    </w:p>
    <w:p w:rsidR="00983783" w:rsidRPr="0060079B" w:rsidRDefault="00983783" w:rsidP="00983783">
      <w:pPr>
        <w:pStyle w:val="SingleTxtG"/>
        <w:jc w:val="center"/>
        <w:rPr>
          <w:lang w:val="fr-FR"/>
        </w:rPr>
      </w:pPr>
      <w:r w:rsidRPr="0060079B">
        <w:rPr>
          <w:lang w:val="fr-FR"/>
        </w:rPr>
        <w:t>Modification du titre de l</w:t>
      </w:r>
      <w:r>
        <w:rPr>
          <w:lang w:val="fr-FR"/>
        </w:rPr>
        <w:t>’</w:t>
      </w:r>
      <w:r w:rsidRPr="0060079B">
        <w:rPr>
          <w:lang w:val="fr-FR"/>
        </w:rPr>
        <w:t>Accord</w:t>
      </w:r>
    </w:p>
    <w:p w:rsidR="00983783" w:rsidRPr="0060079B" w:rsidRDefault="00983783" w:rsidP="00983783">
      <w:pPr>
        <w:pStyle w:val="SingleTxtG"/>
        <w:ind w:firstLine="567"/>
        <w:rPr>
          <w:lang w:val="fr-FR"/>
        </w:rPr>
      </w:pPr>
      <w:r w:rsidRPr="0060079B">
        <w:rPr>
          <w:lang w:val="fr-FR"/>
        </w:rPr>
        <w:t>Le titre de l</w:t>
      </w:r>
      <w:r>
        <w:rPr>
          <w:lang w:val="fr-FR"/>
        </w:rPr>
        <w:t>’</w:t>
      </w:r>
      <w:r w:rsidRPr="0060079B">
        <w:rPr>
          <w:lang w:val="fr-FR"/>
        </w:rPr>
        <w:t>Accord est modifié de manière à se lire comme suit</w:t>
      </w:r>
      <w:r>
        <w:rPr>
          <w:lang w:val="fr-FR"/>
        </w:rPr>
        <w:t> </w:t>
      </w:r>
      <w:r w:rsidRPr="0060079B">
        <w:rPr>
          <w:lang w:val="fr-FR"/>
        </w:rPr>
        <w:t xml:space="preserve">: </w:t>
      </w:r>
      <w:r>
        <w:rPr>
          <w:lang w:val="fr-FR"/>
        </w:rPr>
        <w:t>« </w:t>
      </w:r>
      <w:r w:rsidRPr="0060079B">
        <w:rPr>
          <w:lang w:val="fr-FR"/>
        </w:rPr>
        <w:t>Accord relatif au transport international des marchandises dangereuses par route</w:t>
      </w:r>
      <w:r>
        <w:rPr>
          <w:lang w:val="fr-FR"/>
        </w:rPr>
        <w:t> »</w:t>
      </w:r>
      <w:r w:rsidRPr="0060079B">
        <w:rPr>
          <w:lang w:val="fr-FR"/>
        </w:rPr>
        <w:t>. L</w:t>
      </w:r>
      <w:r>
        <w:rPr>
          <w:lang w:val="fr-FR"/>
        </w:rPr>
        <w:t>’</w:t>
      </w:r>
      <w:r w:rsidRPr="0060079B">
        <w:rPr>
          <w:lang w:val="fr-FR"/>
        </w:rPr>
        <w:t>acronyme «</w:t>
      </w:r>
      <w:r>
        <w:rPr>
          <w:lang w:val="fr-FR"/>
        </w:rPr>
        <w:t> </w:t>
      </w:r>
      <w:r w:rsidRPr="0060079B">
        <w:rPr>
          <w:lang w:val="fr-FR"/>
        </w:rPr>
        <w:t>ADR</w:t>
      </w:r>
      <w:r>
        <w:rPr>
          <w:lang w:val="fr-FR"/>
        </w:rPr>
        <w:t> </w:t>
      </w:r>
      <w:r w:rsidRPr="0060079B">
        <w:rPr>
          <w:lang w:val="fr-FR"/>
        </w:rPr>
        <w:t>» reste inchangé.</w:t>
      </w:r>
    </w:p>
    <w:p w:rsidR="00983783" w:rsidRPr="0060079B" w:rsidRDefault="00983783" w:rsidP="00983783">
      <w:pPr>
        <w:pStyle w:val="SingleTxtG"/>
        <w:jc w:val="center"/>
        <w:rPr>
          <w:lang w:val="fr-FR"/>
        </w:rPr>
      </w:pPr>
      <w:r w:rsidRPr="0060079B">
        <w:rPr>
          <w:lang w:val="fr-FR"/>
        </w:rPr>
        <w:t>ARTICLE 2</w:t>
      </w:r>
    </w:p>
    <w:p w:rsidR="00983783" w:rsidRPr="0060079B" w:rsidRDefault="00983783" w:rsidP="00983783">
      <w:pPr>
        <w:pStyle w:val="SingleTxtG"/>
        <w:jc w:val="center"/>
        <w:rPr>
          <w:lang w:val="fr-FR"/>
        </w:rPr>
      </w:pPr>
      <w:r w:rsidRPr="0060079B">
        <w:rPr>
          <w:lang w:val="fr-FR"/>
        </w:rPr>
        <w:t>Entrée en vigueur</w:t>
      </w:r>
    </w:p>
    <w:p w:rsidR="00983783" w:rsidRPr="0060079B" w:rsidRDefault="00983783" w:rsidP="00983783">
      <w:pPr>
        <w:pStyle w:val="SingleTxtG"/>
        <w:rPr>
          <w:lang w:val="fr-FR"/>
        </w:rPr>
      </w:pPr>
      <w:r w:rsidRPr="0060079B">
        <w:rPr>
          <w:lang w:val="fr-FR"/>
        </w:rPr>
        <w:t>1.</w:t>
      </w:r>
      <w:r w:rsidRPr="0060079B">
        <w:rPr>
          <w:lang w:val="fr-FR"/>
        </w:rPr>
        <w:tab/>
        <w:t>L</w:t>
      </w:r>
      <w:r>
        <w:rPr>
          <w:lang w:val="fr-FR"/>
        </w:rPr>
        <w:t>’</w:t>
      </w:r>
      <w:r w:rsidRPr="0060079B">
        <w:rPr>
          <w:lang w:val="fr-FR"/>
        </w:rPr>
        <w:t>amendement visé à l</w:t>
      </w:r>
      <w:r>
        <w:rPr>
          <w:lang w:val="fr-FR"/>
        </w:rPr>
        <w:t>’</w:t>
      </w:r>
      <w:r w:rsidRPr="0060079B">
        <w:rPr>
          <w:lang w:val="fr-FR"/>
        </w:rPr>
        <w:t xml:space="preserve">article premier est réputé accepté si aucune des Parties ne notifie son opposition par écrit au Secrétaire général dans un délai de six mois à compter de la date à laquelle le Secrétaire général a fait diffuser le Protocole adopté. </w:t>
      </w:r>
    </w:p>
    <w:p w:rsidR="00983783" w:rsidRPr="0060079B" w:rsidRDefault="00983783" w:rsidP="00983783">
      <w:pPr>
        <w:pStyle w:val="SingleTxtG"/>
        <w:rPr>
          <w:lang w:val="fr-FR"/>
        </w:rPr>
      </w:pPr>
      <w:r w:rsidRPr="0060079B">
        <w:rPr>
          <w:lang w:val="fr-FR"/>
        </w:rPr>
        <w:t>2.</w:t>
      </w:r>
      <w:r w:rsidRPr="0060079B">
        <w:rPr>
          <w:lang w:val="fr-FR"/>
        </w:rPr>
        <w:tab/>
        <w:t>Le Secrétaire général adresse le plus tôt possible à toutes les Parties contractantes une notification pour leur faire savoir si une objection a été formulée contre le projet d</w:t>
      </w:r>
      <w:r>
        <w:rPr>
          <w:lang w:val="fr-FR"/>
        </w:rPr>
        <w:t>’</w:t>
      </w:r>
      <w:r w:rsidRPr="0060079B">
        <w:rPr>
          <w:lang w:val="fr-FR"/>
        </w:rPr>
        <w:t>amendement dans les six mois qui suivent la date de diffusion. Si une telle objection a été formulée pendant cette période, l</w:t>
      </w:r>
      <w:r>
        <w:rPr>
          <w:lang w:val="fr-FR"/>
        </w:rPr>
        <w:t>’</w:t>
      </w:r>
      <w:r w:rsidRPr="0060079B">
        <w:rPr>
          <w:lang w:val="fr-FR"/>
        </w:rPr>
        <w:t>amendement est considéré comme n</w:t>
      </w:r>
      <w:r>
        <w:rPr>
          <w:lang w:val="fr-FR"/>
        </w:rPr>
        <w:t>’</w:t>
      </w:r>
      <w:r w:rsidRPr="0060079B">
        <w:rPr>
          <w:lang w:val="fr-FR"/>
        </w:rPr>
        <w:t>ayant pas été accepté et reste sans aucun effet.</w:t>
      </w:r>
    </w:p>
    <w:p w:rsidR="00983783" w:rsidRPr="0060079B" w:rsidRDefault="00983783" w:rsidP="00983783">
      <w:pPr>
        <w:pStyle w:val="SingleTxtG"/>
        <w:rPr>
          <w:lang w:val="fr-FR"/>
        </w:rPr>
      </w:pPr>
      <w:r w:rsidRPr="0060079B">
        <w:rPr>
          <w:lang w:val="fr-FR"/>
        </w:rPr>
        <w:t>3.</w:t>
      </w:r>
      <w:r w:rsidRPr="0060079B">
        <w:rPr>
          <w:lang w:val="fr-FR"/>
        </w:rPr>
        <w:tab/>
        <w:t>En l</w:t>
      </w:r>
      <w:r>
        <w:rPr>
          <w:lang w:val="fr-FR"/>
        </w:rPr>
        <w:t>’</w:t>
      </w:r>
      <w:r w:rsidRPr="0060079B">
        <w:rPr>
          <w:lang w:val="fr-FR"/>
        </w:rPr>
        <w:t>absence d</w:t>
      </w:r>
      <w:r>
        <w:rPr>
          <w:lang w:val="fr-FR"/>
        </w:rPr>
        <w:t>’</w:t>
      </w:r>
      <w:r w:rsidRPr="0060079B">
        <w:rPr>
          <w:lang w:val="fr-FR"/>
        </w:rPr>
        <w:t>objection</w:t>
      </w:r>
      <w:r>
        <w:rPr>
          <w:lang w:val="fr-FR"/>
        </w:rPr>
        <w:t xml:space="preserve"> pendant cette période</w:t>
      </w:r>
      <w:r w:rsidRPr="0060079B">
        <w:rPr>
          <w:lang w:val="fr-FR"/>
        </w:rPr>
        <w:t>, l</w:t>
      </w:r>
      <w:r>
        <w:rPr>
          <w:lang w:val="fr-FR"/>
        </w:rPr>
        <w:t>’</w:t>
      </w:r>
      <w:r w:rsidRPr="0060079B">
        <w:rPr>
          <w:lang w:val="fr-FR"/>
        </w:rPr>
        <w:t>amendement entre en vigueur pour toutes les Parties à l</w:t>
      </w:r>
      <w:r>
        <w:rPr>
          <w:lang w:val="fr-FR"/>
        </w:rPr>
        <w:t>’</w:t>
      </w:r>
      <w:r w:rsidRPr="0060079B">
        <w:rPr>
          <w:lang w:val="fr-FR"/>
        </w:rPr>
        <w:t xml:space="preserve">Accord </w:t>
      </w:r>
      <w:r>
        <w:rPr>
          <w:lang w:val="fr-FR"/>
        </w:rPr>
        <w:t>le 1 janvier 2021</w:t>
      </w:r>
      <w:r w:rsidRPr="0060079B">
        <w:rPr>
          <w:lang w:val="fr-FR"/>
        </w:rPr>
        <w:t>.</w:t>
      </w:r>
    </w:p>
    <w:p w:rsidR="00983783" w:rsidRPr="0060079B" w:rsidRDefault="00983783" w:rsidP="00983783">
      <w:pPr>
        <w:pStyle w:val="SingleTxtG"/>
        <w:rPr>
          <w:lang w:val="fr-FR"/>
        </w:rPr>
      </w:pPr>
      <w:r w:rsidRPr="0060079B">
        <w:rPr>
          <w:lang w:val="fr-FR"/>
        </w:rPr>
        <w:t>4.</w:t>
      </w:r>
      <w:r w:rsidRPr="0060079B">
        <w:rPr>
          <w:lang w:val="fr-FR"/>
        </w:rPr>
        <w:tab/>
        <w:t>Tout État qui devient partie à l</w:t>
      </w:r>
      <w:r>
        <w:rPr>
          <w:lang w:val="fr-FR"/>
        </w:rPr>
        <w:t>’</w:t>
      </w:r>
      <w:r w:rsidRPr="0060079B">
        <w:rPr>
          <w:lang w:val="fr-FR"/>
        </w:rPr>
        <w:t>ADR après l</w:t>
      </w:r>
      <w:r>
        <w:rPr>
          <w:lang w:val="fr-FR"/>
        </w:rPr>
        <w:t>’</w:t>
      </w:r>
      <w:r w:rsidRPr="0060079B">
        <w:rPr>
          <w:lang w:val="fr-FR"/>
        </w:rPr>
        <w:t xml:space="preserve">expiration du délai de </w:t>
      </w:r>
      <w:proofErr w:type="gramStart"/>
      <w:r w:rsidRPr="0060079B">
        <w:rPr>
          <w:lang w:val="fr-FR"/>
        </w:rPr>
        <w:t>six mois mentionné</w:t>
      </w:r>
      <w:proofErr w:type="gramEnd"/>
      <w:r w:rsidRPr="0060079B">
        <w:rPr>
          <w:lang w:val="fr-FR"/>
        </w:rPr>
        <w:t xml:space="preserve"> au paragraphe</w:t>
      </w:r>
      <w:r>
        <w:rPr>
          <w:lang w:val="fr-FR"/>
        </w:rPr>
        <w:t> </w:t>
      </w:r>
      <w:r w:rsidRPr="0060079B">
        <w:rPr>
          <w:lang w:val="fr-FR"/>
        </w:rPr>
        <w:t>1 ci-dessus, mais avant l</w:t>
      </w:r>
      <w:r>
        <w:rPr>
          <w:lang w:val="fr-FR"/>
        </w:rPr>
        <w:t>’</w:t>
      </w:r>
      <w:r w:rsidRPr="0060079B">
        <w:rPr>
          <w:lang w:val="fr-FR"/>
        </w:rPr>
        <w:t>entrée en vigueur du présent Protocole, devient partie au présent Protocole dès son entrée en vigueur. Tout État qui devient partie à l</w:t>
      </w:r>
      <w:r>
        <w:rPr>
          <w:lang w:val="fr-FR"/>
        </w:rPr>
        <w:t>’</w:t>
      </w:r>
      <w:r w:rsidRPr="0060079B">
        <w:rPr>
          <w:lang w:val="fr-FR"/>
        </w:rPr>
        <w:t>ADR après l</w:t>
      </w:r>
      <w:r>
        <w:rPr>
          <w:lang w:val="fr-FR"/>
        </w:rPr>
        <w:t>’</w:t>
      </w:r>
      <w:r w:rsidRPr="0060079B">
        <w:rPr>
          <w:lang w:val="fr-FR"/>
        </w:rPr>
        <w:t>entrée en vigueur du Protocole est lié par l</w:t>
      </w:r>
      <w:r>
        <w:rPr>
          <w:lang w:val="fr-FR"/>
        </w:rPr>
        <w:t>’</w:t>
      </w:r>
      <w:r w:rsidRPr="0060079B">
        <w:rPr>
          <w:lang w:val="fr-FR"/>
        </w:rPr>
        <w:t>ADR, tel que modifié par le présent Protocole.</w:t>
      </w:r>
    </w:p>
    <w:p w:rsidR="00983783" w:rsidRPr="0060079B" w:rsidRDefault="00983783" w:rsidP="00983783">
      <w:pPr>
        <w:pStyle w:val="SingleTxtG"/>
        <w:jc w:val="center"/>
        <w:rPr>
          <w:lang w:val="fr-FR"/>
        </w:rPr>
      </w:pPr>
      <w:bookmarkStart w:id="0" w:name="_GoBack"/>
      <w:bookmarkEnd w:id="0"/>
      <w:r w:rsidRPr="0060079B">
        <w:rPr>
          <w:lang w:val="fr-FR"/>
        </w:rPr>
        <w:lastRenderedPageBreak/>
        <w:t>ARTICLE 3</w:t>
      </w:r>
    </w:p>
    <w:p w:rsidR="00983783" w:rsidRDefault="00983783" w:rsidP="00983783">
      <w:pPr>
        <w:pStyle w:val="SingleTxtG"/>
        <w:ind w:firstLine="567"/>
        <w:rPr>
          <w:lang w:val="fr-FR"/>
        </w:rPr>
      </w:pPr>
      <w:r w:rsidRPr="0060079B">
        <w:rPr>
          <w:lang w:val="fr-FR"/>
        </w:rPr>
        <w:t>L</w:t>
      </w:r>
      <w:r>
        <w:rPr>
          <w:lang w:val="fr-FR"/>
        </w:rPr>
        <w:t>’</w:t>
      </w:r>
      <w:r w:rsidRPr="0060079B">
        <w:rPr>
          <w:lang w:val="fr-FR"/>
        </w:rPr>
        <w:t>original du présent Protocole, dont les textes français et anglais font également foi, est déposé auprès du dépositaire du traité.</w:t>
      </w:r>
    </w:p>
    <w:p w:rsidR="00983783" w:rsidRPr="00EF390E" w:rsidRDefault="00983783" w:rsidP="00983783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p w:rsidR="00534943" w:rsidRPr="00534943" w:rsidRDefault="00534943" w:rsidP="00534943"/>
    <w:sectPr w:rsidR="00534943" w:rsidRPr="00534943" w:rsidSect="000521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166" w:rsidRDefault="00052166" w:rsidP="00F95C08">
      <w:pPr>
        <w:spacing w:line="240" w:lineRule="auto"/>
      </w:pPr>
    </w:p>
  </w:endnote>
  <w:endnote w:type="continuationSeparator" w:id="0">
    <w:p w:rsidR="00052166" w:rsidRPr="00AC3823" w:rsidRDefault="00052166" w:rsidP="00AC3823">
      <w:pPr>
        <w:pStyle w:val="Footer"/>
      </w:pPr>
    </w:p>
  </w:endnote>
  <w:endnote w:type="continuationNotice" w:id="1">
    <w:p w:rsidR="00052166" w:rsidRDefault="0005216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166" w:rsidRPr="00052166" w:rsidRDefault="00052166" w:rsidP="00052166">
    <w:pPr>
      <w:pStyle w:val="Footer"/>
      <w:tabs>
        <w:tab w:val="right" w:pos="9638"/>
      </w:tabs>
      <w:rPr>
        <w:sz w:val="18"/>
      </w:rPr>
    </w:pPr>
    <w:r w:rsidRPr="00052166">
      <w:rPr>
        <w:b/>
        <w:sz w:val="18"/>
      </w:rPr>
      <w:fldChar w:fldCharType="begin"/>
    </w:r>
    <w:r w:rsidRPr="00052166">
      <w:rPr>
        <w:b/>
        <w:sz w:val="18"/>
      </w:rPr>
      <w:instrText xml:space="preserve"> PAGE  \* MERGEFORMAT </w:instrText>
    </w:r>
    <w:r w:rsidRPr="00052166">
      <w:rPr>
        <w:b/>
        <w:sz w:val="18"/>
      </w:rPr>
      <w:fldChar w:fldCharType="separate"/>
    </w:r>
    <w:r w:rsidRPr="00052166">
      <w:rPr>
        <w:b/>
        <w:noProof/>
        <w:sz w:val="18"/>
      </w:rPr>
      <w:t>2</w:t>
    </w:r>
    <w:r w:rsidRPr="0005216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166" w:rsidRPr="00052166" w:rsidRDefault="00052166" w:rsidP="00052166">
    <w:pPr>
      <w:pStyle w:val="Footer"/>
      <w:tabs>
        <w:tab w:val="right" w:pos="9638"/>
      </w:tabs>
      <w:rPr>
        <w:b/>
        <w:sz w:val="18"/>
      </w:rPr>
    </w:pPr>
    <w:r>
      <w:tab/>
    </w:r>
    <w:r w:rsidRPr="00052166">
      <w:rPr>
        <w:b/>
        <w:sz w:val="18"/>
      </w:rPr>
      <w:fldChar w:fldCharType="begin"/>
    </w:r>
    <w:r w:rsidRPr="00052166">
      <w:rPr>
        <w:b/>
        <w:sz w:val="18"/>
      </w:rPr>
      <w:instrText xml:space="preserve"> PAGE  \* MERGEFORMAT </w:instrText>
    </w:r>
    <w:r w:rsidRPr="00052166">
      <w:rPr>
        <w:b/>
        <w:sz w:val="18"/>
      </w:rPr>
      <w:fldChar w:fldCharType="separate"/>
    </w:r>
    <w:r w:rsidRPr="00052166">
      <w:rPr>
        <w:b/>
        <w:noProof/>
        <w:sz w:val="18"/>
      </w:rPr>
      <w:t>3</w:t>
    </w:r>
    <w:r w:rsidRPr="0005216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EE9" w:rsidRPr="00052166" w:rsidRDefault="000D3EE9" w:rsidP="0001207F">
    <w:pPr>
      <w:pStyle w:val="Footer"/>
      <w:spacing w:before="12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166" w:rsidRPr="00AC3823" w:rsidRDefault="0005216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52166" w:rsidRPr="00AC3823" w:rsidRDefault="0005216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52166" w:rsidRPr="00AC3823" w:rsidRDefault="00052166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166" w:rsidRPr="00052166" w:rsidRDefault="004A05D2">
    <w:pPr>
      <w:pStyle w:val="Header"/>
    </w:pPr>
    <w:r>
      <w:t>ECE/TRANS/CONF/ADR/2019/2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166" w:rsidRPr="00052166" w:rsidRDefault="00EF15A5" w:rsidP="00052166">
    <w:pPr>
      <w:pStyle w:val="Header"/>
      <w:jc w:val="right"/>
    </w:pPr>
    <w:fldSimple w:instr=" TITLE  \* MERGEFORMAT ">
      <w:r w:rsidR="004A05D2">
        <w:t>ECE/CONF/ADR/2019/2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15D" w:rsidRDefault="00B6615D">
    <w:pPr>
      <w:pStyle w:val="Header"/>
    </w:pPr>
    <w:r>
      <w:t>ECE/</w:t>
    </w:r>
    <w:r w:rsidR="00B132D1">
      <w:t>TRANS/</w:t>
    </w:r>
    <w:r>
      <w:t>CONF/ADR/2019/2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F2324AE-7E1B-46E0-BE39-6171A5137F5D}"/>
    <w:docVar w:name="dgnword-eventsink" w:val="646185176"/>
  </w:docVars>
  <w:rsids>
    <w:rsidRoot w:val="00052166"/>
    <w:rsid w:val="0001207F"/>
    <w:rsid w:val="00017F94"/>
    <w:rsid w:val="00023842"/>
    <w:rsid w:val="000334F9"/>
    <w:rsid w:val="0004639C"/>
    <w:rsid w:val="00052166"/>
    <w:rsid w:val="0007796D"/>
    <w:rsid w:val="000942EE"/>
    <w:rsid w:val="000A4A5B"/>
    <w:rsid w:val="000A52BF"/>
    <w:rsid w:val="000B7790"/>
    <w:rsid w:val="000D3EE9"/>
    <w:rsid w:val="000D62F3"/>
    <w:rsid w:val="00111F2F"/>
    <w:rsid w:val="001433FD"/>
    <w:rsid w:val="0014365E"/>
    <w:rsid w:val="001541D3"/>
    <w:rsid w:val="00156B77"/>
    <w:rsid w:val="00176178"/>
    <w:rsid w:val="00177140"/>
    <w:rsid w:val="001D400F"/>
    <w:rsid w:val="001F525A"/>
    <w:rsid w:val="00223272"/>
    <w:rsid w:val="00240333"/>
    <w:rsid w:val="0024779E"/>
    <w:rsid w:val="002832AC"/>
    <w:rsid w:val="002D7C93"/>
    <w:rsid w:val="0035573F"/>
    <w:rsid w:val="0037241C"/>
    <w:rsid w:val="003819FF"/>
    <w:rsid w:val="00441C3B"/>
    <w:rsid w:val="00446B0A"/>
    <w:rsid w:val="00446FE5"/>
    <w:rsid w:val="00452396"/>
    <w:rsid w:val="00471288"/>
    <w:rsid w:val="0049687C"/>
    <w:rsid w:val="004A05D2"/>
    <w:rsid w:val="004E468C"/>
    <w:rsid w:val="005316B0"/>
    <w:rsid w:val="00534943"/>
    <w:rsid w:val="005505B7"/>
    <w:rsid w:val="00573BE5"/>
    <w:rsid w:val="00586ED3"/>
    <w:rsid w:val="00596AA9"/>
    <w:rsid w:val="005B4D0F"/>
    <w:rsid w:val="00703D0F"/>
    <w:rsid w:val="00706363"/>
    <w:rsid w:val="007158BB"/>
    <w:rsid w:val="0071601D"/>
    <w:rsid w:val="0075410D"/>
    <w:rsid w:val="007A62E6"/>
    <w:rsid w:val="0080684C"/>
    <w:rsid w:val="008204DA"/>
    <w:rsid w:val="008535AD"/>
    <w:rsid w:val="00871C75"/>
    <w:rsid w:val="008767E8"/>
    <w:rsid w:val="008776DC"/>
    <w:rsid w:val="00883605"/>
    <w:rsid w:val="008E6043"/>
    <w:rsid w:val="00961E7B"/>
    <w:rsid w:val="009705C8"/>
    <w:rsid w:val="00983783"/>
    <w:rsid w:val="009C1CF4"/>
    <w:rsid w:val="009F02C9"/>
    <w:rsid w:val="00A30353"/>
    <w:rsid w:val="00A62D91"/>
    <w:rsid w:val="00A90D54"/>
    <w:rsid w:val="00AA113A"/>
    <w:rsid w:val="00AC3823"/>
    <w:rsid w:val="00AE323C"/>
    <w:rsid w:val="00AF774C"/>
    <w:rsid w:val="00B00181"/>
    <w:rsid w:val="00B00B0D"/>
    <w:rsid w:val="00B132D1"/>
    <w:rsid w:val="00B40927"/>
    <w:rsid w:val="00B50E25"/>
    <w:rsid w:val="00B64918"/>
    <w:rsid w:val="00B6615D"/>
    <w:rsid w:val="00B765F7"/>
    <w:rsid w:val="00BA0CA9"/>
    <w:rsid w:val="00C02897"/>
    <w:rsid w:val="00C1626B"/>
    <w:rsid w:val="00C66A47"/>
    <w:rsid w:val="00C7616F"/>
    <w:rsid w:val="00CB16B5"/>
    <w:rsid w:val="00CE0608"/>
    <w:rsid w:val="00D3439C"/>
    <w:rsid w:val="00D44CF3"/>
    <w:rsid w:val="00D46C8C"/>
    <w:rsid w:val="00DB1831"/>
    <w:rsid w:val="00DD3BFD"/>
    <w:rsid w:val="00DE239D"/>
    <w:rsid w:val="00DF431C"/>
    <w:rsid w:val="00DF6678"/>
    <w:rsid w:val="00E428C8"/>
    <w:rsid w:val="00E92F1C"/>
    <w:rsid w:val="00EF15A5"/>
    <w:rsid w:val="00EF2E22"/>
    <w:rsid w:val="00F0592C"/>
    <w:rsid w:val="00F06ED4"/>
    <w:rsid w:val="00F43289"/>
    <w:rsid w:val="00F660DF"/>
    <w:rsid w:val="00F95C08"/>
    <w:rsid w:val="00FD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74DBD6"/>
  <w15:docId w15:val="{B2B55595-F83D-4FAF-91D2-9D93B210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E2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706363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706363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1207F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01207F"/>
    <w:rPr>
      <w:rFonts w:ascii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1_24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TRANS_WP1_24_F.dotm</Template>
  <TotalTime>12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ECE/CONF/ADR/2019/2</vt:lpstr>
      <vt:lpstr>ECE/EX/22</vt:lpstr>
    </vt:vector>
  </TitlesOfParts>
  <Company>DCM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ECE/CONF/ADR/2019/2</dc:title>
  <dc:subject>FINAL</dc:subject>
  <dc:creator>Rosa Garcia-Couto</dc:creator>
  <cp:keywords/>
  <dc:description/>
  <cp:lastModifiedBy>Rosa Garcia Couto</cp:lastModifiedBy>
  <cp:revision>10</cp:revision>
  <cp:lastPrinted>2019-05-22T08:47:00Z</cp:lastPrinted>
  <dcterms:created xsi:type="dcterms:W3CDTF">2019-05-15T13:00:00Z</dcterms:created>
  <dcterms:modified xsi:type="dcterms:W3CDTF">2019-05-22T08:49:00Z</dcterms:modified>
</cp:coreProperties>
</file>