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24A9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24A93" w:rsidP="00624A93">
            <w:pPr>
              <w:jc w:val="right"/>
            </w:pPr>
            <w:r w:rsidRPr="00624A93">
              <w:rPr>
                <w:sz w:val="40"/>
              </w:rPr>
              <w:t>ECE</w:t>
            </w:r>
            <w:r>
              <w:t>/TRANS/ADR/CONF/2019/2</w:t>
            </w:r>
          </w:p>
        </w:tc>
      </w:tr>
      <w:tr w:rsidR="002D5AAC" w:rsidRPr="00624A9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24A9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24A93" w:rsidRDefault="00624A93" w:rsidP="00624A9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May 2019</w:t>
            </w:r>
          </w:p>
          <w:p w:rsidR="00624A93" w:rsidRDefault="00624A93" w:rsidP="00624A9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24A93" w:rsidRPr="008D53B6" w:rsidRDefault="00624A93" w:rsidP="00624A9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624A93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24A93" w:rsidRPr="00781095" w:rsidRDefault="00624A93" w:rsidP="00624A93">
      <w:pPr>
        <w:spacing w:before="120"/>
        <w:rPr>
          <w:bCs/>
          <w:sz w:val="28"/>
          <w:szCs w:val="28"/>
        </w:rPr>
      </w:pPr>
      <w:r w:rsidRPr="00781095">
        <w:rPr>
          <w:sz w:val="28"/>
          <w:szCs w:val="28"/>
        </w:rPr>
        <w:t>Комитет по внутреннему транспорту</w:t>
      </w:r>
    </w:p>
    <w:p w:rsidR="00624A93" w:rsidRDefault="00624A93" w:rsidP="00624A93">
      <w:pPr>
        <w:spacing w:before="120"/>
        <w:rPr>
          <w:b/>
          <w:sz w:val="24"/>
          <w:szCs w:val="24"/>
        </w:rPr>
      </w:pPr>
      <w:bookmarkStart w:id="1" w:name="_Hlk1142647"/>
      <w:r w:rsidRPr="00781095">
        <w:rPr>
          <w:b/>
          <w:bCs/>
          <w:sz w:val="24"/>
          <w:szCs w:val="24"/>
        </w:rPr>
        <w:t>Конф</w:t>
      </w:r>
      <w:r>
        <w:rPr>
          <w:b/>
          <w:bCs/>
          <w:sz w:val="24"/>
          <w:szCs w:val="24"/>
        </w:rPr>
        <w:t>еренция Договаривающихся сторон</w:t>
      </w:r>
      <w:r>
        <w:rPr>
          <w:b/>
          <w:bCs/>
          <w:sz w:val="24"/>
          <w:szCs w:val="24"/>
        </w:rPr>
        <w:br/>
      </w:r>
      <w:r w:rsidRPr="00781095">
        <w:rPr>
          <w:b/>
          <w:bCs/>
          <w:sz w:val="24"/>
          <w:szCs w:val="24"/>
        </w:rPr>
        <w:t>Европейс</w:t>
      </w:r>
      <w:r>
        <w:rPr>
          <w:b/>
          <w:bCs/>
          <w:sz w:val="24"/>
          <w:szCs w:val="24"/>
        </w:rPr>
        <w:t>кого соглашения о международной</w:t>
      </w:r>
      <w:r>
        <w:rPr>
          <w:b/>
          <w:bCs/>
          <w:sz w:val="24"/>
          <w:szCs w:val="24"/>
        </w:rPr>
        <w:br/>
      </w:r>
      <w:r w:rsidRPr="00781095">
        <w:rPr>
          <w:b/>
          <w:bCs/>
          <w:sz w:val="24"/>
          <w:szCs w:val="24"/>
        </w:rPr>
        <w:t>дорожной п</w:t>
      </w:r>
      <w:r>
        <w:rPr>
          <w:b/>
          <w:bCs/>
          <w:sz w:val="24"/>
          <w:szCs w:val="24"/>
        </w:rPr>
        <w:t>еревозке опасных грузов (ДОПОГ)</w:t>
      </w:r>
      <w:r>
        <w:rPr>
          <w:b/>
          <w:bCs/>
          <w:sz w:val="24"/>
          <w:szCs w:val="24"/>
        </w:rPr>
        <w:br/>
      </w:r>
      <w:r w:rsidRPr="00781095">
        <w:rPr>
          <w:b/>
          <w:bCs/>
          <w:sz w:val="24"/>
          <w:szCs w:val="24"/>
        </w:rPr>
        <w:t>1957 года</w:t>
      </w:r>
      <w:bookmarkEnd w:id="1"/>
    </w:p>
    <w:p w:rsidR="00624A93" w:rsidRPr="00781095" w:rsidRDefault="00624A93" w:rsidP="00624A93">
      <w:pPr>
        <w:pStyle w:val="HChG"/>
      </w:pPr>
      <w:r>
        <w:tab/>
      </w:r>
      <w:r>
        <w:tab/>
      </w:r>
      <w:r>
        <w:rPr>
          <w:bCs/>
        </w:rPr>
        <w:t>Доклад второго совещания Конференции Договаривающихся сторон Европейского соглашения о международной дорожной перевозке опасных грузов 1957 года,</w:t>
      </w:r>
      <w:r>
        <w:t xml:space="preserve"> </w:t>
      </w:r>
    </w:p>
    <w:p w:rsidR="00624A93" w:rsidRPr="00781095" w:rsidRDefault="00624A93" w:rsidP="00624A93">
      <w:pPr>
        <w:pStyle w:val="SingleTxtG"/>
      </w:pPr>
      <w:r>
        <w:t xml:space="preserve">состоявшегося в Женеве 13 мая 2019 года </w:t>
      </w:r>
    </w:p>
    <w:p w:rsidR="00624A93" w:rsidRDefault="00624A93" w:rsidP="00F1583A">
      <w:pPr>
        <w:spacing w:after="120"/>
        <w:rPr>
          <w:sz w:val="28"/>
        </w:rPr>
      </w:pPr>
      <w:r>
        <w:rPr>
          <w:sz w:val="28"/>
        </w:rPr>
        <w:t>Содержание</w:t>
      </w:r>
    </w:p>
    <w:p w:rsidR="00624A93" w:rsidRDefault="00624A93" w:rsidP="00F1583A">
      <w:pPr>
        <w:tabs>
          <w:tab w:val="right" w:pos="8929"/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:rsidR="00624A93" w:rsidRPr="007702EE" w:rsidRDefault="00624A93" w:rsidP="00F1583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rPr>
          <w:lang w:val="fr-FR"/>
        </w:rPr>
        <w:t>I</w:t>
      </w:r>
      <w:r w:rsidRPr="007702EE">
        <w:t>.</w:t>
      </w:r>
      <w:r w:rsidRPr="007702EE">
        <w:tab/>
      </w:r>
      <w:r w:rsidRPr="00624A93">
        <w:t>Участие</w:t>
      </w:r>
      <w:r w:rsidRPr="007702EE">
        <w:t xml:space="preserve"> </w:t>
      </w:r>
      <w:r w:rsidRPr="007702EE">
        <w:tab/>
      </w:r>
      <w:r w:rsidRPr="007702EE">
        <w:tab/>
      </w:r>
      <w:r w:rsidRPr="007702EE">
        <w:tab/>
        <w:t>1–4</w:t>
      </w:r>
      <w:r w:rsidR="007702EE" w:rsidRPr="007702EE">
        <w:tab/>
      </w:r>
      <w:r w:rsidR="007702EE">
        <w:t>2</w:t>
      </w:r>
    </w:p>
    <w:p w:rsidR="00624A93" w:rsidRPr="00624A93" w:rsidRDefault="00624A93" w:rsidP="00F1583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702EE">
        <w:tab/>
      </w:r>
      <w:r>
        <w:rPr>
          <w:lang w:val="en-US"/>
        </w:rPr>
        <w:t>II</w:t>
      </w:r>
      <w:r w:rsidRPr="00624A93">
        <w:t>.</w:t>
      </w:r>
      <w:r w:rsidRPr="00624A93">
        <w:tab/>
        <w:t xml:space="preserve">Открытие Конференции (пункт 1 повестки дня) </w:t>
      </w:r>
      <w:r w:rsidRPr="00624A93">
        <w:tab/>
      </w:r>
      <w:r>
        <w:tab/>
      </w:r>
      <w:r w:rsidRPr="00624A93">
        <w:t>5</w:t>
      </w:r>
      <w:r w:rsidR="007702EE">
        <w:tab/>
        <w:t>2</w:t>
      </w:r>
    </w:p>
    <w:p w:rsidR="00624A93" w:rsidRPr="00624A93" w:rsidRDefault="00624A93" w:rsidP="00F1583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rPr>
          <w:lang w:val="en-US"/>
        </w:rPr>
        <w:t>III</w:t>
      </w:r>
      <w:r w:rsidRPr="007702EE">
        <w:t>.</w:t>
      </w:r>
      <w:r w:rsidRPr="007702EE">
        <w:tab/>
      </w:r>
      <w:r w:rsidRPr="00624A93">
        <w:t xml:space="preserve">Выборы должностных лиц (пункт 2 повестки дня) </w:t>
      </w:r>
      <w:r w:rsidRPr="00624A93">
        <w:tab/>
      </w:r>
      <w:r>
        <w:tab/>
      </w:r>
      <w:r w:rsidRPr="00624A93">
        <w:t>6–7</w:t>
      </w:r>
      <w:r w:rsidR="007702EE">
        <w:tab/>
        <w:t>2</w:t>
      </w:r>
    </w:p>
    <w:p w:rsidR="00624A93" w:rsidRPr="00624A93" w:rsidRDefault="00624A93" w:rsidP="00F1583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7702EE">
        <w:tab/>
      </w:r>
      <w:r>
        <w:rPr>
          <w:lang w:val="en-US"/>
        </w:rPr>
        <w:t>IV</w:t>
      </w:r>
      <w:r w:rsidRPr="00624A93">
        <w:t>.</w:t>
      </w:r>
      <w:r w:rsidRPr="00624A93">
        <w:tab/>
        <w:t xml:space="preserve">Полномочия (пункт 3 повестки дня) </w:t>
      </w:r>
      <w:r w:rsidRPr="00624A93">
        <w:tab/>
      </w:r>
      <w:r>
        <w:tab/>
      </w:r>
      <w:r w:rsidRPr="00624A93">
        <w:t>8–12</w:t>
      </w:r>
      <w:r w:rsidR="007702EE">
        <w:tab/>
        <w:t>2</w:t>
      </w:r>
    </w:p>
    <w:p w:rsidR="00624A93" w:rsidRPr="00624A93" w:rsidRDefault="00624A93" w:rsidP="00F1583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rPr>
          <w:lang w:val="en-US"/>
        </w:rPr>
        <w:t>V</w:t>
      </w:r>
      <w:r w:rsidRPr="00624A93">
        <w:t>.</w:t>
      </w:r>
      <w:r w:rsidRPr="00624A93">
        <w:tab/>
        <w:t xml:space="preserve">Утверждение повестки дня (пункт 4 повестки дня) </w:t>
      </w:r>
      <w:r w:rsidRPr="00624A93">
        <w:tab/>
      </w:r>
      <w:r>
        <w:tab/>
      </w:r>
      <w:r w:rsidRPr="00624A93">
        <w:t>13</w:t>
      </w:r>
      <w:r w:rsidR="007702EE">
        <w:tab/>
        <w:t>3</w:t>
      </w:r>
    </w:p>
    <w:p w:rsidR="00624A93" w:rsidRPr="00624A93" w:rsidRDefault="00624A93" w:rsidP="00F1583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rPr>
          <w:lang w:val="en-US"/>
        </w:rPr>
        <w:t>VI</w:t>
      </w:r>
      <w:r w:rsidRPr="00624A93">
        <w:t>.</w:t>
      </w:r>
      <w:r w:rsidRPr="00624A93">
        <w:tab/>
        <w:t xml:space="preserve">Правила процедуры (пункт 5 повестки дня) </w:t>
      </w:r>
      <w:r w:rsidRPr="00624A93">
        <w:tab/>
      </w:r>
      <w:r>
        <w:tab/>
      </w:r>
      <w:r w:rsidRPr="00624A93">
        <w:t>14–16</w:t>
      </w:r>
      <w:r w:rsidR="007702EE">
        <w:tab/>
        <w:t>3</w:t>
      </w:r>
    </w:p>
    <w:p w:rsidR="00624A93" w:rsidRPr="00624A93" w:rsidRDefault="00624A93" w:rsidP="00624A9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>
        <w:tab/>
      </w:r>
      <w:r>
        <w:rPr>
          <w:lang w:val="en-US"/>
        </w:rPr>
        <w:t>VII</w:t>
      </w:r>
      <w:r w:rsidRPr="00624A93">
        <w:t>.</w:t>
      </w:r>
      <w:r w:rsidRPr="00624A93">
        <w:tab/>
        <w:t>Рассмотрение и принятие проток</w:t>
      </w:r>
      <w:r>
        <w:t>ола о внесении поправки в ДОПОГ</w:t>
      </w:r>
      <w:r>
        <w:br/>
      </w:r>
      <w:r w:rsidRPr="00624A93">
        <w:t xml:space="preserve">(пункт 6 повестки дня) </w:t>
      </w:r>
      <w:r w:rsidRPr="00624A93">
        <w:tab/>
      </w:r>
      <w:r>
        <w:tab/>
      </w:r>
      <w:r w:rsidRPr="00624A93">
        <w:t>17–24</w:t>
      </w:r>
      <w:r w:rsidR="007702EE">
        <w:tab/>
        <w:t>3</w:t>
      </w:r>
    </w:p>
    <w:p w:rsidR="00624A93" w:rsidRPr="00624A93" w:rsidRDefault="00624A93" w:rsidP="00624A9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>
        <w:tab/>
      </w:r>
      <w:r>
        <w:rPr>
          <w:lang w:val="en-US"/>
        </w:rPr>
        <w:t>VIII</w:t>
      </w:r>
      <w:r w:rsidRPr="00624A93">
        <w:t>.</w:t>
      </w:r>
      <w:r w:rsidRPr="00624A93">
        <w:tab/>
        <w:t xml:space="preserve">Прочие вопросы (пункт 7 повестки дня) </w:t>
      </w:r>
      <w:r w:rsidRPr="00624A93">
        <w:tab/>
      </w:r>
      <w:r>
        <w:tab/>
      </w:r>
      <w:r w:rsidR="00687EA8">
        <w:t>25</w:t>
      </w:r>
      <w:r w:rsidR="007702EE">
        <w:tab/>
        <w:t>4</w:t>
      </w:r>
    </w:p>
    <w:p w:rsidR="00624A93" w:rsidRPr="00687EA8" w:rsidRDefault="00624A93" w:rsidP="00624A9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>
        <w:tab/>
      </w:r>
      <w:r>
        <w:rPr>
          <w:lang w:val="en-US"/>
        </w:rPr>
        <w:t>IX</w:t>
      </w:r>
      <w:r w:rsidRPr="00687EA8">
        <w:t>.</w:t>
      </w:r>
      <w:r w:rsidRPr="00687EA8">
        <w:tab/>
      </w:r>
      <w:r w:rsidR="00687EA8" w:rsidRPr="00687EA8">
        <w:t xml:space="preserve">Утверждение доклада (пункт 8 повестки дня) </w:t>
      </w:r>
      <w:r w:rsidR="00687EA8" w:rsidRPr="00687EA8">
        <w:tab/>
      </w:r>
      <w:r w:rsidR="00687EA8">
        <w:tab/>
      </w:r>
      <w:r w:rsidR="00687EA8" w:rsidRPr="00687EA8">
        <w:t>26</w:t>
      </w:r>
      <w:r w:rsidR="007702EE">
        <w:tab/>
        <w:t>4</w:t>
      </w:r>
    </w:p>
    <w:p w:rsidR="00624A93" w:rsidRPr="00781095" w:rsidRDefault="00624A93" w:rsidP="00624A9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  <w:t>Приложение</w:t>
      </w:r>
    </w:p>
    <w:p w:rsidR="00624A93" w:rsidRDefault="00624A93" w:rsidP="00687EA8">
      <w:pPr>
        <w:tabs>
          <w:tab w:val="right" w:pos="850"/>
          <w:tab w:val="left" w:pos="1134"/>
          <w:tab w:val="left" w:pos="1559"/>
          <w:tab w:val="left" w:pos="1984"/>
          <w:tab w:val="left" w:leader="dot" w:pos="9072"/>
          <w:tab w:val="right" w:pos="9638"/>
        </w:tabs>
        <w:spacing w:after="120"/>
        <w:ind w:left="1134"/>
      </w:pPr>
      <w:r>
        <w:t>Протокол о внесении поправки в н</w:t>
      </w:r>
      <w:r w:rsidR="00687EA8">
        <w:t>азвание Европейского соглашения</w:t>
      </w:r>
      <w:r w:rsidR="00687EA8">
        <w:br/>
      </w:r>
      <w:r>
        <w:t>о международной дорожной перевозке опасных грузов (ДОПОГ)</w:t>
      </w:r>
      <w:r w:rsidR="00687EA8">
        <w:br/>
      </w:r>
      <w:r>
        <w:t>от 30 сентября 1957 года</w:t>
      </w:r>
      <w:r w:rsidR="00687EA8" w:rsidRPr="00687EA8">
        <w:t xml:space="preserve"> </w:t>
      </w:r>
      <w:r>
        <w:tab/>
      </w:r>
      <w:r>
        <w:tab/>
      </w:r>
      <w:r w:rsidR="007702EE">
        <w:t>5</w:t>
      </w:r>
    </w:p>
    <w:p w:rsidR="00624A93" w:rsidRPr="00781095" w:rsidRDefault="00624A93" w:rsidP="00624A93">
      <w:pPr>
        <w:suppressAutoHyphens w:val="0"/>
        <w:spacing w:line="240" w:lineRule="auto"/>
      </w:pPr>
      <w:r w:rsidRPr="00781095">
        <w:br w:type="page"/>
      </w:r>
    </w:p>
    <w:p w:rsidR="00624A93" w:rsidRPr="00781095" w:rsidRDefault="00624A93" w:rsidP="00624A93">
      <w:pPr>
        <w:pStyle w:val="H1G"/>
      </w:pPr>
      <w:r>
        <w:lastRenderedPageBreak/>
        <w:tab/>
        <w:t>I.</w:t>
      </w:r>
      <w:r>
        <w:tab/>
      </w:r>
      <w:r>
        <w:rPr>
          <w:bCs/>
        </w:rPr>
        <w:t>Участие</w:t>
      </w:r>
    </w:p>
    <w:p w:rsidR="00624A93" w:rsidRPr="00781095" w:rsidRDefault="00624A93" w:rsidP="00687EA8">
      <w:pPr>
        <w:pStyle w:val="SingleTxtG"/>
        <w:spacing w:line="230" w:lineRule="atLeast"/>
      </w:pPr>
      <w:r>
        <w:t>1.</w:t>
      </w:r>
      <w:r>
        <w:tab/>
        <w:t>Второе совещание Конференции Сторон Европейского соглашения о международной дорожной перевозке опасных грузов (ДОПОГ) 1957 года было проведено в Женеве 13 мая 2019 года в соответствии со статьей 13 указанного Соглашения по просьбе правительства Португалии (письмо Исполнительного секретаря Европейской экономической комиссии 2018/OES/395/TRANS от 12 октября 2018 года) и с согласия правительств Азербайджана, Беларуси, Греции, Грузии, Испании, Нидерландов, Российской Федерации, Сербии, Словакии, Туниса, Турции, Украины, Финляндии, Чешской Республики и Швейцарии.</w:t>
      </w:r>
      <w:bookmarkStart w:id="2" w:name="_Hlk8640523"/>
      <w:bookmarkEnd w:id="2"/>
    </w:p>
    <w:p w:rsidR="00624A93" w:rsidRPr="00781095" w:rsidRDefault="00624A93" w:rsidP="00687EA8">
      <w:pPr>
        <w:pStyle w:val="SingleTxtG"/>
        <w:spacing w:line="230" w:lineRule="atLeast"/>
      </w:pPr>
      <w:r>
        <w:t>2.</w:t>
      </w:r>
      <w:r>
        <w:tab/>
        <w:t>Приглашение принять участие в работе Конференции было направлено всем Договаривающимся сторонам Соглашения, государствам</w:t>
      </w:r>
      <w:r w:rsidR="00687EA8" w:rsidRPr="00687EA8">
        <w:t xml:space="preserve"> </w:t>
      </w:r>
      <w:r>
        <w:t>–</w:t>
      </w:r>
      <w:r w:rsidR="00687EA8" w:rsidRPr="00687EA8">
        <w:t xml:space="preserve"> </w:t>
      </w:r>
      <w:r>
        <w:t>членам Европейской экономической комиссии и государствам, участвующим в работе Комиссии с правом совещательного голоса в соответствии с пунктом 8 Положения о круге ведения этой Комиссии. Приглашение приняли и участвовали в работе Конференции следующие государства, являющиеся Договаривающимися сторонами Соглашения: Австрия, Бельгия, Болгария, Венгрия, Германия, Грузия, Дания, Испания, Италия, Латвия, Люксембург,</w:t>
      </w:r>
      <w:r w:rsidRPr="00E30370">
        <w:t xml:space="preserve"> </w:t>
      </w:r>
      <w:r>
        <w:t xml:space="preserve">Марокко, Нигерия, Нидерланды, Польша, Португалия, Российская Федерация, Румыния, Сербия, Словакия, Соединенное Королевство, Тунис, Турция, Финляндия, Франция, Хорватия, Черногория, Швейцария, Швеция. Представители Вьетнама и Мьянмы (государств, не являющихся Договаривающимися сторонами Соглашения) присутствовали на сессии с правом совещательного голоса. </w:t>
      </w:r>
    </w:p>
    <w:p w:rsidR="00624A93" w:rsidRPr="00781095" w:rsidRDefault="00624A93" w:rsidP="00687EA8">
      <w:pPr>
        <w:pStyle w:val="SingleTxtG"/>
        <w:spacing w:line="230" w:lineRule="atLeast"/>
      </w:pPr>
      <w:r>
        <w:t>3.</w:t>
      </w:r>
      <w:r>
        <w:tab/>
        <w:t>Была представлена следующая межправительственная организация: Межправительственная организация по международным железнодорожным перевозкам (ОТИФ).</w:t>
      </w:r>
    </w:p>
    <w:p w:rsidR="00624A93" w:rsidRPr="00781095" w:rsidRDefault="00624A93" w:rsidP="00687EA8">
      <w:pPr>
        <w:pStyle w:val="SingleTxtG"/>
        <w:spacing w:line="230" w:lineRule="atLeast"/>
      </w:pPr>
      <w:r>
        <w:t>4.</w:t>
      </w:r>
      <w:r>
        <w:tab/>
        <w:t>Была представлена следующая неправительственная организация: Европейский совет химической промышленности (ЕСФХП).</w:t>
      </w:r>
    </w:p>
    <w:p w:rsidR="00624A93" w:rsidRPr="00781095" w:rsidRDefault="00624A93" w:rsidP="00624A93">
      <w:pPr>
        <w:pStyle w:val="H1G"/>
      </w:pPr>
      <w:r>
        <w:tab/>
        <w:t>II.</w:t>
      </w:r>
      <w:r>
        <w:tab/>
      </w:r>
      <w:r>
        <w:rPr>
          <w:bCs/>
        </w:rPr>
        <w:t>Открытие Конференции (пункт 1 повестки дня)</w:t>
      </w:r>
    </w:p>
    <w:p w:rsidR="00624A93" w:rsidRPr="00781095" w:rsidRDefault="00624A93" w:rsidP="00687EA8">
      <w:pPr>
        <w:pStyle w:val="SingleTxtG"/>
        <w:spacing w:line="234" w:lineRule="atLeast"/>
      </w:pPr>
      <w:r>
        <w:t>5.</w:t>
      </w:r>
      <w:r>
        <w:tab/>
        <w:t xml:space="preserve">Конференцию открыла г-жа Ольга </w:t>
      </w:r>
      <w:proofErr w:type="spellStart"/>
      <w:r>
        <w:t>Алгаерова</w:t>
      </w:r>
      <w:proofErr w:type="spellEnd"/>
      <w:r>
        <w:t>, Исполнительный секретарь Европейской экономической комиссии.</w:t>
      </w:r>
    </w:p>
    <w:p w:rsidR="00624A93" w:rsidRPr="00781095" w:rsidRDefault="00624A93" w:rsidP="00624A93">
      <w:pPr>
        <w:pStyle w:val="H1G"/>
      </w:pPr>
      <w:r>
        <w:tab/>
        <w:t>III.</w:t>
      </w:r>
      <w:r>
        <w:tab/>
      </w:r>
      <w:r>
        <w:rPr>
          <w:bCs/>
        </w:rPr>
        <w:t>Выборы должностных лиц (пункт 2 повестки дня)</w:t>
      </w:r>
    </w:p>
    <w:p w:rsidR="00624A93" w:rsidRPr="00781095" w:rsidRDefault="00624A93" w:rsidP="00687EA8">
      <w:pPr>
        <w:pStyle w:val="SingleTxtG"/>
        <w:spacing w:line="234" w:lineRule="atLeast"/>
      </w:pPr>
      <w:r>
        <w:t>6.</w:t>
      </w:r>
      <w:r>
        <w:tab/>
        <w:t xml:space="preserve">Конференция избрала г-на </w:t>
      </w:r>
      <w:proofErr w:type="spellStart"/>
      <w:r>
        <w:t>Пфоваделя</w:t>
      </w:r>
      <w:proofErr w:type="spellEnd"/>
      <w:r>
        <w:t xml:space="preserve"> (Франция) Председателем, а г-на </w:t>
      </w:r>
      <w:proofErr w:type="spellStart"/>
      <w:r>
        <w:t>Симони</w:t>
      </w:r>
      <w:proofErr w:type="spellEnd"/>
      <w:r>
        <w:t xml:space="preserve"> (Италия) и г-на </w:t>
      </w:r>
      <w:proofErr w:type="spellStart"/>
      <w:r>
        <w:t>Ойейеми</w:t>
      </w:r>
      <w:proofErr w:type="spellEnd"/>
      <w:r>
        <w:t xml:space="preserve"> (Нигерия) – заместителями Председателя.</w:t>
      </w:r>
    </w:p>
    <w:p w:rsidR="00624A93" w:rsidRPr="00781095" w:rsidRDefault="00624A93" w:rsidP="00687EA8">
      <w:pPr>
        <w:pStyle w:val="SingleTxtG"/>
        <w:spacing w:line="234" w:lineRule="atLeast"/>
      </w:pPr>
      <w:r>
        <w:t>7.</w:t>
      </w:r>
      <w:r>
        <w:tab/>
        <w:t>Функции секретариата Конференции выполнял секретариат Европейской экономической комиссии.</w:t>
      </w:r>
    </w:p>
    <w:p w:rsidR="00624A93" w:rsidRPr="00781095" w:rsidRDefault="00624A93" w:rsidP="00624A93">
      <w:pPr>
        <w:pStyle w:val="H1G"/>
      </w:pPr>
      <w:r>
        <w:tab/>
        <w:t>IV.</w:t>
      </w:r>
      <w:r>
        <w:tab/>
      </w:r>
      <w:r>
        <w:rPr>
          <w:bCs/>
        </w:rPr>
        <w:t>Полномочия (пункт 3 повестки дня)</w:t>
      </w:r>
    </w:p>
    <w:p w:rsidR="00624A93" w:rsidRPr="00781095" w:rsidRDefault="00624A93" w:rsidP="00687EA8">
      <w:pPr>
        <w:pStyle w:val="SingleTxtG"/>
        <w:spacing w:line="234" w:lineRule="atLeast"/>
      </w:pPr>
      <w:r>
        <w:t>8.</w:t>
      </w:r>
      <w:r>
        <w:tab/>
        <w:t xml:space="preserve">Председатель и заместители Председателя проверили полномочия, представленные Договаривающимися сторонами. </w:t>
      </w:r>
    </w:p>
    <w:p w:rsidR="00624A93" w:rsidRPr="00781095" w:rsidRDefault="00624A93" w:rsidP="00687EA8">
      <w:pPr>
        <w:pStyle w:val="SingleTxtG"/>
        <w:spacing w:line="234" w:lineRule="atLeast"/>
      </w:pPr>
      <w:bookmarkStart w:id="3" w:name="_Hlk8640288"/>
      <w:r>
        <w:t>9.</w:t>
      </w:r>
      <w:r>
        <w:tab/>
        <w:t xml:space="preserve">По состоянию на 13 мая 2019 года полномочия, предоставленные главой государства или правительства либо министром иностранных дел, передали следующие Договаривающиеся стороны: Германия, Грузия, Дания, Испания, Италия, Латвия, Нигерия, Нидерланды, Польша, Португалия, Российская Федерация, Румыния, Словакия, Соединенное Королевство, Турция, Финляндия и Франция. </w:t>
      </w:r>
      <w:bookmarkStart w:id="4" w:name="_Hlk8551083"/>
    </w:p>
    <w:p w:rsidR="00624A93" w:rsidRPr="00781095" w:rsidRDefault="00624A93" w:rsidP="00687EA8">
      <w:pPr>
        <w:pStyle w:val="SingleTxtG"/>
        <w:spacing w:line="234" w:lineRule="atLeast"/>
      </w:pPr>
      <w:r>
        <w:t>10.</w:t>
      </w:r>
      <w:r>
        <w:tab/>
        <w:t xml:space="preserve">Информация, касающаяся назначения представителей, участвующих в Конференции Сторон ДОПОГ, была передана либо посредством сообщения от главы государства или правительства или министра иностранных дел, либо письмом или вербальной нотой от соответствующего постоянного представительства следующими государствами: Австрией, Бельгией, Болгарией, Венгрией, Вьетнамом, Люксембургом, Марокко, Румынией, Сербией, Тунисом, Хорватией, Черногорией, Швейцарией, Швецией. Представитель Мьянмы не представил своих полномочий. </w:t>
      </w:r>
    </w:p>
    <w:bookmarkEnd w:id="3"/>
    <w:bookmarkEnd w:id="4"/>
    <w:p w:rsidR="00624A93" w:rsidRPr="00781095" w:rsidRDefault="00624A93" w:rsidP="00624A93">
      <w:pPr>
        <w:pStyle w:val="SingleTxtG"/>
      </w:pPr>
      <w:r>
        <w:lastRenderedPageBreak/>
        <w:t>11.</w:t>
      </w:r>
      <w:r>
        <w:tab/>
        <w:t xml:space="preserve">Конференция утвердила доклад Президиума о том, что полномочия, представленные Договаривающимися сторонами, оформлены надлежащим образом. </w:t>
      </w:r>
    </w:p>
    <w:p w:rsidR="00624A93" w:rsidRPr="00781095" w:rsidRDefault="00624A93" w:rsidP="00624A93">
      <w:pPr>
        <w:pStyle w:val="SingleTxtG"/>
      </w:pPr>
      <w:r>
        <w:t>12.</w:t>
      </w:r>
      <w:r>
        <w:tab/>
        <w:t xml:space="preserve">По предложению Председателя Конференция признала эти временные полномочия при том понимании, что официальные полномочия представителей будут переданы Договаривающимися сторонами, которые еще не сделали этого, в кратчайшие сроки. </w:t>
      </w:r>
    </w:p>
    <w:p w:rsidR="00624A93" w:rsidRPr="00781095" w:rsidRDefault="00624A93" w:rsidP="00624A93">
      <w:pPr>
        <w:pStyle w:val="H1G"/>
      </w:pPr>
      <w:r>
        <w:tab/>
        <w:t>V.</w:t>
      </w:r>
      <w:r>
        <w:tab/>
      </w:r>
      <w:r>
        <w:rPr>
          <w:bCs/>
        </w:rPr>
        <w:t>Утверждение повестки дня (пункт 4 повестки дня)</w:t>
      </w:r>
    </w:p>
    <w:p w:rsidR="00687EA8" w:rsidRPr="00687EA8" w:rsidRDefault="00687EA8" w:rsidP="00687EA8">
      <w:pPr>
        <w:pStyle w:val="SingleTxtG"/>
        <w:tabs>
          <w:tab w:val="left" w:pos="2548"/>
        </w:tabs>
      </w:pPr>
      <w:r w:rsidRPr="00687EA8">
        <w:rPr>
          <w:i/>
        </w:rPr>
        <w:t>Документы</w:t>
      </w:r>
      <w:r>
        <w:t>:</w:t>
      </w:r>
      <w:r>
        <w:tab/>
      </w:r>
      <w:r w:rsidR="00624A93" w:rsidRPr="00687EA8">
        <w:rPr>
          <w:lang w:val="en-US"/>
        </w:rPr>
        <w:t xml:space="preserve">ECE/TRANS/ADR/CONF/2019/1 </w:t>
      </w:r>
      <w:r w:rsidR="00624A93" w:rsidRPr="00687EA8">
        <w:t>и</w:t>
      </w:r>
      <w:r w:rsidR="00624A93" w:rsidRPr="00687EA8">
        <w:rPr>
          <w:lang w:val="en-US"/>
        </w:rPr>
        <w:t xml:space="preserve"> Add.1</w:t>
      </w:r>
    </w:p>
    <w:p w:rsidR="00624A93" w:rsidRPr="00781095" w:rsidRDefault="00624A93" w:rsidP="00624A93">
      <w:pPr>
        <w:pStyle w:val="SingleTxtG"/>
      </w:pPr>
      <w:r>
        <w:t>13.</w:t>
      </w:r>
      <w:r>
        <w:tab/>
        <w:t>Конференция утвердила повестку дня, подготовленную секретариатом.</w:t>
      </w:r>
    </w:p>
    <w:p w:rsidR="00624A93" w:rsidRPr="00781095" w:rsidRDefault="00624A93" w:rsidP="00624A93">
      <w:pPr>
        <w:pStyle w:val="H1G"/>
      </w:pPr>
      <w:r>
        <w:tab/>
        <w:t>VI.</w:t>
      </w:r>
      <w:r>
        <w:tab/>
      </w:r>
      <w:r>
        <w:rPr>
          <w:bCs/>
        </w:rPr>
        <w:t>Правила процедуры (пункт 5 повестки дня)</w:t>
      </w:r>
    </w:p>
    <w:p w:rsidR="00624A93" w:rsidRPr="00A82944" w:rsidRDefault="00624A93" w:rsidP="00624A93">
      <w:pPr>
        <w:pStyle w:val="SingleTxtG"/>
      </w:pPr>
      <w:r>
        <w:t>14.</w:t>
      </w:r>
      <w:r>
        <w:tab/>
        <w:t>На основании прецедента, созданного Конференцией Договаривающихся сторон, состоявшейся 28 октября 1993 года, Председатель предложил применять в отношении настоящей Конференции те же правила процедуры, т.</w:t>
      </w:r>
      <w:r w:rsidR="007702EE">
        <w:t xml:space="preserve"> </w:t>
      </w:r>
      <w:r>
        <w:t>е. применять правила процедуры Европейской экономической комиссии (ЕЭК) (E/ECE/778/Rev.5)</w:t>
      </w:r>
      <w:r w:rsidRPr="00656788">
        <w:rPr>
          <w:rStyle w:val="FootnoteReference"/>
          <w:szCs w:val="22"/>
        </w:rPr>
        <w:footnoteReference w:id="1"/>
      </w:r>
      <w:r>
        <w:t>, заменив правила 39 и 43 положениями, приведенными в подпунктах a)–d) ниже, в соответствии с пунктом 2 статьи 9 Венской конвенции о праве международных договоров:</w:t>
      </w:r>
    </w:p>
    <w:p w:rsidR="00624A93" w:rsidRPr="00A82944" w:rsidRDefault="00624A93" w:rsidP="00624A93">
      <w:pPr>
        <w:pStyle w:val="SingleTxtG"/>
        <w:ind w:left="1701" w:hanging="567"/>
      </w:pPr>
      <w:r>
        <w:t>«a)</w:t>
      </w:r>
      <w:r>
        <w:tab/>
        <w:t>решения Конференции, касающиеся всех вопросов существа, включая принятие протокола о внесении поправки в ДОПОГ, принимаются большинством в две трети присутствующих и участвующих в голосовании Договаривающихся сторон;</w:t>
      </w:r>
    </w:p>
    <w:p w:rsidR="00624A93" w:rsidRPr="00A82944" w:rsidRDefault="00624A93" w:rsidP="00624A93">
      <w:pPr>
        <w:pStyle w:val="SingleTxtG"/>
        <w:ind w:left="1701" w:hanging="567"/>
      </w:pPr>
      <w:r>
        <w:t>b)</w:t>
      </w:r>
      <w:r>
        <w:tab/>
        <w:t>решения Конференции, касающиеся всех процедурных вопросов, принимаются большинством присутствующих и участвующих в голосовании Договаривающихся сторон;</w:t>
      </w:r>
    </w:p>
    <w:p w:rsidR="00624A93" w:rsidRPr="00A82944" w:rsidRDefault="00624A93" w:rsidP="00624A93">
      <w:pPr>
        <w:pStyle w:val="SingleTxtG"/>
        <w:ind w:left="1701" w:hanging="567"/>
      </w:pPr>
      <w:r>
        <w:t>с)</w:t>
      </w:r>
      <w:r>
        <w:tab/>
        <w:t>при возникновении сомнений относительно принадлежности того или иного вопроса к вопросам процедуры или к вопросам существа решение Конференции принимается большинством присутствующих и участвующих в голосовании Договаривающихся сторон;</w:t>
      </w:r>
    </w:p>
    <w:p w:rsidR="00624A93" w:rsidRPr="00A82944" w:rsidRDefault="00624A93" w:rsidP="00624A93">
      <w:pPr>
        <w:pStyle w:val="SingleTxtG"/>
        <w:ind w:left="1701" w:hanging="567"/>
      </w:pPr>
      <w:r>
        <w:t>d)</w:t>
      </w:r>
      <w:r>
        <w:tab/>
        <w:t>если голоса разделяются поровну, то считается, что предложение отклонено.».</w:t>
      </w:r>
    </w:p>
    <w:p w:rsidR="00624A93" w:rsidRPr="00A82944" w:rsidRDefault="00624A93" w:rsidP="00624A93">
      <w:pPr>
        <w:pStyle w:val="SingleTxtG"/>
      </w:pPr>
      <w:r>
        <w:t>15.</w:t>
      </w:r>
      <w:r>
        <w:tab/>
        <w:t xml:space="preserve">В соответствии с установившейся в Организации Объединенных Наций практикой и для целей данных правил выражение «присутствующие и участвующие в голосовании члены» понимается как Договаривающиеся стороны, голосующие «за» или «против». Договаривающиеся стороны, которые воздерживаются от голосования, рассматриваются как не участвующие в голосовании. </w:t>
      </w:r>
    </w:p>
    <w:p w:rsidR="00624A93" w:rsidRPr="00A82944" w:rsidRDefault="00624A93" w:rsidP="00624A93">
      <w:pPr>
        <w:pStyle w:val="SingleTxtG"/>
      </w:pPr>
      <w:r>
        <w:t>16.</w:t>
      </w:r>
      <w:r>
        <w:tab/>
        <w:t>Конференция приняла предложение Председателя.</w:t>
      </w:r>
    </w:p>
    <w:p w:rsidR="00624A93" w:rsidRPr="00A82944" w:rsidRDefault="00624A93" w:rsidP="00624A93">
      <w:pPr>
        <w:pStyle w:val="H1G"/>
      </w:pPr>
      <w:r>
        <w:tab/>
        <w:t>VII.</w:t>
      </w:r>
      <w:r>
        <w:tab/>
      </w:r>
      <w:r>
        <w:rPr>
          <w:bCs/>
        </w:rPr>
        <w:t xml:space="preserve">Рассмотрение и принятие </w:t>
      </w:r>
      <w:r w:rsidR="00687EA8">
        <w:rPr>
          <w:bCs/>
        </w:rPr>
        <w:t>протокола о внесении поправки в </w:t>
      </w:r>
      <w:r>
        <w:rPr>
          <w:bCs/>
        </w:rPr>
        <w:t>ДОПОГ (пункт 6 повестки дня)</w:t>
      </w:r>
    </w:p>
    <w:p w:rsidR="00687EA8" w:rsidRDefault="00687EA8" w:rsidP="00687EA8">
      <w:pPr>
        <w:pStyle w:val="SingleTxtG"/>
        <w:tabs>
          <w:tab w:val="left" w:pos="2548"/>
        </w:tabs>
        <w:ind w:left="2548" w:hanging="1414"/>
      </w:pPr>
      <w:r w:rsidRPr="00687EA8">
        <w:rPr>
          <w:i/>
        </w:rPr>
        <w:t>Документы</w:t>
      </w:r>
      <w:r w:rsidRPr="00687EA8">
        <w:t>:</w:t>
      </w:r>
      <w:r w:rsidRPr="00687EA8">
        <w:tab/>
        <w:t>ECE/TRANS/ADR/CONF/2019/3</w:t>
      </w:r>
      <w:r>
        <w:br/>
      </w:r>
      <w:r w:rsidRPr="00687EA8">
        <w:t>ECE/TRANS/ADR/CONF/2019/4</w:t>
      </w:r>
    </w:p>
    <w:p w:rsidR="00624A93" w:rsidRPr="00A82944" w:rsidRDefault="00624A93" w:rsidP="00624A93">
      <w:pPr>
        <w:pStyle w:val="SingleTxtG"/>
      </w:pPr>
      <w:r>
        <w:t>17.</w:t>
      </w:r>
      <w:r>
        <w:tab/>
        <w:t>Конференция отметила, что предложение об исключении слова «Европейское» из названия Соглашения рассматривается Коми</w:t>
      </w:r>
      <w:r w:rsidR="00687EA8">
        <w:t>тетом по внутреннему транспорту </w:t>
      </w:r>
      <w:r>
        <w:t>(КВТ) и Рабочей группой по перевозка</w:t>
      </w:r>
      <w:r w:rsidR="00687EA8">
        <w:t>м опасных грузов (WP.15) с 2009 </w:t>
      </w:r>
      <w:r>
        <w:t>года и что просьба о созыве Конференции Сторон была направлена только после достижения консенсуса в отношении его принятия.</w:t>
      </w:r>
    </w:p>
    <w:p w:rsidR="00624A93" w:rsidRPr="00A82944" w:rsidRDefault="00624A93" w:rsidP="00624A93">
      <w:pPr>
        <w:pStyle w:val="SingleTxtG"/>
      </w:pPr>
      <w:r>
        <w:lastRenderedPageBreak/>
        <w:t>18.</w:t>
      </w:r>
      <w:r>
        <w:tab/>
        <w:t xml:space="preserve">После выступления представителя Австрии, который указал, что, по его мнению, условия, изложенные в пункте 2 статьи 13 Соглашения, не были соблюдены, было отмечено, что предложение Португалии хорошо известно, поскольку оно обсуждалось в течение последних 10 лет как на сессиях Комитета по внутреннему транспорту, так и на сессиях WP.15. Было отмечено, что эта процедура соответствует рекомендации, содержащейся в пункте 3 Протокола о внесении поправок 1993 года. </w:t>
      </w:r>
    </w:p>
    <w:p w:rsidR="00624A93" w:rsidRPr="00A82944" w:rsidRDefault="00624A93" w:rsidP="00624A93">
      <w:pPr>
        <w:pStyle w:val="SingleTxtG"/>
      </w:pPr>
      <w:proofErr w:type="gramStart"/>
      <w:r>
        <w:t>19.</w:t>
      </w:r>
      <w:r>
        <w:tab/>
        <w:t>Кроме того</w:t>
      </w:r>
      <w:proofErr w:type="gramEnd"/>
      <w:r>
        <w:t>, было также отмечено, что за 10 лет, в течение которых WP.15 рассматривала возможность внесения поправки в Соглашение, не было сформулировано никаких официальных указаний или предложений относительно необходимости внесения в Соглашение</w:t>
      </w:r>
      <w:r w:rsidRPr="00F63ACD">
        <w:t xml:space="preserve"> </w:t>
      </w:r>
      <w:r>
        <w:t xml:space="preserve">поправок, помимо предложения Португалии, и на этом основании понимается, что Конференция организована исключительно с целью рассмотрения предложения Португалии. </w:t>
      </w:r>
    </w:p>
    <w:p w:rsidR="00624A93" w:rsidRPr="00A82944" w:rsidRDefault="00624A93" w:rsidP="00624A93">
      <w:pPr>
        <w:pStyle w:val="SingleTxtG"/>
      </w:pPr>
      <w:r>
        <w:t>20.</w:t>
      </w:r>
      <w:r>
        <w:tab/>
        <w:t>Конференция согласилась с этим толкованием и постановила рассмотреть указанное</w:t>
      </w:r>
      <w:r w:rsidR="007702EE">
        <w:t xml:space="preserve"> предложение на предмет принятия</w:t>
      </w:r>
      <w:r>
        <w:t xml:space="preserve"> в ходе сессии, вновь заявляя о том, что после его рассмотрения WP.15 и КВТ в течение последних 10 лет оно хорошо известно и что дальнейшая задержка или отсрочка его рассмотрения была бы неоправданной.</w:t>
      </w:r>
    </w:p>
    <w:p w:rsidR="00624A93" w:rsidRPr="00A82944" w:rsidRDefault="00624A93" w:rsidP="00624A93">
      <w:pPr>
        <w:pStyle w:val="SingleTxtG"/>
      </w:pPr>
      <w:r>
        <w:t>21.</w:t>
      </w:r>
      <w:r>
        <w:tab/>
        <w:t>Представитель Австрии признал, что статья 6 Соглашения уже предусматривает возможность присоединения неевропейских стран и что изменение названия призвано содействовать осуществлению Соглашения. Однако с учетом ожидаемого расширения круга стран, присоединившихся к Соглашению, он указал, что в случае дальнейшего увеличения числа Договаривающихся сторон потребуется изменить правила участия в процессе принятия решений в отношении поправок к приложениям А и В к ДОПОГ, окончательного принятия этих поправок и участия в сессиях WP.15.</w:t>
      </w:r>
      <w:r w:rsidRPr="00A82944">
        <w:t xml:space="preserve"> </w:t>
      </w:r>
      <w:r>
        <w:t>Конференция предложила представителю Австрии рассмотреть возможность обсуждения этих вопросов в рамках WP.15.</w:t>
      </w:r>
    </w:p>
    <w:p w:rsidR="00624A93" w:rsidRPr="00A82944" w:rsidRDefault="00624A93" w:rsidP="00624A93">
      <w:pPr>
        <w:pStyle w:val="SingleTxtG"/>
      </w:pPr>
      <w:r>
        <w:t>22.</w:t>
      </w:r>
      <w:r>
        <w:tab/>
        <w:t>Представитель Турции поднял вопрос о том, потребуется ли одобрение турецкого парламента для того, чтобы поправка вступила в силу в Турции. Было подтверждено, что в Соглашении не указаны условия для вступления в силу поправок и что Договаривающиеся стороны должны сами установить процедуру их принятия. Процедура принятия при отсутствии возражений, предусмотренная в проекте протокола, предлагаемом Конференции, соответствует принципу обязательности для государств.</w:t>
      </w:r>
    </w:p>
    <w:p w:rsidR="00624A93" w:rsidRPr="00A82944" w:rsidRDefault="00624A93" w:rsidP="00624A93">
      <w:pPr>
        <w:pStyle w:val="SingleTxtG"/>
      </w:pPr>
      <w:r>
        <w:t>23.</w:t>
      </w:r>
      <w:r>
        <w:tab/>
        <w:t xml:space="preserve">После обмена мнениями Конференция консенсусом приняла предложение Португалии, содержащееся в документе ECE/TRANS/ADR/CONF/2019/3, и соответствующий Протокол о внесении поправки в Соглашение, содержащийся в документе ECE/TRANS/ADR/CONF/2019/4, с исправлением типографской ошибки в названии Протокола (только на английском языке) и поправкой к пункту 3 статьи 2. Протокол о внесении поправки, принятый Конференцией, воспроизводится в приложении к настоящему докладу. </w:t>
      </w:r>
    </w:p>
    <w:p w:rsidR="00624A93" w:rsidRPr="00A82944" w:rsidRDefault="00624A93" w:rsidP="00624A93">
      <w:pPr>
        <w:pStyle w:val="SingleTxtG"/>
      </w:pPr>
      <w:r>
        <w:t>24.</w:t>
      </w:r>
      <w:r>
        <w:tab/>
        <w:t>Один из сотрудников секретариата проинформировал Конференцию о том, что это решение будет сообщено</w:t>
      </w:r>
      <w:r w:rsidRPr="00A82944">
        <w:t xml:space="preserve"> </w:t>
      </w:r>
      <w:r>
        <w:t xml:space="preserve">посредством уведомления депозитария всем Договаривающимся сторонам для принятия. Если по истечении шести месяцев со дня отправки уведомления депозитария не поступит возражений, поправка будет считаться принятой и вступит в силу 1 января 2021 года. </w:t>
      </w:r>
    </w:p>
    <w:p w:rsidR="00624A93" w:rsidRPr="00A82944" w:rsidRDefault="00624A93" w:rsidP="00624A93">
      <w:pPr>
        <w:pStyle w:val="H1G"/>
      </w:pPr>
      <w:r>
        <w:tab/>
        <w:t>VIII.</w:t>
      </w:r>
      <w:r>
        <w:tab/>
      </w:r>
      <w:r>
        <w:rPr>
          <w:bCs/>
        </w:rPr>
        <w:t>Прочие вопросы (пункт 7 повестки дня)</w:t>
      </w:r>
    </w:p>
    <w:p w:rsidR="00624A93" w:rsidRPr="00A82944" w:rsidRDefault="00624A93" w:rsidP="00687EA8">
      <w:pPr>
        <w:pStyle w:val="SingleTxtG"/>
      </w:pPr>
      <w:r>
        <w:t>25.</w:t>
      </w:r>
      <w:r>
        <w:tab/>
        <w:t>По этому пункту повестки дня обсуждений не проводилось.</w:t>
      </w:r>
    </w:p>
    <w:p w:rsidR="00624A93" w:rsidRPr="00A82944" w:rsidRDefault="00624A93" w:rsidP="00624A93">
      <w:pPr>
        <w:pStyle w:val="H1G"/>
      </w:pPr>
      <w:r>
        <w:tab/>
        <w:t>IX.</w:t>
      </w:r>
      <w:r>
        <w:tab/>
      </w:r>
      <w:r>
        <w:rPr>
          <w:bCs/>
        </w:rPr>
        <w:t>Утверждение доклада (пункт 8 повестки дня)</w:t>
      </w:r>
    </w:p>
    <w:p w:rsidR="00624A93" w:rsidRPr="00A82944" w:rsidRDefault="00624A93" w:rsidP="00624A93">
      <w:pPr>
        <w:pStyle w:val="SingleTxtG"/>
      </w:pPr>
      <w:r>
        <w:t>26.</w:t>
      </w:r>
      <w:r>
        <w:tab/>
        <w:t xml:space="preserve">Конференция утвердила доклад и приложение к нему на основе проекта, подготовленного секретариатом. </w:t>
      </w:r>
    </w:p>
    <w:p w:rsidR="00624A93" w:rsidRPr="00A82944" w:rsidRDefault="00624A93" w:rsidP="00624A93">
      <w:pPr>
        <w:pStyle w:val="HChG"/>
        <w:tabs>
          <w:tab w:val="right" w:pos="8505"/>
        </w:tabs>
      </w:pPr>
      <w:r>
        <w:rPr>
          <w:bCs/>
        </w:rPr>
        <w:lastRenderedPageBreak/>
        <w:t>Приложение</w:t>
      </w:r>
      <w:r w:rsidR="00A24744">
        <w:t xml:space="preserve"> </w:t>
      </w:r>
    </w:p>
    <w:p w:rsidR="00624A93" w:rsidRPr="00923E5D" w:rsidRDefault="00624A93" w:rsidP="00687EA8">
      <w:pPr>
        <w:pStyle w:val="HChG"/>
        <w:tabs>
          <w:tab w:val="right" w:pos="8505"/>
        </w:tabs>
        <w:jc w:val="right"/>
        <w:rPr>
          <w:b w:val="0"/>
          <w:bCs/>
          <w:sz w:val="20"/>
        </w:rPr>
      </w:pPr>
      <w:r w:rsidRPr="00923E5D">
        <w:rPr>
          <w:b w:val="0"/>
          <w:bCs/>
          <w:sz w:val="20"/>
        </w:rPr>
        <w:t>[Подлинный текст на английском и французском языках]</w:t>
      </w:r>
    </w:p>
    <w:p w:rsidR="00624A93" w:rsidRPr="00A82944" w:rsidRDefault="00624A93" w:rsidP="00624A93">
      <w:pPr>
        <w:pStyle w:val="SingleTxtG"/>
      </w:pPr>
      <w:r>
        <w:t>ПРОТОКОЛ О ВНЕСЕНИИ ПОПРАВКИ В НАЗВАНИЕ ЕВРОПЕЙСКОГО СОГЛАШЕНИЯ О МЕЖДУНАРОДНОЙ ДОРОЖНОЙ ПЕРЕВОЗКЕ ОПАСНЫХ ГРУЗОВ (ДОПОГ) ОТ 30 СЕНТЯБРЯ 1957 ГОДА</w:t>
      </w:r>
    </w:p>
    <w:p w:rsidR="00624A93" w:rsidRPr="00A82944" w:rsidRDefault="00624A93" w:rsidP="00624A93">
      <w:pPr>
        <w:pStyle w:val="SingleTxtG"/>
      </w:pPr>
      <w:r>
        <w:t>Стороны настоящего Протокола,</w:t>
      </w:r>
    </w:p>
    <w:p w:rsidR="00624A93" w:rsidRPr="00A82944" w:rsidRDefault="00624A93" w:rsidP="00624A93">
      <w:pPr>
        <w:pStyle w:val="SingleTxtG"/>
      </w:pPr>
      <w:r>
        <w:rPr>
          <w:i/>
          <w:iCs/>
        </w:rPr>
        <w:t>рассмотрев</w:t>
      </w:r>
      <w:r>
        <w:t xml:space="preserve"> положения статьи 6 Европейского соглашения о международной дорожной перевозке опасных грузов (ДОПОГ), совершенного 30 сентября 1957 года в Женеве (упоминаемого </w:t>
      </w:r>
      <w:proofErr w:type="gramStart"/>
      <w:r>
        <w:t>далее</w:t>
      </w:r>
      <w:proofErr w:type="gramEnd"/>
      <w:r>
        <w:t xml:space="preserve"> как «Соглашение»), касающиеся права страны на присоединение к Соглашению,</w:t>
      </w:r>
    </w:p>
    <w:p w:rsidR="00624A93" w:rsidRPr="00A82944" w:rsidRDefault="00624A93" w:rsidP="00624A93">
      <w:pPr>
        <w:pStyle w:val="SingleTxtG"/>
      </w:pPr>
      <w:r>
        <w:rPr>
          <w:i/>
          <w:iCs/>
        </w:rPr>
        <w:t>отмечая</w:t>
      </w:r>
      <w:r>
        <w:t>, что в соответствии с указанной статьей Соглашение открыто для присоединения не только для стран – членов Европейской экономической комиссии и стран, участвующих в работе Комиссии с правом совещательного голоса в соответствии с пунктом 8 Положения о круге ведения Комиссии, но и для стран – членов Организации Объединенных Наций (не являющихся членами Комиссии), которые участвуют в работе Комиссии в порядке применения пункта 11 Положения о круге ведения Комиссии,</w:t>
      </w:r>
    </w:p>
    <w:p w:rsidR="00624A93" w:rsidRPr="00A82944" w:rsidRDefault="00624A93" w:rsidP="00624A93">
      <w:pPr>
        <w:pStyle w:val="SingleTxtG"/>
      </w:pPr>
      <w:r>
        <w:rPr>
          <w:i/>
          <w:iCs/>
        </w:rPr>
        <w:t>принимая во внимание</w:t>
      </w:r>
      <w:r>
        <w:t xml:space="preserve"> резолюцию 72/271 Генераль</w:t>
      </w:r>
      <w:r w:rsidR="00687EA8">
        <w:t>ной Ассамблеи от 12 апреля 2018 </w:t>
      </w:r>
      <w:r>
        <w:t xml:space="preserve">года о повышении безопасности дорожного движения, в которой она подтвердила роль и значение ДОПОГ в качестве одного из основных правовых документов Организации Объединенных Наций, содействующих обеспечению безопасности дорожного движения, и рекомендовала государствам-членам, которые еще не сделали этого, рассмотреть вопрос о том, чтобы стать договаривающимися сторонами, </w:t>
      </w:r>
    </w:p>
    <w:p w:rsidR="00624A93" w:rsidRPr="00A82944" w:rsidRDefault="00624A93" w:rsidP="00624A93">
      <w:pPr>
        <w:pStyle w:val="SingleTxtG"/>
      </w:pPr>
      <w:r>
        <w:rPr>
          <w:i/>
          <w:iCs/>
        </w:rPr>
        <w:t>отмечая далее</w:t>
      </w:r>
      <w:r>
        <w:t xml:space="preserve"> мнения Рабочей группы по перевозкам опасных грузов Комитета по внутреннему транспорту Европейской экономической комиссии Организации Объединенных Наций и предложение правительства Португалии, согласно которому слово «Европейское», содержащееся в названии Соглашения, не согласуется с условиями участия неевропейских государств, установленными в его статье 6, и может служить препятствием для присоединения к Соглашению государств, не являющихся членами Комиссии, </w:t>
      </w:r>
    </w:p>
    <w:p w:rsidR="00624A93" w:rsidRPr="00A82944" w:rsidRDefault="00624A93" w:rsidP="00624A93">
      <w:pPr>
        <w:pStyle w:val="SingleTxtG"/>
      </w:pPr>
      <w:r>
        <w:rPr>
          <w:i/>
          <w:iCs/>
        </w:rPr>
        <w:t>соглашаются</w:t>
      </w:r>
      <w:r>
        <w:t xml:space="preserve"> о нижеследующем:</w:t>
      </w:r>
    </w:p>
    <w:p w:rsidR="00624A93" w:rsidRPr="00A82944" w:rsidRDefault="00624A93" w:rsidP="00624A93">
      <w:pPr>
        <w:pStyle w:val="SingleTxtG"/>
        <w:jc w:val="center"/>
      </w:pPr>
      <w:r>
        <w:t>СТАТЬЯ 1</w:t>
      </w:r>
    </w:p>
    <w:p w:rsidR="00624A93" w:rsidRPr="00A82944" w:rsidRDefault="00624A93" w:rsidP="00624A93">
      <w:pPr>
        <w:pStyle w:val="SingleTxtG"/>
        <w:jc w:val="center"/>
      </w:pPr>
      <w:r>
        <w:t>Поправка к названию Соглашения</w:t>
      </w:r>
    </w:p>
    <w:p w:rsidR="00624A93" w:rsidRPr="00A82944" w:rsidRDefault="00624A93" w:rsidP="00624A93">
      <w:pPr>
        <w:pStyle w:val="SingleTxtG"/>
        <w:ind w:firstLine="567"/>
      </w:pPr>
      <w:r>
        <w:t xml:space="preserve">Название Соглашения изменяется следующим образом: «Соглашение о международной дорожной перевозке опасных грузов». Акроним «ДОПОГ» остается без изменений. </w:t>
      </w:r>
    </w:p>
    <w:p w:rsidR="00624A93" w:rsidRPr="00A82944" w:rsidRDefault="00624A93" w:rsidP="00624A93">
      <w:pPr>
        <w:pStyle w:val="SingleTxtG"/>
        <w:jc w:val="center"/>
      </w:pPr>
      <w:r>
        <w:t>СТАТЬЯ 2</w:t>
      </w:r>
    </w:p>
    <w:p w:rsidR="00624A93" w:rsidRPr="00A82944" w:rsidRDefault="00624A93" w:rsidP="00624A93">
      <w:pPr>
        <w:pStyle w:val="SingleTxtG"/>
        <w:jc w:val="center"/>
      </w:pPr>
      <w:r>
        <w:t>Вступление в силу</w:t>
      </w:r>
    </w:p>
    <w:p w:rsidR="00624A93" w:rsidRPr="00A82944" w:rsidRDefault="00624A93" w:rsidP="00624A93">
      <w:pPr>
        <w:pStyle w:val="SingleTxtG"/>
      </w:pPr>
      <w:r>
        <w:t>1.</w:t>
      </w:r>
      <w:r>
        <w:tab/>
        <w:t xml:space="preserve">Поправка, содержащаяся в статье 1, будет считаться принятой, если ни одна из Сторон не сообщит в письменной форме Генеральному секретарю о своем возражении против указанной поправки по истечении шести месяцев со дня отправки Генеральным секретарем уведомления о принятом Протоколе. </w:t>
      </w:r>
    </w:p>
    <w:p w:rsidR="00624A93" w:rsidRPr="00A82944" w:rsidRDefault="00624A93" w:rsidP="00624A93">
      <w:pPr>
        <w:pStyle w:val="SingleTxtG"/>
      </w:pPr>
      <w:r>
        <w:t>2.</w:t>
      </w:r>
      <w:r>
        <w:tab/>
        <w:t>Генеральный секретарь, по возможности в кратчайшие сроки, извещает все Стороны о том, было ли высказано возражение против предлагаемой поправки по истечении шести месяцев со дня отправки указанного уведомления. Если в течение этого периода против предложенной поправки высказано возражение, она считается отклоненной и не имеет никакой силы.</w:t>
      </w:r>
    </w:p>
    <w:p w:rsidR="00624A93" w:rsidRPr="00A82944" w:rsidRDefault="00624A93" w:rsidP="00624A93">
      <w:pPr>
        <w:pStyle w:val="SingleTxtG"/>
      </w:pPr>
      <w:r>
        <w:lastRenderedPageBreak/>
        <w:t>3.</w:t>
      </w:r>
      <w:r>
        <w:tab/>
        <w:t>Если такое возражение не было высказано в течение этого периода, поправка вступает в силу для всех Сторон Соглашения 1 января 2021 года.</w:t>
      </w:r>
    </w:p>
    <w:p w:rsidR="00624A93" w:rsidRPr="00A82944" w:rsidRDefault="00624A93" w:rsidP="00624A93">
      <w:pPr>
        <w:pStyle w:val="SingleTxtG"/>
      </w:pPr>
      <w:r>
        <w:t>4.</w:t>
      </w:r>
      <w:r>
        <w:tab/>
        <w:t>Любое государство, которое становится Стороной ДОПОГ по истечении шестимесячного срока, упомянутого в пункте 1 выше, но до вступления в силу настоящего Протокола, становится Стороной настоящего Протокола после его вступления в силу. Любое государство, которое становится Стороной ДОПОГ после вступления в силу настоящего Протокола, обязано соблюдать ДОПОГ с внесенной в него поправкой согласно настоящему Протоколу.</w:t>
      </w:r>
    </w:p>
    <w:p w:rsidR="00624A93" w:rsidRPr="00A82944" w:rsidRDefault="00624A93" w:rsidP="00624A93">
      <w:pPr>
        <w:pStyle w:val="SingleTxtG"/>
        <w:keepNext/>
        <w:keepLines/>
        <w:jc w:val="center"/>
      </w:pPr>
      <w:r>
        <w:t>СТАТЬЯ 3</w:t>
      </w:r>
    </w:p>
    <w:p w:rsidR="00E12C5F" w:rsidRDefault="00624A93" w:rsidP="00624A93">
      <w:pPr>
        <w:pStyle w:val="SingleTxtG"/>
      </w:pPr>
      <w:r>
        <w:tab/>
      </w:r>
      <w:r>
        <w:tab/>
        <w:t>Подлинник настоящего Протокола, тексты которого на английском и французском языках являются аутентичными, сдается на хранение депозитарию договора.</w:t>
      </w:r>
    </w:p>
    <w:p w:rsidR="00624A93" w:rsidRPr="00624A93" w:rsidRDefault="00624A93" w:rsidP="00624A9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24A93" w:rsidRPr="00624A93" w:rsidSect="00624A9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7F7" w:rsidRPr="00A312BC" w:rsidRDefault="001077F7" w:rsidP="00A312BC"/>
  </w:endnote>
  <w:endnote w:type="continuationSeparator" w:id="0">
    <w:p w:rsidR="001077F7" w:rsidRPr="00A312BC" w:rsidRDefault="001077F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A93" w:rsidRPr="00624A93" w:rsidRDefault="00624A93">
    <w:pPr>
      <w:pStyle w:val="Footer"/>
    </w:pPr>
    <w:r w:rsidRPr="00624A93">
      <w:rPr>
        <w:b/>
        <w:sz w:val="18"/>
      </w:rPr>
      <w:fldChar w:fldCharType="begin"/>
    </w:r>
    <w:r w:rsidRPr="00624A93">
      <w:rPr>
        <w:b/>
        <w:sz w:val="18"/>
      </w:rPr>
      <w:instrText xml:space="preserve"> PAGE  \* MERGEFORMAT </w:instrText>
    </w:r>
    <w:r w:rsidRPr="00624A93">
      <w:rPr>
        <w:b/>
        <w:sz w:val="18"/>
      </w:rPr>
      <w:fldChar w:fldCharType="separate"/>
    </w:r>
    <w:r w:rsidR="00770698">
      <w:rPr>
        <w:b/>
        <w:noProof/>
        <w:sz w:val="18"/>
      </w:rPr>
      <w:t>6</w:t>
    </w:r>
    <w:r w:rsidRPr="00624A93">
      <w:rPr>
        <w:b/>
        <w:sz w:val="18"/>
      </w:rPr>
      <w:fldChar w:fldCharType="end"/>
    </w:r>
    <w:r>
      <w:rPr>
        <w:b/>
        <w:sz w:val="18"/>
      </w:rPr>
      <w:tab/>
    </w:r>
    <w:r>
      <w:t>GE.19-08374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A93" w:rsidRPr="00624A93" w:rsidRDefault="00624A93" w:rsidP="00624A93">
    <w:pPr>
      <w:pStyle w:val="Footer"/>
      <w:tabs>
        <w:tab w:val="clear" w:pos="9639"/>
        <w:tab w:val="right" w:pos="9638"/>
      </w:tabs>
      <w:rPr>
        <w:b/>
        <w:sz w:val="18"/>
      </w:rPr>
    </w:pPr>
    <w:r>
      <w:t>GE.19-08374</w:t>
    </w:r>
    <w:r>
      <w:tab/>
    </w:r>
    <w:r w:rsidRPr="00624A93">
      <w:rPr>
        <w:b/>
        <w:sz w:val="18"/>
      </w:rPr>
      <w:fldChar w:fldCharType="begin"/>
    </w:r>
    <w:r w:rsidRPr="00624A93">
      <w:rPr>
        <w:b/>
        <w:sz w:val="18"/>
      </w:rPr>
      <w:instrText xml:space="preserve"> PAGE  \* MERGEFORMAT </w:instrText>
    </w:r>
    <w:r w:rsidRPr="00624A93">
      <w:rPr>
        <w:b/>
        <w:sz w:val="18"/>
      </w:rPr>
      <w:fldChar w:fldCharType="separate"/>
    </w:r>
    <w:r w:rsidR="00770698">
      <w:rPr>
        <w:b/>
        <w:noProof/>
        <w:sz w:val="18"/>
      </w:rPr>
      <w:t>5</w:t>
    </w:r>
    <w:r w:rsidRPr="00624A9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624A93" w:rsidRDefault="00624A93" w:rsidP="00624A9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08374  (</w:t>
    </w:r>
    <w:proofErr w:type="gramEnd"/>
    <w:r>
      <w:t>R)</w:t>
    </w:r>
    <w:r w:rsidR="00687EA8">
      <w:rPr>
        <w:lang w:val="en-US"/>
      </w:rPr>
      <w:t xml:space="preserve">  190619  190619</w:t>
    </w:r>
    <w:r>
      <w:br/>
    </w:r>
    <w:r w:rsidRPr="00624A93">
      <w:rPr>
        <w:rFonts w:ascii="C39T30Lfz" w:hAnsi="C39T30Lfz"/>
        <w:kern w:val="14"/>
        <w:sz w:val="56"/>
      </w:rPr>
      <w:t></w:t>
    </w:r>
    <w:r w:rsidRPr="00624A93">
      <w:rPr>
        <w:rFonts w:ascii="C39T30Lfz" w:hAnsi="C39T30Lfz"/>
        <w:kern w:val="14"/>
        <w:sz w:val="56"/>
      </w:rPr>
      <w:t></w:t>
    </w:r>
    <w:r w:rsidRPr="00624A93">
      <w:rPr>
        <w:rFonts w:ascii="C39T30Lfz" w:hAnsi="C39T30Lfz"/>
        <w:kern w:val="14"/>
        <w:sz w:val="56"/>
      </w:rPr>
      <w:t></w:t>
    </w:r>
    <w:r w:rsidRPr="00624A93">
      <w:rPr>
        <w:rFonts w:ascii="C39T30Lfz" w:hAnsi="C39T30Lfz"/>
        <w:kern w:val="14"/>
        <w:sz w:val="56"/>
      </w:rPr>
      <w:t></w:t>
    </w:r>
    <w:r w:rsidRPr="00624A93">
      <w:rPr>
        <w:rFonts w:ascii="C39T30Lfz" w:hAnsi="C39T30Lfz"/>
        <w:kern w:val="14"/>
        <w:sz w:val="56"/>
      </w:rPr>
      <w:t></w:t>
    </w:r>
    <w:r w:rsidRPr="00624A93">
      <w:rPr>
        <w:rFonts w:ascii="C39T30Lfz" w:hAnsi="C39T30Lfz"/>
        <w:kern w:val="14"/>
        <w:sz w:val="56"/>
      </w:rPr>
      <w:t></w:t>
    </w:r>
    <w:r w:rsidRPr="00624A93">
      <w:rPr>
        <w:rFonts w:ascii="C39T30Lfz" w:hAnsi="C39T30Lfz"/>
        <w:kern w:val="14"/>
        <w:sz w:val="56"/>
      </w:rPr>
      <w:t></w:t>
    </w:r>
    <w:r w:rsidRPr="00624A93">
      <w:rPr>
        <w:rFonts w:ascii="C39T30Lfz" w:hAnsi="C39T30Lfz"/>
        <w:kern w:val="14"/>
        <w:sz w:val="56"/>
      </w:rPr>
      <w:t></w:t>
    </w:r>
    <w:r w:rsidRPr="00624A93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ADR/CONF/2019/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ADR/CONF/2019/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7F7" w:rsidRPr="001075E9" w:rsidRDefault="001077F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077F7" w:rsidRDefault="001077F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24A93" w:rsidRPr="00A82944" w:rsidRDefault="00624A93" w:rsidP="00624A93">
      <w:pPr>
        <w:pStyle w:val="FootnoteText"/>
      </w:pPr>
      <w:r w:rsidRPr="007E68BC">
        <w:tab/>
      </w:r>
      <w:r w:rsidRPr="00360045">
        <w:rPr>
          <w:rStyle w:val="FootnoteReference"/>
          <w:sz w:val="20"/>
        </w:rPr>
        <w:footnoteRef/>
      </w:r>
      <w:r w:rsidR="00687EA8">
        <w:tab/>
      </w:r>
      <w:hyperlink r:id="rId1" w:history="1">
        <w:r w:rsidRPr="00687EA8">
          <w:rPr>
            <w:rStyle w:val="Hyperlink"/>
            <w:color w:val="auto"/>
          </w:rPr>
          <w:t>http://www.unece.org/oes/nutshell/mandate_role.html</w:t>
        </w:r>
      </w:hyperlink>
      <w:r w:rsidR="00687EA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A93" w:rsidRPr="00624A93" w:rsidRDefault="00F351C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70698">
      <w:t>ECE/TRANS/ADR/CONF/2019/2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A93" w:rsidRPr="00624A93" w:rsidRDefault="00F351C1" w:rsidP="00624A9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70698">
      <w:t>ECE/TRANS/ADR/CONF/2019/2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7F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077F7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24A93"/>
    <w:rsid w:val="006345DB"/>
    <w:rsid w:val="00640F49"/>
    <w:rsid w:val="00680D03"/>
    <w:rsid w:val="00681A10"/>
    <w:rsid w:val="00687EA8"/>
    <w:rsid w:val="006A1ED8"/>
    <w:rsid w:val="006C2031"/>
    <w:rsid w:val="006D461A"/>
    <w:rsid w:val="006F35EE"/>
    <w:rsid w:val="007021FF"/>
    <w:rsid w:val="00712895"/>
    <w:rsid w:val="00734ACB"/>
    <w:rsid w:val="00757357"/>
    <w:rsid w:val="007702EE"/>
    <w:rsid w:val="00770698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24744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351C1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A8482B1-D951-4C72-B21E-7B38B926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624A93"/>
    <w:rPr>
      <w:lang w:val="ru-RU" w:eastAsia="en-US"/>
    </w:rPr>
  </w:style>
  <w:style w:type="paragraph" w:customStyle="1" w:styleId="ParNoG">
    <w:name w:val="_ParNo_G"/>
    <w:basedOn w:val="SingleTxtG"/>
    <w:qFormat/>
    <w:rsid w:val="00624A93"/>
    <w:pPr>
      <w:numPr>
        <w:numId w:val="22"/>
      </w:numPr>
      <w:suppressAutoHyphens w:val="0"/>
    </w:pPr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oes/nutshell/mandate_role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2087</Words>
  <Characters>11900</Characters>
  <Application>Microsoft Office Word</Application>
  <DocSecurity>0</DocSecurity>
  <Lines>99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ECE/TRANS/ADR/CONF/2019/2</vt:lpstr>
      <vt:lpstr>ECE/TRANS/ADR/CONF/2019/2</vt:lpstr>
      <vt:lpstr>A/</vt:lpstr>
    </vt:vector>
  </TitlesOfParts>
  <Company>DCM</Company>
  <LinksUpToDate>false</LinksUpToDate>
  <CharactersWithSpaces>13960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ECE/TRANS/ADR/CONF/2019/2</dc:title>
  <dc:subject/>
  <dc:creator>Uliana ANTIPOVA</dc:creator>
  <cp:keywords/>
  <cp:lastModifiedBy>Christine Barrio-Champeau</cp:lastModifiedBy>
  <cp:revision>2</cp:revision>
  <cp:lastPrinted>2019-06-19T09:26:00Z</cp:lastPrinted>
  <dcterms:created xsi:type="dcterms:W3CDTF">2019-06-21T07:21:00Z</dcterms:created>
  <dcterms:modified xsi:type="dcterms:W3CDTF">2019-06-21T07:21:00Z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