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721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7212B" w:rsidP="0097212B">
            <w:pPr>
              <w:jc w:val="right"/>
            </w:pPr>
            <w:r w:rsidRPr="0097212B">
              <w:rPr>
                <w:sz w:val="40"/>
              </w:rPr>
              <w:t>ECE</w:t>
            </w:r>
            <w:r>
              <w:t>/TRANS/ADR/CONF/2019/1/Add.1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7212B" w:rsidP="00C97039">
            <w:pPr>
              <w:spacing w:before="240"/>
            </w:pPr>
            <w:proofErr w:type="spellStart"/>
            <w:r>
              <w:t>Distr</w:t>
            </w:r>
            <w:proofErr w:type="spellEnd"/>
            <w:r>
              <w:t xml:space="preserve">. </w:t>
            </w:r>
            <w:proofErr w:type="gramStart"/>
            <w:r>
              <w:t>générale</w:t>
            </w:r>
            <w:proofErr w:type="gramEnd"/>
          </w:p>
          <w:p w:rsidR="0097212B" w:rsidRDefault="0097212B" w:rsidP="0097212B">
            <w:pPr>
              <w:spacing w:line="240" w:lineRule="exact"/>
            </w:pPr>
            <w:r>
              <w:t>1</w:t>
            </w:r>
            <w:r w:rsidRPr="0097212B">
              <w:rPr>
                <w:vertAlign w:val="superscript"/>
              </w:rPr>
              <w:t>er</w:t>
            </w:r>
            <w:r>
              <w:t> mars 2019</w:t>
            </w:r>
          </w:p>
          <w:p w:rsidR="0097212B" w:rsidRDefault="0097212B" w:rsidP="0097212B">
            <w:pPr>
              <w:spacing w:line="240" w:lineRule="exact"/>
            </w:pPr>
            <w:r>
              <w:t>Français</w:t>
            </w:r>
          </w:p>
          <w:p w:rsidR="0097212B" w:rsidRPr="00DB58B5" w:rsidRDefault="0097212B" w:rsidP="009721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7212B" w:rsidRPr="00617377" w:rsidRDefault="0097212B" w:rsidP="0097212B">
      <w:pPr>
        <w:spacing w:before="120" w:line="240" w:lineRule="auto"/>
        <w:rPr>
          <w:b/>
          <w:sz w:val="24"/>
          <w:szCs w:val="24"/>
        </w:rPr>
      </w:pPr>
      <w:bookmarkStart w:id="1" w:name="_Hlk1142647"/>
      <w:r w:rsidRPr="00617377">
        <w:rPr>
          <w:b/>
          <w:bCs/>
          <w:sz w:val="24"/>
          <w:szCs w:val="24"/>
          <w:lang w:val="fr-FR"/>
        </w:rPr>
        <w:t xml:space="preserve">Conférence des Parties </w:t>
      </w:r>
      <w:r>
        <w:rPr>
          <w:b/>
          <w:bCs/>
          <w:sz w:val="24"/>
          <w:szCs w:val="24"/>
          <w:lang w:val="fr-FR"/>
        </w:rPr>
        <w:t>c</w:t>
      </w:r>
      <w:r w:rsidRPr="00617377">
        <w:rPr>
          <w:b/>
          <w:bCs/>
          <w:sz w:val="24"/>
          <w:szCs w:val="24"/>
          <w:lang w:val="fr-FR"/>
        </w:rPr>
        <w:t>ontractantes à l’</w:t>
      </w:r>
      <w:r>
        <w:rPr>
          <w:b/>
          <w:bCs/>
          <w:sz w:val="24"/>
          <w:szCs w:val="24"/>
          <w:lang w:val="fr-FR"/>
        </w:rPr>
        <w:t>A</w:t>
      </w:r>
      <w:r w:rsidRPr="00617377">
        <w:rPr>
          <w:b/>
          <w:bCs/>
          <w:sz w:val="24"/>
          <w:szCs w:val="24"/>
          <w:lang w:val="fr-FR"/>
        </w:rPr>
        <w:t xml:space="preserve">ccord </w:t>
      </w:r>
      <w:r w:rsidRPr="00617377">
        <w:rPr>
          <w:b/>
          <w:bCs/>
          <w:sz w:val="24"/>
          <w:szCs w:val="24"/>
          <w:lang w:val="fr-FR"/>
        </w:rPr>
        <w:br/>
        <w:t xml:space="preserve">européen de 1957 relatif au transport international </w:t>
      </w:r>
      <w:r w:rsidRPr="00617377">
        <w:rPr>
          <w:b/>
          <w:bCs/>
          <w:sz w:val="24"/>
          <w:szCs w:val="24"/>
          <w:lang w:val="fr-FR"/>
        </w:rPr>
        <w:br/>
        <w:t>des marchandises dangereuses par route (ADR)</w:t>
      </w:r>
    </w:p>
    <w:p w:rsidR="0097212B" w:rsidRPr="00A64A19" w:rsidRDefault="0097212B" w:rsidP="0097212B">
      <w:pPr>
        <w:spacing w:before="120" w:line="240" w:lineRule="auto"/>
        <w:rPr>
          <w:rFonts w:eastAsia="SimSun"/>
          <w:b/>
        </w:rPr>
      </w:pPr>
      <w:r w:rsidRPr="00A64A19">
        <w:rPr>
          <w:b/>
          <w:lang w:val="fr-FR"/>
        </w:rPr>
        <w:t xml:space="preserve">Deuxième réunion </w:t>
      </w:r>
    </w:p>
    <w:p w:rsidR="0097212B" w:rsidRPr="00B365B7" w:rsidRDefault="0097212B" w:rsidP="0097212B">
      <w:pPr>
        <w:spacing w:line="240" w:lineRule="auto"/>
        <w:rPr>
          <w:rFonts w:eastAsia="SimSun"/>
        </w:rPr>
      </w:pPr>
      <w:r w:rsidRPr="00B365B7">
        <w:rPr>
          <w:lang w:val="fr-FR"/>
        </w:rPr>
        <w:t>Genève, 13 mai 2019</w:t>
      </w:r>
    </w:p>
    <w:bookmarkEnd w:id="1"/>
    <w:p w:rsidR="0097212B" w:rsidRPr="00B365B7" w:rsidRDefault="0097212B" w:rsidP="0097212B">
      <w:pPr>
        <w:spacing w:line="240" w:lineRule="auto"/>
      </w:pPr>
      <w:r w:rsidRPr="00B365B7">
        <w:rPr>
          <w:lang w:val="fr-FR"/>
        </w:rPr>
        <w:t>Point 4 de l</w:t>
      </w:r>
      <w:r>
        <w:rPr>
          <w:lang w:val="fr-FR"/>
        </w:rPr>
        <w:t>’</w:t>
      </w:r>
      <w:r w:rsidRPr="00B365B7">
        <w:rPr>
          <w:lang w:val="fr-FR"/>
        </w:rPr>
        <w:t>ordre du jour provisoire</w:t>
      </w:r>
    </w:p>
    <w:p w:rsidR="0097212B" w:rsidRPr="00B365B7" w:rsidRDefault="0097212B" w:rsidP="0097212B">
      <w:pPr>
        <w:spacing w:line="240" w:lineRule="auto"/>
      </w:pPr>
      <w:r w:rsidRPr="00B365B7">
        <w:rPr>
          <w:b/>
          <w:bCs/>
          <w:lang w:val="fr-FR"/>
        </w:rPr>
        <w:t>Adoption de l</w:t>
      </w:r>
      <w:r>
        <w:rPr>
          <w:b/>
          <w:bCs/>
          <w:lang w:val="fr-FR"/>
        </w:rPr>
        <w:t>’</w:t>
      </w:r>
      <w:r w:rsidRPr="00B365B7">
        <w:rPr>
          <w:b/>
          <w:bCs/>
          <w:lang w:val="fr-FR"/>
        </w:rPr>
        <w:t>ordre du jour</w:t>
      </w:r>
    </w:p>
    <w:p w:rsidR="00971F48" w:rsidRPr="00E42DD4" w:rsidRDefault="00971F48" w:rsidP="00971F48">
      <w:pPr>
        <w:pStyle w:val="HChG"/>
      </w:pPr>
      <w:r w:rsidRPr="00E42DD4">
        <w:rPr>
          <w:lang w:val="fr-FR"/>
        </w:rPr>
        <w:tab/>
      </w:r>
      <w:r w:rsidRPr="00E42DD4">
        <w:rPr>
          <w:lang w:val="fr-FR"/>
        </w:rPr>
        <w:tab/>
        <w:t>Ordre du jour provisoire de la Conférence</w:t>
      </w:r>
    </w:p>
    <w:p w:rsidR="00971F48" w:rsidRPr="00E42DD4" w:rsidRDefault="00971F48" w:rsidP="006B76BE">
      <w:pPr>
        <w:pStyle w:val="H23G"/>
      </w:pPr>
      <w:r w:rsidRPr="00E42DD4">
        <w:rPr>
          <w:lang w:val="fr-FR"/>
        </w:rPr>
        <w:tab/>
      </w:r>
      <w:r w:rsidRPr="00E42DD4">
        <w:rPr>
          <w:lang w:val="fr-FR"/>
        </w:rPr>
        <w:tab/>
        <w:t>Additif</w:t>
      </w:r>
    </w:p>
    <w:p w:rsidR="00971F48" w:rsidRPr="00E42DD4" w:rsidRDefault="00971F48" w:rsidP="00971F48">
      <w:pPr>
        <w:pStyle w:val="H1G"/>
      </w:pPr>
      <w:r w:rsidRPr="00E42DD4">
        <w:rPr>
          <w:lang w:val="fr-FR"/>
        </w:rPr>
        <w:tab/>
      </w:r>
      <w:r w:rsidRPr="00E42DD4">
        <w:rPr>
          <w:lang w:val="fr-FR"/>
        </w:rPr>
        <w:tab/>
        <w:t xml:space="preserve">Annotations </w:t>
      </w:r>
    </w:p>
    <w:p w:rsidR="00971F48" w:rsidRPr="00E42DD4" w:rsidRDefault="00971F48" w:rsidP="006B76BE">
      <w:pPr>
        <w:pStyle w:val="H1G"/>
      </w:pPr>
      <w:r>
        <w:rPr>
          <w:lang w:val="fr-FR"/>
        </w:rPr>
        <w:tab/>
      </w:r>
      <w:r w:rsidRPr="00E42DD4">
        <w:rPr>
          <w:lang w:val="fr-FR"/>
        </w:rPr>
        <w:t>1.</w:t>
      </w:r>
      <w:r w:rsidRPr="00E42DD4">
        <w:rPr>
          <w:lang w:val="fr-FR"/>
        </w:rPr>
        <w:tab/>
        <w:t>Ouverture de la Conférence</w:t>
      </w:r>
    </w:p>
    <w:p w:rsidR="00971F48" w:rsidRPr="00E42DD4" w:rsidRDefault="00971F48" w:rsidP="00971F48">
      <w:pPr>
        <w:pStyle w:val="SingleTxtG"/>
        <w:ind w:firstLine="567"/>
      </w:pPr>
      <w:r w:rsidRPr="00E42DD4">
        <w:rPr>
          <w:lang w:val="fr-FR"/>
        </w:rPr>
        <w:t>La Conférence sera ouverte le lundi 13 mai 2019 à 14 h 30.</w:t>
      </w:r>
    </w:p>
    <w:p w:rsidR="00971F48" w:rsidRPr="00E42DD4" w:rsidRDefault="006B76BE" w:rsidP="006B76BE">
      <w:pPr>
        <w:pStyle w:val="H1G"/>
      </w:pPr>
      <w:r>
        <w:rPr>
          <w:lang w:val="fr-FR"/>
        </w:rPr>
        <w:tab/>
      </w:r>
      <w:r w:rsidR="00971F48" w:rsidRPr="00E42DD4">
        <w:rPr>
          <w:lang w:val="fr-FR"/>
        </w:rPr>
        <w:t>2.</w:t>
      </w:r>
      <w:r w:rsidR="00971F48" w:rsidRPr="00E42DD4">
        <w:rPr>
          <w:lang w:val="fr-FR"/>
        </w:rPr>
        <w:tab/>
        <w:t>Élection du Bureau</w:t>
      </w:r>
    </w:p>
    <w:p w:rsidR="00971F48" w:rsidRPr="00E42DD4" w:rsidRDefault="00971F48" w:rsidP="00971F48">
      <w:pPr>
        <w:pStyle w:val="SingleTxtG"/>
        <w:ind w:firstLine="567"/>
        <w:rPr>
          <w:rFonts w:eastAsia="MS Mincho"/>
        </w:rPr>
      </w:pPr>
      <w:r>
        <w:rPr>
          <w:rFonts w:eastAsia="MS Mincho"/>
          <w:lang w:val="fr-FR"/>
        </w:rPr>
        <w:t>Conformément au</w:t>
      </w:r>
      <w:r w:rsidRPr="00E42DD4">
        <w:rPr>
          <w:rFonts w:eastAsia="MS Mincho"/>
          <w:lang w:val="fr-FR"/>
        </w:rPr>
        <w:t xml:space="preserve"> précédent établi lors de la Conférence des Parties contractantes qui s</w:t>
      </w:r>
      <w:r>
        <w:rPr>
          <w:rFonts w:eastAsia="MS Mincho"/>
          <w:lang w:val="fr-FR"/>
        </w:rPr>
        <w:t>’</w:t>
      </w:r>
      <w:r w:rsidRPr="00E42DD4">
        <w:rPr>
          <w:rFonts w:eastAsia="MS Mincho"/>
          <w:lang w:val="fr-FR"/>
        </w:rPr>
        <w:t xml:space="preserve">est tenue le 28 octobre 1993, la Conférence voudra peut-être élire un président et un vice-président choisis parmi les représentants des Parties contractantes.  </w:t>
      </w:r>
    </w:p>
    <w:p w:rsidR="00971F48" w:rsidRPr="00E42DD4" w:rsidRDefault="006B76BE" w:rsidP="006B76BE">
      <w:pPr>
        <w:pStyle w:val="H1G"/>
      </w:pPr>
      <w:r>
        <w:rPr>
          <w:lang w:val="fr-FR"/>
        </w:rPr>
        <w:tab/>
      </w:r>
      <w:r w:rsidR="00971F48" w:rsidRPr="00E42DD4">
        <w:rPr>
          <w:lang w:val="fr-FR"/>
        </w:rPr>
        <w:t>3.</w:t>
      </w:r>
      <w:r w:rsidR="00971F48" w:rsidRPr="00E42DD4">
        <w:rPr>
          <w:lang w:val="fr-FR"/>
        </w:rPr>
        <w:tab/>
        <w:t>Pouvoirs</w:t>
      </w:r>
    </w:p>
    <w:p w:rsidR="00971F48" w:rsidRPr="00E42DD4" w:rsidRDefault="00971F48" w:rsidP="00971F48">
      <w:pPr>
        <w:pStyle w:val="SingleTxtG"/>
        <w:ind w:firstLine="567"/>
        <w:rPr>
          <w:rFonts w:eastAsia="MS Mincho"/>
        </w:rPr>
      </w:pPr>
      <w:r w:rsidRPr="00E42DD4">
        <w:rPr>
          <w:rFonts w:eastAsia="MS Mincho"/>
          <w:lang w:val="fr-FR"/>
        </w:rPr>
        <w:t>Conformément au Règlement intérieur de la Commission économique pour l</w:t>
      </w:r>
      <w:r>
        <w:rPr>
          <w:rFonts w:eastAsia="MS Mincho"/>
          <w:lang w:val="fr-FR"/>
        </w:rPr>
        <w:t>’</w:t>
      </w:r>
      <w:r w:rsidRPr="00E42DD4">
        <w:rPr>
          <w:rFonts w:eastAsia="MS Mincho"/>
          <w:lang w:val="fr-FR"/>
        </w:rPr>
        <w:t xml:space="preserve">Europe, chaque </w:t>
      </w:r>
      <w:r>
        <w:rPr>
          <w:rFonts w:eastAsia="MS Mincho"/>
          <w:lang w:val="fr-FR"/>
        </w:rPr>
        <w:t>P</w:t>
      </w:r>
      <w:r w:rsidRPr="00E42DD4">
        <w:rPr>
          <w:rFonts w:eastAsia="MS Mincho"/>
          <w:lang w:val="fr-FR"/>
        </w:rPr>
        <w:t>artie contractante devrait être représentée à la Conférence par un représentant accrédité. Le (la) représentant(e) peut se faire accompagner par des représentants suppléants et des conseillers</w:t>
      </w:r>
      <w:r w:rsidR="00FF3058">
        <w:rPr>
          <w:rFonts w:eastAsia="MS Mincho"/>
          <w:lang w:val="fr-FR"/>
        </w:rPr>
        <w:t> </w:t>
      </w:r>
      <w:r w:rsidRPr="00E42DD4">
        <w:rPr>
          <w:rFonts w:eastAsia="MS Mincho"/>
          <w:lang w:val="fr-FR"/>
        </w:rPr>
        <w:t>; en cas d</w:t>
      </w:r>
      <w:r>
        <w:rPr>
          <w:rFonts w:eastAsia="MS Mincho"/>
          <w:lang w:val="fr-FR"/>
        </w:rPr>
        <w:t>’</w:t>
      </w:r>
      <w:r w:rsidRPr="00E42DD4">
        <w:rPr>
          <w:rFonts w:eastAsia="MS Mincho"/>
          <w:lang w:val="fr-FR"/>
        </w:rPr>
        <w:t xml:space="preserve">absence, il ou elle peut être remplacé(e) par un (une) représentant(e) suppléant(e).  </w:t>
      </w:r>
    </w:p>
    <w:p w:rsidR="00971F48" w:rsidRPr="00E42DD4" w:rsidRDefault="00971F48" w:rsidP="00971F48">
      <w:pPr>
        <w:pStyle w:val="SingleTxtG"/>
        <w:ind w:firstLine="567"/>
        <w:rPr>
          <w:rFonts w:eastAsia="MS Mincho"/>
        </w:rPr>
      </w:pPr>
      <w:r w:rsidRPr="00E42DD4">
        <w:rPr>
          <w:rFonts w:eastAsia="MS Mincho"/>
          <w:lang w:val="fr-FR"/>
        </w:rPr>
        <w:t>Les pouvoirs de chaque représentant nommé à la Conférence, ainsi que la liste nominative des représentants suppléants, doivent être communiqués soit par le chef d</w:t>
      </w:r>
      <w:r>
        <w:rPr>
          <w:rFonts w:eastAsia="MS Mincho"/>
          <w:lang w:val="fr-FR"/>
        </w:rPr>
        <w:t>’</w:t>
      </w:r>
      <w:r w:rsidRPr="00E42DD4">
        <w:rPr>
          <w:rFonts w:eastAsia="MS Mincho"/>
          <w:lang w:val="fr-FR"/>
        </w:rPr>
        <w:t xml:space="preserve">État ou de </w:t>
      </w:r>
      <w:r>
        <w:rPr>
          <w:rFonts w:eastAsia="MS Mincho"/>
          <w:lang w:val="fr-FR"/>
        </w:rPr>
        <w:t>g</w:t>
      </w:r>
      <w:r w:rsidRPr="00E42DD4">
        <w:rPr>
          <w:rFonts w:eastAsia="MS Mincho"/>
          <w:lang w:val="fr-FR"/>
        </w:rPr>
        <w:t>ouvernement, soit par le Ministre des affaires étrangères. Ils devraient être adressés sans délai au Secrétaire exécutif de la Commission économique pour l</w:t>
      </w:r>
      <w:r>
        <w:rPr>
          <w:rFonts w:eastAsia="MS Mincho"/>
          <w:lang w:val="fr-FR"/>
        </w:rPr>
        <w:t>’</w:t>
      </w:r>
      <w:r w:rsidRPr="00E42DD4">
        <w:rPr>
          <w:rFonts w:eastAsia="MS Mincho"/>
          <w:lang w:val="fr-FR"/>
        </w:rPr>
        <w:t>Europe et, si possible, au plus tard le vendredi 10</w:t>
      </w:r>
      <w:r w:rsidR="006B76BE">
        <w:rPr>
          <w:rFonts w:eastAsia="MS Mincho"/>
          <w:lang w:val="fr-FR"/>
        </w:rPr>
        <w:t> </w:t>
      </w:r>
      <w:r w:rsidRPr="00E42DD4">
        <w:rPr>
          <w:rFonts w:eastAsia="MS Mincho"/>
          <w:lang w:val="fr-FR"/>
        </w:rPr>
        <w:t xml:space="preserve">mai 2019 afin de faciliter le processus de vérification. Dans le cas où la présentation des pouvoirs en bonne et due forme ne peut pas être faite avant la Conférence, les </w:t>
      </w:r>
      <w:r>
        <w:rPr>
          <w:rFonts w:eastAsia="MS Mincho"/>
          <w:lang w:val="fr-FR"/>
        </w:rPr>
        <w:t>P</w:t>
      </w:r>
      <w:r w:rsidRPr="00E42DD4">
        <w:rPr>
          <w:rFonts w:eastAsia="MS Mincho"/>
          <w:lang w:val="fr-FR"/>
        </w:rPr>
        <w:t xml:space="preserve">arties contractantes sont invitées à communiquer les informations </w:t>
      </w:r>
      <w:r w:rsidRPr="00E42DD4">
        <w:rPr>
          <w:rFonts w:eastAsia="MS Mincho"/>
          <w:lang w:val="fr-FR"/>
        </w:rPr>
        <w:lastRenderedPageBreak/>
        <w:t xml:space="preserve">concernant leurs représentants au </w:t>
      </w:r>
      <w:r>
        <w:rPr>
          <w:rFonts w:eastAsia="MS Mincho"/>
          <w:lang w:val="fr-FR"/>
        </w:rPr>
        <w:t>s</w:t>
      </w:r>
      <w:r w:rsidRPr="00E42DD4">
        <w:rPr>
          <w:rFonts w:eastAsia="MS Mincho"/>
          <w:lang w:val="fr-FR"/>
        </w:rPr>
        <w:t>ecrétariat avant la session (par exemple, une copie des pouvoirs donnés à leurs représentants ou une note verbale de la Mission permanente)</w:t>
      </w:r>
      <w:r>
        <w:rPr>
          <w:rFonts w:eastAsia="MS Mincho"/>
          <w:lang w:val="fr-FR"/>
        </w:rPr>
        <w:t>,</w:t>
      </w:r>
      <w:r w:rsidRPr="00E42DD4">
        <w:rPr>
          <w:rFonts w:eastAsia="MS Mincho"/>
          <w:lang w:val="fr-FR"/>
        </w:rPr>
        <w:t xml:space="preserve"> étant entendu que les pouvoirs en bonne et due forme des représentants seront envoyés dès que possible. </w:t>
      </w:r>
    </w:p>
    <w:p w:rsidR="00971F48" w:rsidRPr="00E42DD4" w:rsidRDefault="00971F48" w:rsidP="00971F48">
      <w:pPr>
        <w:pStyle w:val="SingleTxtG"/>
        <w:ind w:firstLine="567"/>
        <w:rPr>
          <w:rFonts w:eastAsia="MS Mincho"/>
        </w:rPr>
      </w:pPr>
      <w:r w:rsidRPr="00E42DD4">
        <w:rPr>
          <w:rFonts w:eastAsia="MS Mincho"/>
          <w:lang w:val="fr-FR"/>
        </w:rPr>
        <w:t>Le secrétariat rendra compte oralement de</w:t>
      </w:r>
      <w:r>
        <w:rPr>
          <w:rFonts w:eastAsia="MS Mincho"/>
          <w:lang w:val="fr-FR"/>
        </w:rPr>
        <w:t xml:space="preserve"> la vérification de</w:t>
      </w:r>
      <w:r w:rsidRPr="00E42DD4">
        <w:rPr>
          <w:rFonts w:eastAsia="MS Mincho"/>
          <w:lang w:val="fr-FR"/>
        </w:rPr>
        <w:t>s pouvoirs pendant la Conférence.</w:t>
      </w:r>
    </w:p>
    <w:p w:rsidR="00971F48" w:rsidRPr="00E42DD4" w:rsidRDefault="006B76BE" w:rsidP="006B76BE">
      <w:pPr>
        <w:pStyle w:val="H1G"/>
      </w:pPr>
      <w:r>
        <w:rPr>
          <w:lang w:val="fr-FR"/>
        </w:rPr>
        <w:tab/>
      </w:r>
      <w:r w:rsidR="00971F48" w:rsidRPr="00E42DD4">
        <w:rPr>
          <w:lang w:val="fr-FR"/>
        </w:rPr>
        <w:t>4.</w:t>
      </w:r>
      <w:r w:rsidR="00971F48" w:rsidRPr="00E42DD4">
        <w:rPr>
          <w:lang w:val="fr-FR"/>
        </w:rPr>
        <w:tab/>
        <w:t>Adoption de l</w:t>
      </w:r>
      <w:r w:rsidR="00971F48">
        <w:rPr>
          <w:lang w:val="fr-FR"/>
        </w:rPr>
        <w:t>’</w:t>
      </w:r>
      <w:r w:rsidR="00971F48" w:rsidRPr="00E42DD4">
        <w:rPr>
          <w:lang w:val="fr-FR"/>
        </w:rPr>
        <w:t>ordre du jour</w:t>
      </w:r>
    </w:p>
    <w:p w:rsidR="00971F48" w:rsidRPr="00E42DD4" w:rsidRDefault="00971F48" w:rsidP="00971F48">
      <w:pPr>
        <w:pStyle w:val="SingleTxtG"/>
        <w:ind w:firstLine="567"/>
        <w:rPr>
          <w:rFonts w:eastAsia="MS Mincho"/>
        </w:rPr>
      </w:pPr>
      <w:r w:rsidRPr="00E42DD4">
        <w:rPr>
          <w:rFonts w:eastAsia="MS Mincho"/>
          <w:lang w:val="fr-FR"/>
        </w:rPr>
        <w:t>La Conférence voudra sans doute adopter l</w:t>
      </w:r>
      <w:r>
        <w:rPr>
          <w:rFonts w:eastAsia="MS Mincho"/>
          <w:lang w:val="fr-FR"/>
        </w:rPr>
        <w:t>’</w:t>
      </w:r>
      <w:r w:rsidRPr="00E42DD4">
        <w:rPr>
          <w:rFonts w:eastAsia="MS Mincho"/>
          <w:lang w:val="fr-FR"/>
        </w:rPr>
        <w:t xml:space="preserve">ordre du jour de la </w:t>
      </w:r>
      <w:r w:rsidR="007E15AE">
        <w:rPr>
          <w:rFonts w:eastAsia="MS Mincho"/>
          <w:lang w:val="fr-FR"/>
        </w:rPr>
        <w:t>C</w:t>
      </w:r>
      <w:r w:rsidRPr="00E42DD4">
        <w:rPr>
          <w:rFonts w:eastAsia="MS Mincho"/>
          <w:lang w:val="fr-FR"/>
        </w:rPr>
        <w:t>onférence établi par le secrétariat.</w:t>
      </w:r>
    </w:p>
    <w:p w:rsidR="00971F48" w:rsidRPr="00E42DD4" w:rsidRDefault="006B76BE" w:rsidP="006B76BE">
      <w:pPr>
        <w:pStyle w:val="H1G"/>
      </w:pPr>
      <w:r>
        <w:rPr>
          <w:lang w:val="fr-FR"/>
        </w:rPr>
        <w:tab/>
      </w:r>
      <w:r w:rsidR="00971F48" w:rsidRPr="00E42DD4">
        <w:rPr>
          <w:lang w:val="fr-FR"/>
        </w:rPr>
        <w:t>5.</w:t>
      </w:r>
      <w:r w:rsidR="00971F48" w:rsidRPr="00E42DD4">
        <w:rPr>
          <w:lang w:val="fr-FR"/>
        </w:rPr>
        <w:tab/>
        <w:t>Règlement intérieur</w:t>
      </w:r>
    </w:p>
    <w:p w:rsidR="00971F48" w:rsidRPr="00E42DD4" w:rsidRDefault="00971F48" w:rsidP="00971F48">
      <w:pPr>
        <w:pStyle w:val="SingleTxtG"/>
        <w:ind w:firstLine="567"/>
        <w:rPr>
          <w:rFonts w:eastAsia="MS Mincho"/>
        </w:rPr>
      </w:pPr>
      <w:r>
        <w:rPr>
          <w:rFonts w:eastAsia="MS Mincho"/>
          <w:lang w:val="fr-FR"/>
        </w:rPr>
        <w:t xml:space="preserve">Conformément au </w:t>
      </w:r>
      <w:r w:rsidRPr="00E42DD4">
        <w:rPr>
          <w:rFonts w:eastAsia="MS Mincho"/>
          <w:lang w:val="fr-FR"/>
        </w:rPr>
        <w:t>précédent établi lors de la Conférence des Parties contractantes qui s</w:t>
      </w:r>
      <w:r>
        <w:rPr>
          <w:rFonts w:eastAsia="MS Mincho"/>
          <w:lang w:val="fr-FR"/>
        </w:rPr>
        <w:t>’</w:t>
      </w:r>
      <w:r w:rsidRPr="00E42DD4">
        <w:rPr>
          <w:rFonts w:eastAsia="MS Mincho"/>
          <w:lang w:val="fr-FR"/>
        </w:rPr>
        <w:t xml:space="preserve">est tenue le 28 octobre 1993, la Conférence voudra peut-être appliquer, </w:t>
      </w:r>
      <w:r w:rsidRPr="007E15AE">
        <w:rPr>
          <w:rFonts w:eastAsia="MS Mincho"/>
          <w:i/>
          <w:lang w:val="fr-FR"/>
        </w:rPr>
        <w:t>mutatis mutandis</w:t>
      </w:r>
      <w:r w:rsidRPr="00E42DD4">
        <w:rPr>
          <w:rFonts w:eastAsia="MS Mincho"/>
          <w:lang w:val="fr-FR"/>
        </w:rPr>
        <w:t xml:space="preserve">, le </w:t>
      </w:r>
      <w:r>
        <w:rPr>
          <w:rFonts w:eastAsia="MS Mincho"/>
          <w:lang w:val="fr-FR"/>
        </w:rPr>
        <w:t>R</w:t>
      </w:r>
      <w:r w:rsidRPr="00E42DD4">
        <w:rPr>
          <w:rFonts w:eastAsia="MS Mincho"/>
          <w:lang w:val="fr-FR"/>
        </w:rPr>
        <w:t>èglement intérieur de la Commission économique pour l</w:t>
      </w:r>
      <w:r>
        <w:rPr>
          <w:rFonts w:eastAsia="MS Mincho"/>
          <w:lang w:val="fr-FR"/>
        </w:rPr>
        <w:t>’</w:t>
      </w:r>
      <w:r w:rsidRPr="00E42DD4">
        <w:rPr>
          <w:rFonts w:eastAsia="MS Mincho"/>
          <w:lang w:val="fr-FR"/>
        </w:rPr>
        <w:t>Europe (</w:t>
      </w:r>
      <w:r>
        <w:rPr>
          <w:rFonts w:eastAsia="MS Mincho"/>
          <w:lang w:val="fr-FR"/>
        </w:rPr>
        <w:t>CEE</w:t>
      </w:r>
      <w:r w:rsidRPr="00E42DD4">
        <w:rPr>
          <w:rFonts w:eastAsia="MS Mincho"/>
          <w:lang w:val="fr-FR"/>
        </w:rPr>
        <w:t>) (E/ECE/778/Rev.5)</w:t>
      </w:r>
      <w:r w:rsidRPr="00CF4BD9">
        <w:rPr>
          <w:rStyle w:val="FootnoteReference"/>
        </w:rPr>
        <w:footnoteReference w:id="2"/>
      </w:r>
      <w:r w:rsidRPr="00E42DD4">
        <w:rPr>
          <w:rFonts w:eastAsia="MS Mincho"/>
          <w:lang w:val="fr-FR"/>
        </w:rPr>
        <w:t xml:space="preserve">. </w:t>
      </w:r>
    </w:p>
    <w:p w:rsidR="00971F48" w:rsidRPr="00E42DD4" w:rsidRDefault="00971F48" w:rsidP="00971F48">
      <w:pPr>
        <w:pStyle w:val="SingleTxtG"/>
        <w:ind w:firstLine="567"/>
        <w:rPr>
          <w:rFonts w:eastAsia="MS Mincho"/>
        </w:rPr>
      </w:pPr>
      <w:r w:rsidRPr="00E42DD4">
        <w:rPr>
          <w:rFonts w:eastAsia="MS Mincho"/>
          <w:lang w:val="fr-FR"/>
        </w:rPr>
        <w:t xml:space="preserve">En outre, </w:t>
      </w:r>
      <w:r>
        <w:rPr>
          <w:rFonts w:eastAsia="MS Mincho"/>
          <w:lang w:val="fr-FR"/>
        </w:rPr>
        <w:t>conformément au</w:t>
      </w:r>
      <w:r w:rsidRPr="00E42DD4">
        <w:rPr>
          <w:rFonts w:eastAsia="MS Mincho"/>
          <w:lang w:val="fr-FR"/>
        </w:rPr>
        <w:t xml:space="preserve"> précédent établi lors de la Conférence </w:t>
      </w:r>
      <w:r>
        <w:rPr>
          <w:rFonts w:eastAsia="MS Mincho"/>
          <w:lang w:val="fr-FR"/>
        </w:rPr>
        <w:t>tenue</w:t>
      </w:r>
      <w:r w:rsidRPr="00E42DD4">
        <w:rPr>
          <w:rFonts w:eastAsia="MS Mincho"/>
          <w:lang w:val="fr-FR"/>
        </w:rPr>
        <w:t xml:space="preserve"> en 1993, la Conférence voudra peut-être remplacer les articles 39 et 43 du </w:t>
      </w:r>
      <w:r>
        <w:rPr>
          <w:rFonts w:eastAsia="MS Mincho"/>
          <w:lang w:val="fr-FR"/>
        </w:rPr>
        <w:t>R</w:t>
      </w:r>
      <w:r w:rsidRPr="00E42DD4">
        <w:rPr>
          <w:rFonts w:eastAsia="MS Mincho"/>
          <w:lang w:val="fr-FR"/>
        </w:rPr>
        <w:t>èglement intérieur de la CEE par les dispositions suivantes</w:t>
      </w:r>
      <w:r w:rsidR="006B76BE">
        <w:rPr>
          <w:rFonts w:eastAsia="MS Mincho"/>
          <w:lang w:val="fr-FR"/>
        </w:rPr>
        <w:t> :</w:t>
      </w:r>
    </w:p>
    <w:p w:rsidR="00971F48" w:rsidRPr="00E42DD4" w:rsidRDefault="00971F48" w:rsidP="00971F48">
      <w:pPr>
        <w:pStyle w:val="SingleTxtG"/>
        <w:ind w:firstLine="567"/>
        <w:rPr>
          <w:rFonts w:eastAsia="MS Mincho"/>
        </w:rPr>
      </w:pPr>
      <w:r w:rsidRPr="00E42DD4">
        <w:rPr>
          <w:rFonts w:eastAsia="MS Mincho"/>
          <w:lang w:val="fr-FR"/>
        </w:rPr>
        <w:t>«</w:t>
      </w:r>
      <w:r w:rsidR="006B76BE">
        <w:rPr>
          <w:rFonts w:eastAsia="MS Mincho"/>
          <w:lang w:val="fr-FR"/>
        </w:rPr>
        <w:t> </w:t>
      </w:r>
      <w:proofErr w:type="gramStart"/>
      <w:r w:rsidRPr="00E42DD4">
        <w:rPr>
          <w:rFonts w:eastAsia="MS Mincho"/>
          <w:lang w:val="fr-FR"/>
        </w:rPr>
        <w:t>a</w:t>
      </w:r>
      <w:proofErr w:type="gramEnd"/>
      <w:r w:rsidRPr="00E42DD4">
        <w:rPr>
          <w:rFonts w:eastAsia="MS Mincho"/>
          <w:lang w:val="fr-FR"/>
        </w:rPr>
        <w:t>)</w:t>
      </w:r>
      <w:r w:rsidRPr="00E42DD4">
        <w:rPr>
          <w:rFonts w:eastAsia="MS Mincho"/>
          <w:lang w:val="fr-FR"/>
        </w:rPr>
        <w:tab/>
      </w:r>
      <w:r w:rsidRPr="00E42DD4">
        <w:rPr>
          <w:rFonts w:eastAsia="MS Mincho"/>
        </w:rPr>
        <w:t>Les décisions de la Conférence concernant toutes questions de fond, y</w:t>
      </w:r>
      <w:r w:rsidR="007E15AE">
        <w:rPr>
          <w:rFonts w:eastAsia="MS Mincho"/>
        </w:rPr>
        <w:t> </w:t>
      </w:r>
      <w:r w:rsidRPr="00E42DD4">
        <w:rPr>
          <w:rFonts w:eastAsia="MS Mincho"/>
        </w:rPr>
        <w:t>compris l</w:t>
      </w:r>
      <w:r>
        <w:rPr>
          <w:rFonts w:eastAsia="MS Mincho"/>
        </w:rPr>
        <w:t>’</w:t>
      </w:r>
      <w:r w:rsidRPr="00E42DD4">
        <w:rPr>
          <w:rFonts w:eastAsia="MS Mincho"/>
        </w:rPr>
        <w:t>adoption d</w:t>
      </w:r>
      <w:r>
        <w:rPr>
          <w:rFonts w:eastAsia="MS Mincho"/>
        </w:rPr>
        <w:t>’</w:t>
      </w:r>
      <w:r w:rsidRPr="00E42DD4">
        <w:rPr>
          <w:rFonts w:eastAsia="MS Mincho"/>
        </w:rPr>
        <w:t>un protocole portant amendement à l</w:t>
      </w:r>
      <w:r>
        <w:rPr>
          <w:rFonts w:eastAsia="MS Mincho"/>
        </w:rPr>
        <w:t>’</w:t>
      </w:r>
      <w:r w:rsidRPr="00E42DD4">
        <w:rPr>
          <w:rFonts w:eastAsia="MS Mincho"/>
        </w:rPr>
        <w:t xml:space="preserve">ADR, doivent être prises à une majorité des deux-tiers des Parties </w:t>
      </w:r>
      <w:r w:rsidR="007E15AE">
        <w:rPr>
          <w:rFonts w:eastAsia="MS Mincho"/>
        </w:rPr>
        <w:t>c</w:t>
      </w:r>
      <w:r w:rsidRPr="00E42DD4">
        <w:rPr>
          <w:rFonts w:eastAsia="MS Mincho"/>
        </w:rPr>
        <w:t>ontractantes présentes et votant</w:t>
      </w:r>
      <w:r w:rsidR="006B76BE">
        <w:rPr>
          <w:rFonts w:eastAsia="MS Mincho"/>
        </w:rPr>
        <w:t> </w:t>
      </w:r>
      <w:r w:rsidRPr="00E42DD4">
        <w:rPr>
          <w:rFonts w:eastAsia="MS Mincho"/>
        </w:rPr>
        <w:t>;</w:t>
      </w:r>
    </w:p>
    <w:p w:rsidR="00971F48" w:rsidRPr="00E42DD4" w:rsidRDefault="00971F48" w:rsidP="00971F48">
      <w:pPr>
        <w:pStyle w:val="SingleTxtG"/>
        <w:ind w:firstLine="567"/>
        <w:rPr>
          <w:rFonts w:eastAsia="MS Mincho"/>
        </w:rPr>
      </w:pPr>
      <w:r w:rsidRPr="00E42DD4">
        <w:rPr>
          <w:rFonts w:eastAsia="MS Mincho"/>
          <w:lang w:val="fr-FR"/>
        </w:rPr>
        <w:t>b)</w:t>
      </w:r>
      <w:r w:rsidRPr="00E42DD4">
        <w:rPr>
          <w:rFonts w:eastAsia="MS Mincho"/>
          <w:lang w:val="fr-FR"/>
        </w:rPr>
        <w:tab/>
      </w:r>
      <w:r w:rsidRPr="00E42DD4">
        <w:rPr>
          <w:rFonts w:eastAsia="MS Mincho"/>
        </w:rPr>
        <w:t xml:space="preserve">Les décisions de la Conférence concernant toutes questions relatives à la procédure doivent être prises à la majorité des Parties </w:t>
      </w:r>
      <w:r w:rsidR="007E15AE">
        <w:rPr>
          <w:rFonts w:eastAsia="MS Mincho"/>
        </w:rPr>
        <w:t>c</w:t>
      </w:r>
      <w:r w:rsidRPr="00E42DD4">
        <w:rPr>
          <w:rFonts w:eastAsia="MS Mincho"/>
        </w:rPr>
        <w:t>ontractantes présentes et votant</w:t>
      </w:r>
      <w:r w:rsidR="006B76BE">
        <w:rPr>
          <w:rFonts w:eastAsia="MS Mincho"/>
        </w:rPr>
        <w:t> </w:t>
      </w:r>
      <w:r w:rsidRPr="00E42DD4">
        <w:rPr>
          <w:rFonts w:eastAsia="MS Mincho"/>
        </w:rPr>
        <w:t>;</w:t>
      </w:r>
    </w:p>
    <w:p w:rsidR="00971F48" w:rsidRPr="00E42DD4" w:rsidRDefault="00971F48" w:rsidP="00971F48">
      <w:pPr>
        <w:pStyle w:val="SingleTxtG"/>
        <w:ind w:firstLine="567"/>
        <w:rPr>
          <w:rFonts w:eastAsia="MS Mincho"/>
        </w:rPr>
      </w:pPr>
      <w:r w:rsidRPr="00E42DD4">
        <w:rPr>
          <w:rFonts w:eastAsia="MS Mincho"/>
          <w:lang w:val="fr-FR"/>
        </w:rPr>
        <w:t>c)</w:t>
      </w:r>
      <w:r w:rsidRPr="00E42DD4">
        <w:rPr>
          <w:rFonts w:eastAsia="MS Mincho"/>
          <w:lang w:val="fr-FR"/>
        </w:rPr>
        <w:tab/>
      </w:r>
      <w:r w:rsidRPr="00E42DD4">
        <w:rPr>
          <w:rFonts w:eastAsia="MS Mincho"/>
        </w:rPr>
        <w:t>Si la question se pose de savoir si une question est une question de fond ou une question d</w:t>
      </w:r>
      <w:r>
        <w:rPr>
          <w:rFonts w:eastAsia="MS Mincho"/>
        </w:rPr>
        <w:t>’</w:t>
      </w:r>
      <w:r w:rsidRPr="00E42DD4">
        <w:rPr>
          <w:rFonts w:eastAsia="MS Mincho"/>
        </w:rPr>
        <w:t xml:space="preserve">ordre de la procédure, la Conférence décidera à la majorité des Parties </w:t>
      </w:r>
      <w:r w:rsidR="007E15AE">
        <w:rPr>
          <w:rFonts w:eastAsia="MS Mincho"/>
        </w:rPr>
        <w:t>c</w:t>
      </w:r>
      <w:r w:rsidRPr="00E42DD4">
        <w:rPr>
          <w:rFonts w:eastAsia="MS Mincho"/>
        </w:rPr>
        <w:t>ontractantes présentes et votant</w:t>
      </w:r>
      <w:r w:rsidR="006B76BE">
        <w:rPr>
          <w:rFonts w:eastAsia="MS Mincho"/>
        </w:rPr>
        <w:t> ;</w:t>
      </w:r>
    </w:p>
    <w:p w:rsidR="00971F48" w:rsidRPr="00E42DD4" w:rsidRDefault="00971F48" w:rsidP="00971F48">
      <w:pPr>
        <w:pStyle w:val="SingleTxtG"/>
        <w:ind w:firstLine="567"/>
        <w:rPr>
          <w:rFonts w:eastAsia="MS Mincho"/>
        </w:rPr>
      </w:pPr>
      <w:r w:rsidRPr="00E42DD4">
        <w:rPr>
          <w:rFonts w:eastAsia="MS Mincho"/>
          <w:lang w:val="fr-FR"/>
        </w:rPr>
        <w:t>d)</w:t>
      </w:r>
      <w:r w:rsidRPr="00E42DD4">
        <w:rPr>
          <w:rFonts w:eastAsia="MS Mincho"/>
          <w:lang w:val="fr-FR"/>
        </w:rPr>
        <w:tab/>
      </w:r>
      <w:r w:rsidRPr="00E42DD4">
        <w:rPr>
          <w:rFonts w:eastAsia="MS Mincho"/>
        </w:rPr>
        <w:t>Si</w:t>
      </w:r>
      <w:r w:rsidR="007E15AE">
        <w:rPr>
          <w:rFonts w:eastAsia="MS Mincho"/>
        </w:rPr>
        <w:t>,</w:t>
      </w:r>
      <w:r w:rsidRPr="00E42DD4">
        <w:rPr>
          <w:rFonts w:eastAsia="MS Mincho"/>
        </w:rPr>
        <w:t xml:space="preserve"> lors d</w:t>
      </w:r>
      <w:r>
        <w:rPr>
          <w:rFonts w:eastAsia="MS Mincho"/>
        </w:rPr>
        <w:t>’</w:t>
      </w:r>
      <w:r w:rsidRPr="00E42DD4">
        <w:rPr>
          <w:rFonts w:eastAsia="MS Mincho"/>
        </w:rPr>
        <w:t xml:space="preserve">un vote, il y a </w:t>
      </w:r>
      <w:proofErr w:type="spellStart"/>
      <w:r w:rsidRPr="00E42DD4">
        <w:rPr>
          <w:rFonts w:eastAsia="MS Mincho"/>
        </w:rPr>
        <w:t>partage</w:t>
      </w:r>
      <w:proofErr w:type="spellEnd"/>
      <w:r w:rsidRPr="00E42DD4">
        <w:rPr>
          <w:rFonts w:eastAsia="MS Mincho"/>
        </w:rPr>
        <w:t xml:space="preserve"> égal des voix, la proposition ou la motion est considérée comme rejetée. »</w:t>
      </w:r>
      <w:r w:rsidR="006B76BE">
        <w:rPr>
          <w:rFonts w:eastAsia="MS Mincho"/>
        </w:rPr>
        <w:t>.</w:t>
      </w:r>
    </w:p>
    <w:p w:rsidR="00971F48" w:rsidRPr="00E42DD4" w:rsidRDefault="004D4538" w:rsidP="004D4538">
      <w:pPr>
        <w:pStyle w:val="H1G"/>
      </w:pPr>
      <w:r>
        <w:rPr>
          <w:lang w:val="fr-FR"/>
        </w:rPr>
        <w:tab/>
      </w:r>
      <w:r w:rsidR="00971F48" w:rsidRPr="00E42DD4">
        <w:rPr>
          <w:lang w:val="fr-FR"/>
        </w:rPr>
        <w:t>6.</w:t>
      </w:r>
      <w:r w:rsidR="00971F48" w:rsidRPr="00E42DD4">
        <w:rPr>
          <w:lang w:val="fr-FR"/>
        </w:rPr>
        <w:tab/>
        <w:t>Examen et adoption d</w:t>
      </w:r>
      <w:r w:rsidR="00971F48">
        <w:rPr>
          <w:lang w:val="fr-FR"/>
        </w:rPr>
        <w:t>’</w:t>
      </w:r>
      <w:r w:rsidR="00971F48" w:rsidRPr="00E42DD4">
        <w:rPr>
          <w:lang w:val="fr-FR"/>
        </w:rPr>
        <w:t xml:space="preserve">un protocole portant </w:t>
      </w:r>
      <w:r w:rsidR="00971F48">
        <w:rPr>
          <w:lang w:val="fr-FR"/>
        </w:rPr>
        <w:t>modification de</w:t>
      </w:r>
      <w:r w:rsidR="00971F48" w:rsidRPr="00E42DD4">
        <w:rPr>
          <w:lang w:val="fr-FR"/>
        </w:rPr>
        <w:t xml:space="preserve"> l</w:t>
      </w:r>
      <w:r w:rsidR="00971F48">
        <w:rPr>
          <w:lang w:val="fr-FR"/>
        </w:rPr>
        <w:t>’</w:t>
      </w:r>
      <w:r w:rsidR="00971F48" w:rsidRPr="00E42DD4">
        <w:rPr>
          <w:lang w:val="fr-FR"/>
        </w:rPr>
        <w:t>ADR</w:t>
      </w:r>
    </w:p>
    <w:p w:rsidR="00971F48" w:rsidRPr="00E42DD4" w:rsidRDefault="00971F48" w:rsidP="00971F48">
      <w:pPr>
        <w:pStyle w:val="SingleTxtG"/>
        <w:ind w:firstLine="567"/>
        <w:rPr>
          <w:rFonts w:eastAsia="MS Mincho"/>
        </w:rPr>
      </w:pPr>
      <w:r w:rsidRPr="00E42DD4">
        <w:rPr>
          <w:rFonts w:eastAsia="MS Mincho"/>
          <w:lang w:val="fr-FR"/>
        </w:rPr>
        <w:t>La Conférence souhaitera peut-être examiner la proposition formulée par le Gouvernement portugais, dans le document ECE/TRANS/ADR/CONF/2019/3, visant à aligner l</w:t>
      </w:r>
      <w:r>
        <w:rPr>
          <w:rFonts w:eastAsia="MS Mincho"/>
          <w:lang w:val="fr-FR"/>
        </w:rPr>
        <w:t>’</w:t>
      </w:r>
      <w:r w:rsidRPr="00E42DD4">
        <w:rPr>
          <w:rFonts w:eastAsia="MS Mincho"/>
          <w:lang w:val="fr-FR"/>
        </w:rPr>
        <w:t>actuel titre de l</w:t>
      </w:r>
      <w:r>
        <w:rPr>
          <w:rFonts w:eastAsia="MS Mincho"/>
          <w:lang w:val="fr-FR"/>
        </w:rPr>
        <w:t>’</w:t>
      </w:r>
      <w:r w:rsidRPr="00E42DD4">
        <w:rPr>
          <w:rFonts w:eastAsia="MS Mincho"/>
          <w:lang w:val="fr-FR"/>
        </w:rPr>
        <w:t xml:space="preserve">Accord </w:t>
      </w:r>
      <w:r>
        <w:rPr>
          <w:rFonts w:eastAsia="MS Mincho"/>
          <w:lang w:val="fr-FR"/>
        </w:rPr>
        <w:t>sur les</w:t>
      </w:r>
      <w:r w:rsidRPr="00E42DD4">
        <w:rPr>
          <w:rFonts w:eastAsia="MS Mincho"/>
          <w:lang w:val="fr-FR"/>
        </w:rPr>
        <w:t xml:space="preserve"> dispositions de son article 6 en supprimant le mot « </w:t>
      </w:r>
      <w:r w:rsidR="007E15AE">
        <w:rPr>
          <w:rFonts w:eastAsia="MS Mincho"/>
          <w:lang w:val="fr-FR"/>
        </w:rPr>
        <w:t>e</w:t>
      </w:r>
      <w:r w:rsidRPr="00E42DD4">
        <w:rPr>
          <w:rFonts w:eastAsia="MS Mincho"/>
          <w:lang w:val="fr-FR"/>
        </w:rPr>
        <w:t xml:space="preserve">uropéen », et examiner le protocole connexe </w:t>
      </w:r>
      <w:r>
        <w:rPr>
          <w:rFonts w:eastAsia="MS Mincho"/>
          <w:lang w:val="fr-FR"/>
        </w:rPr>
        <w:t>portant modification de</w:t>
      </w:r>
      <w:r w:rsidRPr="00E42DD4">
        <w:rPr>
          <w:rFonts w:eastAsia="MS Mincho"/>
          <w:lang w:val="fr-FR"/>
        </w:rPr>
        <w:t xml:space="preserve"> l</w:t>
      </w:r>
      <w:r>
        <w:rPr>
          <w:rFonts w:eastAsia="MS Mincho"/>
          <w:lang w:val="fr-FR"/>
        </w:rPr>
        <w:t>’</w:t>
      </w:r>
      <w:r w:rsidRPr="00E42DD4">
        <w:rPr>
          <w:rFonts w:eastAsia="MS Mincho"/>
          <w:lang w:val="fr-FR"/>
        </w:rPr>
        <w:t>ADR</w:t>
      </w:r>
      <w:r>
        <w:rPr>
          <w:rFonts w:eastAsia="MS Mincho"/>
          <w:lang w:val="fr-FR"/>
        </w:rPr>
        <w:t>, tel qu’il figure</w:t>
      </w:r>
      <w:r w:rsidRPr="00E42DD4">
        <w:rPr>
          <w:rFonts w:eastAsia="MS Mincho"/>
          <w:lang w:val="fr-FR"/>
        </w:rPr>
        <w:t xml:space="preserve"> dans le document ECE/TRANS/ADR/CONF/2019/4.  </w:t>
      </w:r>
    </w:p>
    <w:p w:rsidR="00971F48" w:rsidRPr="00E42DD4" w:rsidRDefault="004D4538" w:rsidP="004D4538">
      <w:pPr>
        <w:pStyle w:val="H1G"/>
      </w:pPr>
      <w:r>
        <w:rPr>
          <w:lang w:val="fr-FR"/>
        </w:rPr>
        <w:tab/>
      </w:r>
      <w:r w:rsidR="00971F48" w:rsidRPr="00E42DD4">
        <w:rPr>
          <w:lang w:val="fr-FR"/>
        </w:rPr>
        <w:t>7.</w:t>
      </w:r>
      <w:r w:rsidR="00971F48" w:rsidRPr="00E42DD4">
        <w:rPr>
          <w:lang w:val="fr-FR"/>
        </w:rPr>
        <w:tab/>
        <w:t>Questions diverses</w:t>
      </w:r>
    </w:p>
    <w:p w:rsidR="00971F48" w:rsidRPr="00E42DD4" w:rsidRDefault="00971F48" w:rsidP="00971F48">
      <w:pPr>
        <w:pStyle w:val="SingleTxtG"/>
        <w:ind w:firstLine="567"/>
        <w:rPr>
          <w:rFonts w:eastAsia="MS Mincho"/>
        </w:rPr>
      </w:pPr>
      <w:r w:rsidRPr="00E42DD4">
        <w:rPr>
          <w:rFonts w:eastAsia="MS Mincho"/>
          <w:lang w:val="fr-FR"/>
        </w:rPr>
        <w:t>La Conférence souhaitera peut-être examiner d</w:t>
      </w:r>
      <w:r>
        <w:rPr>
          <w:rFonts w:eastAsia="MS Mincho"/>
          <w:lang w:val="fr-FR"/>
        </w:rPr>
        <w:t>’</w:t>
      </w:r>
      <w:r w:rsidRPr="00E42DD4">
        <w:rPr>
          <w:rFonts w:eastAsia="MS Mincho"/>
          <w:lang w:val="fr-FR"/>
        </w:rPr>
        <w:t>autres questions au titre de ce point de l</w:t>
      </w:r>
      <w:r>
        <w:rPr>
          <w:rFonts w:eastAsia="MS Mincho"/>
          <w:lang w:val="fr-FR"/>
        </w:rPr>
        <w:t>’</w:t>
      </w:r>
      <w:r w:rsidRPr="00E42DD4">
        <w:rPr>
          <w:rFonts w:eastAsia="MS Mincho"/>
          <w:lang w:val="fr-FR"/>
        </w:rPr>
        <w:t>ordre du jour.</w:t>
      </w:r>
    </w:p>
    <w:p w:rsidR="00971F48" w:rsidRPr="00E42DD4" w:rsidRDefault="004D4538" w:rsidP="004D4538">
      <w:pPr>
        <w:pStyle w:val="H1G"/>
      </w:pPr>
      <w:r>
        <w:rPr>
          <w:lang w:val="fr-FR"/>
        </w:rPr>
        <w:tab/>
      </w:r>
      <w:r w:rsidR="00971F48" w:rsidRPr="00E42DD4">
        <w:rPr>
          <w:lang w:val="fr-FR"/>
        </w:rPr>
        <w:t>8.</w:t>
      </w:r>
      <w:r w:rsidR="00971F48" w:rsidRPr="00E42DD4">
        <w:rPr>
          <w:lang w:val="fr-FR"/>
        </w:rPr>
        <w:tab/>
        <w:t xml:space="preserve">Adoption </w:t>
      </w:r>
      <w:r w:rsidR="007E15AE">
        <w:rPr>
          <w:lang w:val="fr-FR"/>
        </w:rPr>
        <w:t>du rapport</w:t>
      </w:r>
    </w:p>
    <w:p w:rsidR="00F9573C" w:rsidRDefault="00971F48" w:rsidP="00971F48">
      <w:pPr>
        <w:pStyle w:val="SingleTxtG"/>
        <w:ind w:firstLine="567"/>
        <w:rPr>
          <w:rFonts w:eastAsia="MS Mincho"/>
          <w:lang w:val="fr-FR"/>
        </w:rPr>
      </w:pPr>
      <w:r w:rsidRPr="00E42DD4">
        <w:rPr>
          <w:rFonts w:eastAsia="MS Mincho"/>
          <w:lang w:val="fr-FR"/>
        </w:rPr>
        <w:t>La Conférence souhaitera peut-être adopter le rapport de sa session sur la base d</w:t>
      </w:r>
      <w:r>
        <w:rPr>
          <w:rFonts w:eastAsia="MS Mincho"/>
          <w:lang w:val="fr-FR"/>
        </w:rPr>
        <w:t>’</w:t>
      </w:r>
      <w:r w:rsidRPr="00E42DD4">
        <w:rPr>
          <w:rFonts w:eastAsia="MS Mincho"/>
          <w:lang w:val="fr-FR"/>
        </w:rPr>
        <w:t>u</w:t>
      </w:r>
      <w:r>
        <w:rPr>
          <w:rFonts w:eastAsia="MS Mincho"/>
          <w:lang w:val="fr-FR"/>
        </w:rPr>
        <w:t>n</w:t>
      </w:r>
      <w:r w:rsidRPr="00E42DD4">
        <w:rPr>
          <w:rFonts w:eastAsia="MS Mincho"/>
          <w:lang w:val="fr-FR"/>
        </w:rPr>
        <w:t xml:space="preserve"> projet établi par le secrétariat.</w:t>
      </w:r>
    </w:p>
    <w:p w:rsidR="00971F48" w:rsidRPr="00971F48" w:rsidRDefault="00971F48" w:rsidP="00971F48">
      <w:pPr>
        <w:pStyle w:val="SingleTxtG"/>
        <w:spacing w:before="240" w:after="0"/>
        <w:jc w:val="center"/>
        <w:rPr>
          <w:u w:val="single"/>
        </w:rPr>
      </w:pPr>
      <w:r>
        <w:rPr>
          <w:u w:val="single"/>
        </w:rPr>
        <w:tab/>
      </w:r>
      <w:r>
        <w:rPr>
          <w:u w:val="single"/>
        </w:rPr>
        <w:tab/>
      </w:r>
      <w:r>
        <w:rPr>
          <w:u w:val="single"/>
        </w:rPr>
        <w:tab/>
      </w:r>
    </w:p>
    <w:sectPr w:rsidR="00971F48" w:rsidRPr="00971F48" w:rsidSect="009721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82" w:rsidRDefault="00E55D82" w:rsidP="00F95C08">
      <w:pPr>
        <w:spacing w:line="240" w:lineRule="auto"/>
      </w:pPr>
    </w:p>
  </w:endnote>
  <w:endnote w:type="continuationSeparator" w:id="0">
    <w:p w:rsidR="00E55D82" w:rsidRPr="00AC3823" w:rsidRDefault="00E55D82" w:rsidP="00AC3823">
      <w:pPr>
        <w:pStyle w:val="Footer"/>
      </w:pPr>
    </w:p>
  </w:endnote>
  <w:endnote w:type="continuationNotice" w:id="1">
    <w:p w:rsidR="00E55D82" w:rsidRDefault="00E55D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B" w:rsidRPr="0097212B" w:rsidRDefault="0097212B" w:rsidP="0097212B">
    <w:pPr>
      <w:pStyle w:val="Footer"/>
      <w:tabs>
        <w:tab w:val="right" w:pos="9638"/>
      </w:tabs>
    </w:pPr>
    <w:r w:rsidRPr="0097212B">
      <w:rPr>
        <w:b/>
        <w:sz w:val="18"/>
      </w:rPr>
      <w:fldChar w:fldCharType="begin"/>
    </w:r>
    <w:r w:rsidRPr="0097212B">
      <w:rPr>
        <w:b/>
        <w:sz w:val="18"/>
      </w:rPr>
      <w:instrText xml:space="preserve"> PAGE  \* MERGEFORMAT </w:instrText>
    </w:r>
    <w:r w:rsidRPr="0097212B">
      <w:rPr>
        <w:b/>
        <w:sz w:val="18"/>
      </w:rPr>
      <w:fldChar w:fldCharType="separate"/>
    </w:r>
    <w:r w:rsidR="00EE1A82">
      <w:rPr>
        <w:b/>
        <w:noProof/>
        <w:sz w:val="18"/>
      </w:rPr>
      <w:t>2</w:t>
    </w:r>
    <w:r w:rsidRPr="0097212B">
      <w:rPr>
        <w:b/>
        <w:sz w:val="18"/>
      </w:rPr>
      <w:fldChar w:fldCharType="end"/>
    </w:r>
    <w:r>
      <w:rPr>
        <w:b/>
        <w:sz w:val="18"/>
      </w:rPr>
      <w:tab/>
    </w:r>
    <w:r>
      <w:t>GE.19-03454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B" w:rsidRPr="0097212B" w:rsidRDefault="0097212B" w:rsidP="0097212B">
    <w:pPr>
      <w:pStyle w:val="Footer"/>
      <w:tabs>
        <w:tab w:val="right" w:pos="9638"/>
      </w:tabs>
      <w:rPr>
        <w:b/>
        <w:sz w:val="18"/>
      </w:rPr>
    </w:pPr>
    <w:r>
      <w:t>GE.19-03454</w:t>
    </w:r>
    <w:r>
      <w:tab/>
    </w:r>
    <w:r w:rsidRPr="0097212B">
      <w:rPr>
        <w:b/>
        <w:sz w:val="18"/>
      </w:rPr>
      <w:fldChar w:fldCharType="begin"/>
    </w:r>
    <w:r w:rsidRPr="0097212B">
      <w:rPr>
        <w:b/>
        <w:sz w:val="18"/>
      </w:rPr>
      <w:instrText xml:space="preserve"> PAGE  \* MERGEFORMAT </w:instrText>
    </w:r>
    <w:r w:rsidRPr="0097212B">
      <w:rPr>
        <w:b/>
        <w:sz w:val="18"/>
      </w:rPr>
      <w:fldChar w:fldCharType="separate"/>
    </w:r>
    <w:r w:rsidRPr="0097212B">
      <w:rPr>
        <w:b/>
        <w:noProof/>
        <w:sz w:val="18"/>
      </w:rPr>
      <w:t>3</w:t>
    </w:r>
    <w:r w:rsidRPr="009721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97212B" w:rsidRDefault="0097212B" w:rsidP="0097212B">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03454  (</w:t>
    </w:r>
    <w:proofErr w:type="gramEnd"/>
    <w:r>
      <w:rPr>
        <w:sz w:val="20"/>
      </w:rPr>
      <w:t>F)</w:t>
    </w:r>
    <w:r w:rsidR="006B76BE">
      <w:rPr>
        <w:sz w:val="20"/>
      </w:rPr>
      <w:t xml:space="preserve">    070319    070319</w:t>
    </w:r>
    <w:r>
      <w:rPr>
        <w:sz w:val="20"/>
      </w:rPr>
      <w:br/>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sidRPr="0097212B">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ADR/CONF/2019/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ADR/CONF/2019/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82" w:rsidRPr="00AC3823" w:rsidRDefault="00E55D82" w:rsidP="00AC3823">
      <w:pPr>
        <w:pStyle w:val="Footer"/>
        <w:tabs>
          <w:tab w:val="right" w:pos="2155"/>
        </w:tabs>
        <w:spacing w:after="80" w:line="240" w:lineRule="atLeast"/>
        <w:ind w:left="680"/>
        <w:rPr>
          <w:u w:val="single"/>
        </w:rPr>
      </w:pPr>
      <w:r>
        <w:rPr>
          <w:u w:val="single"/>
        </w:rPr>
        <w:tab/>
      </w:r>
    </w:p>
  </w:footnote>
  <w:footnote w:type="continuationSeparator" w:id="0">
    <w:p w:rsidR="00E55D82" w:rsidRPr="00AC3823" w:rsidRDefault="00E55D82" w:rsidP="00AC3823">
      <w:pPr>
        <w:pStyle w:val="Footer"/>
        <w:tabs>
          <w:tab w:val="right" w:pos="2155"/>
        </w:tabs>
        <w:spacing w:after="80" w:line="240" w:lineRule="atLeast"/>
        <w:ind w:left="680"/>
        <w:rPr>
          <w:u w:val="single"/>
        </w:rPr>
      </w:pPr>
      <w:r>
        <w:rPr>
          <w:u w:val="single"/>
        </w:rPr>
        <w:tab/>
      </w:r>
    </w:p>
  </w:footnote>
  <w:footnote w:type="continuationNotice" w:id="1">
    <w:p w:rsidR="00E55D82" w:rsidRPr="00AC3823" w:rsidRDefault="00E55D82">
      <w:pPr>
        <w:spacing w:line="240" w:lineRule="auto"/>
        <w:rPr>
          <w:sz w:val="2"/>
          <w:szCs w:val="2"/>
        </w:rPr>
      </w:pPr>
    </w:p>
  </w:footnote>
  <w:footnote w:id="2">
    <w:p w:rsidR="00971F48" w:rsidRPr="00224BDD" w:rsidRDefault="00971F48" w:rsidP="00971F48">
      <w:pPr>
        <w:pStyle w:val="FootnoteText"/>
        <w:rPr>
          <w:lang w:val="fr-FR"/>
        </w:rPr>
      </w:pPr>
      <w:r>
        <w:rPr>
          <w:lang w:val="fr-FR"/>
        </w:rPr>
        <w:tab/>
      </w:r>
      <w:r w:rsidRPr="00CF4BD9">
        <w:rPr>
          <w:rStyle w:val="FootnoteReference"/>
        </w:rPr>
        <w:footnoteRef/>
      </w:r>
      <w:r>
        <w:rPr>
          <w:lang w:val="fr-FR"/>
        </w:rPr>
        <w:tab/>
        <w:t xml:space="preserve"> http://www.unece.org/oes/nutshell/mandate_role.html</w:t>
      </w:r>
      <w:r w:rsidR="004D453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B" w:rsidRPr="0097212B" w:rsidRDefault="00EE1A82">
    <w:pPr>
      <w:pStyle w:val="Header"/>
    </w:pPr>
    <w:r>
      <w:fldChar w:fldCharType="begin"/>
    </w:r>
    <w:r>
      <w:instrText xml:space="preserve"> TITLE  \* MERGEFORMAT </w:instrText>
    </w:r>
    <w:r>
      <w:fldChar w:fldCharType="separate"/>
    </w:r>
    <w:r w:rsidR="00FF3058">
      <w:t>ECE/TRANS/ADR/CONF/2019/1/Add.1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2B" w:rsidRPr="0097212B" w:rsidRDefault="00EE1A82" w:rsidP="0097212B">
    <w:pPr>
      <w:pStyle w:val="Header"/>
      <w:jc w:val="right"/>
    </w:pPr>
    <w:r>
      <w:fldChar w:fldCharType="begin"/>
    </w:r>
    <w:r>
      <w:instrText xml:space="preserve"> TITLE  \* MERGEFORMAT </w:instrText>
    </w:r>
    <w:r>
      <w:fldChar w:fldCharType="separate"/>
    </w:r>
    <w:r w:rsidR="00FF3058">
      <w:t>ECE/TRANS/ADR/CONF/2019/1/Add.1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8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D4538"/>
    <w:rsid w:val="004E2EED"/>
    <w:rsid w:val="004E468C"/>
    <w:rsid w:val="005505B7"/>
    <w:rsid w:val="00573BE5"/>
    <w:rsid w:val="00586ED3"/>
    <w:rsid w:val="00596AA9"/>
    <w:rsid w:val="006B76BE"/>
    <w:rsid w:val="0071601D"/>
    <w:rsid w:val="007A62E6"/>
    <w:rsid w:val="007E15AE"/>
    <w:rsid w:val="007F20FA"/>
    <w:rsid w:val="0080684C"/>
    <w:rsid w:val="00871C75"/>
    <w:rsid w:val="008776DC"/>
    <w:rsid w:val="009446C0"/>
    <w:rsid w:val="009705C8"/>
    <w:rsid w:val="00971F48"/>
    <w:rsid w:val="0097212B"/>
    <w:rsid w:val="009C1CF4"/>
    <w:rsid w:val="009F6B74"/>
    <w:rsid w:val="00A3029F"/>
    <w:rsid w:val="00A30353"/>
    <w:rsid w:val="00AC3823"/>
    <w:rsid w:val="00AE323C"/>
    <w:rsid w:val="00AF0CB5"/>
    <w:rsid w:val="00B00181"/>
    <w:rsid w:val="00B00B0D"/>
    <w:rsid w:val="00B45F2E"/>
    <w:rsid w:val="00B765F7"/>
    <w:rsid w:val="00BA0CA9"/>
    <w:rsid w:val="00C02897"/>
    <w:rsid w:val="00C226FB"/>
    <w:rsid w:val="00C97039"/>
    <w:rsid w:val="00D3439C"/>
    <w:rsid w:val="00DB1831"/>
    <w:rsid w:val="00DD3BFD"/>
    <w:rsid w:val="00DF6678"/>
    <w:rsid w:val="00E0299A"/>
    <w:rsid w:val="00E55D82"/>
    <w:rsid w:val="00E85C74"/>
    <w:rsid w:val="00EA6547"/>
    <w:rsid w:val="00EE1A82"/>
    <w:rsid w:val="00EF2E22"/>
    <w:rsid w:val="00F35BAF"/>
    <w:rsid w:val="00F660DF"/>
    <w:rsid w:val="00F94664"/>
    <w:rsid w:val="00F9573C"/>
    <w:rsid w:val="00F95C08"/>
    <w:rsid w:val="00FF30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402CF8-E52A-42CC-A8E7-34362C2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ECE/TRANS/ADR/CONF/2019/1/Add.1</vt:lpstr>
      <vt:lpstr>ECE/TRANS/ADR/CONF/2019/1/Add.1</vt:lpstr>
    </vt:vector>
  </TitlesOfParts>
  <Company>DCM</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ECE/TRANS/ADR/CONF/2019/1/Add.1</dc:title>
  <dc:subject/>
  <dc:creator>Nathalie VITTOZ</dc:creator>
  <cp:keywords/>
  <cp:lastModifiedBy>Christine Barrio-Champeau</cp:lastModifiedBy>
  <cp:revision>2</cp:revision>
  <cp:lastPrinted>2019-03-07T13:47:00Z</cp:lastPrinted>
  <dcterms:created xsi:type="dcterms:W3CDTF">2019-03-07T17:13:00Z</dcterms:created>
  <dcterms:modified xsi:type="dcterms:W3CDTF">2019-03-07T17:13:00Z</dcterms:modified>
</cp:coreProperties>
</file>