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B83093">
              <w:rPr>
                <w:b/>
                <w:sz w:val="40"/>
                <w:szCs w:val="40"/>
              </w:rPr>
              <w:t>GHS</w:t>
            </w:r>
            <w:r w:rsidRPr="00EA2D43">
              <w:rPr>
                <w:b/>
                <w:sz w:val="40"/>
                <w:szCs w:val="40"/>
              </w:rPr>
              <w:t>/</w:t>
            </w:r>
            <w:r w:rsidR="00B83093">
              <w:rPr>
                <w:b/>
                <w:sz w:val="40"/>
                <w:szCs w:val="40"/>
              </w:rPr>
              <w:t>3</w:t>
            </w:r>
            <w:r w:rsidR="00FB003B">
              <w:rPr>
                <w:b/>
                <w:sz w:val="40"/>
                <w:szCs w:val="40"/>
              </w:rPr>
              <w:t>8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B83093" w:rsidRDefault="00B83093" w:rsidP="00EA2D43">
            <w:pPr>
              <w:tabs>
                <w:tab w:val="right" w:pos="9300"/>
              </w:tabs>
              <w:spacing w:before="120"/>
              <w:rPr>
                <w:b/>
                <w:lang w:val="en-US"/>
              </w:rPr>
            </w:pPr>
            <w:r w:rsidRPr="000B4919">
              <w:rPr>
                <w:b/>
              </w:rPr>
              <w:t xml:space="preserve">Sub-Committee of Experts on the Globally Harmonized System </w:t>
            </w:r>
            <w:r>
              <w:rPr>
                <w:b/>
              </w:rPr>
              <w:br/>
            </w:r>
            <w:r w:rsidRPr="000B4919">
              <w:rPr>
                <w:b/>
              </w:rPr>
              <w:t>of Classification and Labelling of Chemicals</w:t>
            </w:r>
            <w:r>
              <w:rPr>
                <w:b/>
                <w:lang w:val="en-US"/>
              </w:rPr>
              <w:t xml:space="preserve"> </w:t>
            </w:r>
          </w:p>
          <w:p w:rsidR="00EA2D43" w:rsidRDefault="00EA2D43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ab/>
            </w:r>
            <w:r w:rsidR="00FB003B">
              <w:rPr>
                <w:b/>
                <w:lang w:val="en-US"/>
              </w:rPr>
              <w:t>December</w:t>
            </w:r>
            <w:r w:rsidR="006F17B5">
              <w:rPr>
                <w:b/>
                <w:lang w:val="en-US"/>
              </w:rPr>
              <w:t xml:space="preserve"> 2019</w:t>
            </w:r>
          </w:p>
          <w:p w:rsidR="00B83093" w:rsidRDefault="00B83093" w:rsidP="009D0EC7">
            <w:pPr>
              <w:rPr>
                <w:b/>
              </w:rPr>
            </w:pPr>
            <w:r>
              <w:rPr>
                <w:b/>
              </w:rPr>
              <w:t>Thirty-</w:t>
            </w:r>
            <w:r w:rsidR="00FB003B">
              <w:rPr>
                <w:b/>
              </w:rPr>
              <w:t>eighth</w:t>
            </w:r>
            <w:r w:rsidRPr="000B4919">
              <w:rPr>
                <w:b/>
              </w:rPr>
              <w:t xml:space="preserve"> session</w:t>
            </w:r>
            <w:r w:rsidRPr="00E63DE8">
              <w:rPr>
                <w:b/>
              </w:rPr>
              <w:t xml:space="preserve"> </w:t>
            </w:r>
          </w:p>
          <w:p w:rsidR="009D0EC7" w:rsidRDefault="00B83093" w:rsidP="009D0EC7">
            <w:r w:rsidRPr="00283442">
              <w:t xml:space="preserve">Geneva, </w:t>
            </w:r>
            <w:r w:rsidR="00FB003B">
              <w:t>11-13 December</w:t>
            </w:r>
            <w:r w:rsidR="006F17B5">
              <w:t xml:space="preserve"> 2019</w:t>
            </w:r>
          </w:p>
          <w:p w:rsidR="009D0EC7" w:rsidRPr="00951EBC" w:rsidRDefault="009D0EC7" w:rsidP="009D0EC7">
            <w:r>
              <w:t>I</w:t>
            </w:r>
            <w:r w:rsidRPr="00951EBC">
              <w:t>tem 1 of the provisional agenda</w:t>
            </w:r>
          </w:p>
          <w:p w:rsidR="0099001C" w:rsidRPr="00EA2D43" w:rsidRDefault="009D0EC7" w:rsidP="009D0EC7">
            <w:pPr>
              <w:jc w:val="both"/>
              <w:rPr>
                <w:highlight w:val="yellow"/>
              </w:rPr>
            </w:pPr>
            <w:r w:rsidRPr="00951EBC">
              <w:rPr>
                <w:b/>
                <w:bCs/>
                <w:lang w:eastAsia="en-GB"/>
              </w:rPr>
              <w:t>Adoption of the agenda</w:t>
            </w:r>
          </w:p>
        </w:tc>
      </w:tr>
    </w:tbl>
    <w:p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741"/>
      </w:tblGrid>
      <w:tr w:rsidR="00870D13" w:rsidRPr="002B296F" w:rsidTr="001035FB">
        <w:tc>
          <w:tcPr>
            <w:tcW w:w="2869" w:type="dxa"/>
            <w:shd w:val="clear" w:color="auto" w:fill="auto"/>
          </w:tcPr>
          <w:p w:rsidR="00870D13" w:rsidRDefault="00B83093" w:rsidP="007A4977">
            <w:pPr>
              <w:spacing w:before="30" w:after="30"/>
            </w:pPr>
            <w:r>
              <w:t>ST/SG/AC.10/C.3/7</w:t>
            </w:r>
            <w:r w:rsidR="00FB003B">
              <w:t>5</w:t>
            </w:r>
          </w:p>
        </w:tc>
        <w:tc>
          <w:tcPr>
            <w:tcW w:w="4741" w:type="dxa"/>
            <w:shd w:val="clear" w:color="auto" w:fill="auto"/>
          </w:tcPr>
          <w:p w:rsidR="00870D13" w:rsidRPr="00926E57" w:rsidRDefault="009D0EC7" w:rsidP="006F2413">
            <w:pPr>
              <w:spacing w:before="30" w:after="30"/>
            </w:pPr>
            <w:r>
              <w:t xml:space="preserve">Provisional agenda for the </w:t>
            </w:r>
            <w:r w:rsidR="00F244F1">
              <w:t>thirty-</w:t>
            </w:r>
            <w:r w:rsidR="008E63D9">
              <w:t>eigh</w:t>
            </w:r>
            <w:r w:rsidR="006F17B5">
              <w:t>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</w:t>
            </w:r>
            <w:r w:rsidR="00B83093">
              <w:rPr>
                <w:lang w:val="en-US"/>
              </w:rPr>
              <w:t>7</w:t>
            </w:r>
            <w:r w:rsidR="00FB003B">
              <w:rPr>
                <w:lang w:val="en-US"/>
              </w:rPr>
              <w:t>5</w:t>
            </w:r>
            <w:r>
              <w:rPr>
                <w:lang w:val="en-US"/>
              </w:rPr>
              <w:t>/Add.1</w:t>
            </w:r>
          </w:p>
        </w:tc>
        <w:tc>
          <w:tcPr>
            <w:tcW w:w="4741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>ST/SG/AC.10/30/Rev.</w:t>
            </w:r>
            <w:r w:rsidR="00A103CC">
              <w:t>8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A103CC">
              <w:t>eighth</w:t>
            </w:r>
            <w:r w:rsidRPr="002B296F">
              <w:t xml:space="preserve"> revised edition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</w:t>
            </w:r>
            <w:r w:rsidR="00A103CC">
              <w:t>1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</w:t>
            </w:r>
            <w:r w:rsidR="00A103CC">
              <w:t>y-first</w:t>
            </w:r>
            <w:r w:rsidRPr="002B296F">
              <w:t xml:space="preserve"> revised edition 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ST/SG/AC.10/11/Rev.</w:t>
            </w:r>
            <w:r w:rsidR="004D0E8C">
              <w:t>7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 xml:space="preserve">Recommendations on the Transport of Dangerous Goods, Manual of Tests and Criteria, </w:t>
            </w:r>
            <w:r w:rsidR="004D0E8C">
              <w:t>seventh</w:t>
            </w:r>
            <w:r w:rsidRPr="002B296F">
              <w:t xml:space="preserve"> revised edition</w:t>
            </w:r>
          </w:p>
        </w:tc>
      </w:tr>
      <w:tr w:rsidR="009D0EC7" w:rsidRPr="00BA6223" w:rsidTr="001035FB">
        <w:tc>
          <w:tcPr>
            <w:tcW w:w="2869" w:type="dxa"/>
            <w:shd w:val="clear" w:color="auto" w:fill="auto"/>
          </w:tcPr>
          <w:p w:rsidR="009D0EC7" w:rsidRDefault="009D0EC7" w:rsidP="00D00325">
            <w:pPr>
              <w:spacing w:before="30" w:after="30"/>
            </w:pPr>
            <w:r>
              <w:t>ST/SG/AC.10/C.3/1</w:t>
            </w:r>
            <w:r w:rsidR="00FB003B">
              <w:t>10</w:t>
            </w:r>
            <w:r w:rsidR="007F07A4">
              <w:t xml:space="preserve"> and Add.1</w:t>
            </w:r>
          </w:p>
        </w:tc>
        <w:tc>
          <w:tcPr>
            <w:tcW w:w="4741" w:type="dxa"/>
            <w:shd w:val="clear" w:color="auto" w:fill="auto"/>
          </w:tcPr>
          <w:p w:rsidR="009D0EC7" w:rsidRDefault="006F17B5" w:rsidP="001035FB">
            <w:pPr>
              <w:spacing w:before="30" w:after="30"/>
            </w:pPr>
            <w:r>
              <w:t>Report of the Sub-Committee of Experts on the transport of Dangerous Goods on its fifty-f</w:t>
            </w:r>
            <w:r w:rsidR="008E63D9">
              <w:t>if</w:t>
            </w:r>
            <w:r>
              <w:t>th session</w:t>
            </w:r>
          </w:p>
        </w:tc>
      </w:tr>
      <w:tr w:rsidR="00A665BE" w:rsidRPr="00BA6223" w:rsidTr="001035FB">
        <w:tc>
          <w:tcPr>
            <w:tcW w:w="2869" w:type="dxa"/>
            <w:shd w:val="clear" w:color="auto" w:fill="auto"/>
          </w:tcPr>
          <w:p w:rsidR="00A665BE" w:rsidRDefault="00A665BE" w:rsidP="00D00325">
            <w:pPr>
              <w:spacing w:before="30" w:after="30"/>
            </w:pPr>
            <w:r>
              <w:t>ST/SG/AC.10/C.4/7</w:t>
            </w:r>
            <w:r w:rsidR="00FB003B">
              <w:t>4</w:t>
            </w:r>
          </w:p>
        </w:tc>
        <w:tc>
          <w:tcPr>
            <w:tcW w:w="4741" w:type="dxa"/>
            <w:shd w:val="clear" w:color="auto" w:fill="auto"/>
          </w:tcPr>
          <w:p w:rsidR="00A665BE" w:rsidRDefault="00A665BE" w:rsidP="001035FB">
            <w:pPr>
              <w:spacing w:before="30" w:after="30"/>
            </w:pPr>
            <w:r>
              <w:t>Report of the Sub-Committee of Experts on the Globally Harmonized System of Classification and Labelling of Chemicals on its thirty-s</w:t>
            </w:r>
            <w:r w:rsidR="008E63D9">
              <w:t>even</w:t>
            </w:r>
            <w:r>
              <w:t>th session</w:t>
            </w:r>
          </w:p>
        </w:tc>
      </w:tr>
      <w:tr w:rsidR="009D0EC7" w:rsidRPr="00BA6223" w:rsidTr="001035FB">
        <w:tc>
          <w:tcPr>
            <w:tcW w:w="2869" w:type="dxa"/>
            <w:shd w:val="clear" w:color="auto" w:fill="auto"/>
          </w:tcPr>
          <w:p w:rsidR="009D0EC7" w:rsidRDefault="00A665BE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ST/SG/AC.10/46 and Adds.1 to 3</w:t>
            </w:r>
          </w:p>
        </w:tc>
        <w:tc>
          <w:tcPr>
            <w:tcW w:w="4741" w:type="dxa"/>
            <w:shd w:val="clear" w:color="auto" w:fill="auto"/>
          </w:tcPr>
          <w:p w:rsidR="009D0EC7" w:rsidRDefault="00A665BE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Committee of Experts on the Transport of Dangerous Goods and on the Globally Harmonized System of Classification and Labelling of Chemicals on its ninth session</w:t>
            </w:r>
          </w:p>
        </w:tc>
      </w:tr>
    </w:tbl>
    <w:p w:rsidR="00100A9D" w:rsidRDefault="009D0EC7" w:rsidP="009D0EC7">
      <w:pPr>
        <w:spacing w:before="30" w:after="30"/>
        <w:ind w:left="3969" w:hanging="2829"/>
        <w:rPr>
          <w:b/>
          <w:sz w:val="28"/>
        </w:rPr>
      </w:pPr>
      <w:r>
        <w:tab/>
      </w:r>
      <w:r w:rsidR="00100A9D">
        <w:br w:type="page"/>
      </w:r>
    </w:p>
    <w:p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lastRenderedPageBreak/>
        <w:t>Working documents (ST/SG/AC.10/C.</w:t>
      </w:r>
      <w:r w:rsidR="00F244F1">
        <w:t>4</w:t>
      </w:r>
      <w:r w:rsidRPr="00870D13">
        <w:t>/</w:t>
      </w:r>
      <w:r w:rsidR="00110DF6" w:rsidRPr="00870D13">
        <w:t>-</w:t>
      </w:r>
      <w:r w:rsidRPr="00870D13">
        <w:t>)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210"/>
        <w:gridCol w:w="887"/>
        <w:gridCol w:w="7540"/>
      </w:tblGrid>
      <w:tr w:rsidR="00FB48D5" w:rsidRPr="00720E11" w:rsidTr="00FB003B">
        <w:tc>
          <w:tcPr>
            <w:tcW w:w="1210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Document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540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</w:p>
        </w:tc>
      </w:tr>
      <w:tr w:rsidR="00FB48D5" w:rsidRPr="00EA2D43" w:rsidTr="00FB003B">
        <w:tc>
          <w:tcPr>
            <w:tcW w:w="1210" w:type="dxa"/>
          </w:tcPr>
          <w:p w:rsidR="00FB48D5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C07F9E">
              <w:t>2019/</w:t>
            </w:r>
            <w:r w:rsidR="00FB003B">
              <w:t>8</w:t>
            </w:r>
          </w:p>
        </w:tc>
        <w:tc>
          <w:tcPr>
            <w:tcW w:w="887" w:type="dxa"/>
          </w:tcPr>
          <w:p w:rsidR="00FB48D5" w:rsidRPr="0093545E" w:rsidRDefault="00261207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3(d)</w:t>
            </w:r>
          </w:p>
        </w:tc>
        <w:tc>
          <w:tcPr>
            <w:tcW w:w="7540" w:type="dxa"/>
          </w:tcPr>
          <w:p w:rsidR="00FB48D5" w:rsidRPr="00261207" w:rsidRDefault="00261207" w:rsidP="003565E5">
            <w:pPr>
              <w:spacing w:before="20" w:after="20"/>
              <w:ind w:left="6"/>
              <w:rPr>
                <w:b/>
                <w:bCs/>
                <w:highlight w:val="yellow"/>
              </w:rPr>
            </w:pPr>
            <w:r>
              <w:rPr>
                <w:lang w:val="en-US"/>
              </w:rPr>
              <w:t>Corrections to hazard statements H410, H411 and H412 (Secretariat)</w:t>
            </w:r>
          </w:p>
        </w:tc>
      </w:tr>
      <w:tr w:rsidR="00570364" w:rsidRPr="00EA2D43" w:rsidTr="00FB003B">
        <w:tc>
          <w:tcPr>
            <w:tcW w:w="1210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C07F9E">
              <w:t>2019</w:t>
            </w:r>
            <w:r w:rsidRPr="0093545E">
              <w:t>/</w:t>
            </w:r>
            <w:r w:rsidR="00FB003B">
              <w:t>9</w:t>
            </w:r>
          </w:p>
        </w:tc>
        <w:tc>
          <w:tcPr>
            <w:tcW w:w="887" w:type="dxa"/>
          </w:tcPr>
          <w:p w:rsidR="00570364" w:rsidRPr="0093545E" w:rsidRDefault="00261207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2(h)</w:t>
            </w:r>
          </w:p>
        </w:tc>
        <w:tc>
          <w:tcPr>
            <w:tcW w:w="7540" w:type="dxa"/>
          </w:tcPr>
          <w:p w:rsidR="00570364" w:rsidRPr="00123D39" w:rsidRDefault="00261207" w:rsidP="003565E5">
            <w:pPr>
              <w:spacing w:before="20" w:after="20"/>
              <w:ind w:left="6"/>
            </w:pPr>
            <w:r>
              <w:t>References to the Model Regulations, numbering of criteria in tables 2.3.1 and 3.2.2, correction to Annex 7 (example 10) and design of decision logics (Secretariat)</w:t>
            </w:r>
          </w:p>
        </w:tc>
      </w:tr>
      <w:tr w:rsidR="00570364" w:rsidRPr="00EA2D43" w:rsidTr="00FB003B">
        <w:tc>
          <w:tcPr>
            <w:tcW w:w="1210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C07F9E">
              <w:t>2019</w:t>
            </w:r>
            <w:r w:rsidRPr="0093545E">
              <w:t>/</w:t>
            </w:r>
            <w:r w:rsidR="00FB003B">
              <w:t>10</w:t>
            </w:r>
          </w:p>
        </w:tc>
        <w:tc>
          <w:tcPr>
            <w:tcW w:w="887" w:type="dxa"/>
          </w:tcPr>
          <w:p w:rsidR="00570364" w:rsidRPr="0093545E" w:rsidRDefault="000859D7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2(b)</w:t>
            </w:r>
          </w:p>
        </w:tc>
        <w:tc>
          <w:tcPr>
            <w:tcW w:w="7540" w:type="dxa"/>
          </w:tcPr>
          <w:p w:rsidR="00570364" w:rsidRPr="00123D39" w:rsidRDefault="000859D7" w:rsidP="003565E5">
            <w:pPr>
              <w:spacing w:before="20" w:after="20"/>
              <w:ind w:left="6"/>
            </w:pPr>
            <w:r>
              <w:t xml:space="preserve">Review of GHS </w:t>
            </w:r>
            <w:r w:rsidRPr="00271C18">
              <w:t>Chapter 2.1</w:t>
            </w:r>
            <w:r>
              <w:t xml:space="preserve"> GHS (explosives) – status report on the development of an extended classification system (Sweden)</w:t>
            </w:r>
          </w:p>
        </w:tc>
      </w:tr>
      <w:tr w:rsidR="00570364" w:rsidRPr="00EA2D43" w:rsidTr="00FB003B">
        <w:tc>
          <w:tcPr>
            <w:tcW w:w="1210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C07F9E">
              <w:t>2019</w:t>
            </w:r>
            <w:r w:rsidRPr="0093545E">
              <w:t>/</w:t>
            </w:r>
            <w:r w:rsidR="00FB003B">
              <w:t>11</w:t>
            </w:r>
          </w:p>
        </w:tc>
        <w:tc>
          <w:tcPr>
            <w:tcW w:w="887" w:type="dxa"/>
          </w:tcPr>
          <w:p w:rsidR="00570364" w:rsidRPr="0093545E" w:rsidRDefault="004D0E8C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2(a)</w:t>
            </w:r>
          </w:p>
        </w:tc>
        <w:tc>
          <w:tcPr>
            <w:tcW w:w="7540" w:type="dxa"/>
          </w:tcPr>
          <w:p w:rsidR="00570364" w:rsidRPr="00123D39" w:rsidRDefault="004D0E8C" w:rsidP="003565E5">
            <w:pPr>
              <w:spacing w:before="20" w:after="20"/>
              <w:ind w:left="6"/>
            </w:pPr>
            <w:r w:rsidRPr="00AD08B1">
              <w:t>Tests for oxidizing liquids and oxidizing solids</w:t>
            </w:r>
            <w:r>
              <w:t xml:space="preserve"> </w:t>
            </w:r>
            <w:r w:rsidRPr="00AD08B1">
              <w:t>improvement regarding consideration for particle size, friable or coated materials</w:t>
            </w:r>
            <w:r>
              <w:t xml:space="preserve"> (France)</w:t>
            </w:r>
          </w:p>
        </w:tc>
      </w:tr>
      <w:tr w:rsidR="00570364" w:rsidRPr="00EA2D43" w:rsidTr="00FB003B">
        <w:tc>
          <w:tcPr>
            <w:tcW w:w="1210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C07F9E">
              <w:t>2019</w:t>
            </w:r>
            <w:r w:rsidRPr="0093545E">
              <w:t>/</w:t>
            </w:r>
            <w:r w:rsidR="00FB003B">
              <w:t>12</w:t>
            </w:r>
          </w:p>
        </w:tc>
        <w:tc>
          <w:tcPr>
            <w:tcW w:w="887" w:type="dxa"/>
          </w:tcPr>
          <w:p w:rsidR="00570364" w:rsidRPr="0093545E" w:rsidRDefault="004D0E8C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3(b)</w:t>
            </w:r>
          </w:p>
        </w:tc>
        <w:tc>
          <w:tcPr>
            <w:tcW w:w="7540" w:type="dxa"/>
          </w:tcPr>
          <w:p w:rsidR="00570364" w:rsidRPr="00123D39" w:rsidRDefault="004D0E8C" w:rsidP="003565E5">
            <w:pPr>
              <w:spacing w:before="20" w:after="20"/>
              <w:ind w:left="6"/>
            </w:pPr>
            <w:r w:rsidRPr="00594BB6">
              <w:t>Proposed changes to Annex 1 of the GHS</w:t>
            </w:r>
            <w:r>
              <w:t xml:space="preserve"> (UK)</w:t>
            </w:r>
          </w:p>
        </w:tc>
      </w:tr>
      <w:tr w:rsidR="00226D9D" w:rsidRPr="00EA2D43" w:rsidTr="00FB003B">
        <w:tc>
          <w:tcPr>
            <w:tcW w:w="1210" w:type="dxa"/>
          </w:tcPr>
          <w:p w:rsidR="00226D9D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C07F9E">
              <w:t>2019</w:t>
            </w:r>
            <w:r w:rsidRPr="0093545E">
              <w:t>/</w:t>
            </w:r>
            <w:r w:rsidR="00FB003B">
              <w:t>13</w:t>
            </w:r>
          </w:p>
        </w:tc>
        <w:tc>
          <w:tcPr>
            <w:tcW w:w="887" w:type="dxa"/>
          </w:tcPr>
          <w:p w:rsidR="00226D9D" w:rsidRDefault="004D0E8C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3(d)</w:t>
            </w:r>
          </w:p>
        </w:tc>
        <w:tc>
          <w:tcPr>
            <w:tcW w:w="7540" w:type="dxa"/>
          </w:tcPr>
          <w:p w:rsidR="00226D9D" w:rsidRPr="00123D39" w:rsidRDefault="004D0E8C" w:rsidP="00226D9D">
            <w:pPr>
              <w:spacing w:before="20" w:after="20"/>
              <w:ind w:left="6"/>
            </w:pPr>
            <w:r>
              <w:rPr>
                <w:rFonts w:eastAsia="MS Mincho"/>
                <w:lang w:val="en-US" w:eastAsia="ja-JP"/>
              </w:rPr>
              <w:t>Proposed clarification for the heading of section 9 of the Safety Data Sheet (Australia, Canada)</w:t>
            </w:r>
          </w:p>
        </w:tc>
      </w:tr>
      <w:tr w:rsidR="00226D9D" w:rsidRPr="00EA2D43" w:rsidTr="00FB003B">
        <w:tc>
          <w:tcPr>
            <w:tcW w:w="1210" w:type="dxa"/>
          </w:tcPr>
          <w:p w:rsidR="00226D9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C07F9E">
              <w:t>2019</w:t>
            </w:r>
            <w:r w:rsidRPr="0093545E">
              <w:t>/</w:t>
            </w:r>
            <w:r w:rsidR="00FB003B">
              <w:t>14</w:t>
            </w:r>
          </w:p>
        </w:tc>
        <w:tc>
          <w:tcPr>
            <w:tcW w:w="887" w:type="dxa"/>
          </w:tcPr>
          <w:p w:rsidR="00226D9D" w:rsidRPr="0093545E" w:rsidRDefault="004D0E8C" w:rsidP="00226D9D">
            <w:pPr>
              <w:spacing w:before="20" w:after="20"/>
              <w:ind w:left="-108" w:right="-108"/>
              <w:jc w:val="center"/>
            </w:pPr>
            <w:r>
              <w:t>4(c)</w:t>
            </w:r>
          </w:p>
        </w:tc>
        <w:tc>
          <w:tcPr>
            <w:tcW w:w="7540" w:type="dxa"/>
          </w:tcPr>
          <w:p w:rsidR="00226D9D" w:rsidRPr="00123D39" w:rsidRDefault="004D0E8C" w:rsidP="00226D9D">
            <w:pPr>
              <w:spacing w:before="20" w:after="20"/>
              <w:ind w:left="6"/>
              <w:rPr>
                <w:highlight w:val="yellow"/>
              </w:rPr>
            </w:pPr>
            <w:bookmarkStart w:id="0" w:name="_Hlk19869045"/>
            <w:r>
              <w:t>Review and update of references to OECD guidance documents and test guidelines in the GHS</w:t>
            </w:r>
            <w:bookmarkEnd w:id="0"/>
            <w:r>
              <w:t xml:space="preserve"> (OECD)</w:t>
            </w:r>
          </w:p>
        </w:tc>
      </w:tr>
      <w:tr w:rsidR="00FB003B" w:rsidRPr="00EA2D43" w:rsidTr="00FB003B">
        <w:tc>
          <w:tcPr>
            <w:tcW w:w="1210" w:type="dxa"/>
          </w:tcPr>
          <w:p w:rsidR="00FB003B" w:rsidRPr="0093545E" w:rsidRDefault="00FB003B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2019</w:t>
            </w:r>
            <w:r w:rsidRPr="0093545E">
              <w:t>/</w:t>
            </w:r>
            <w:r>
              <w:t>15</w:t>
            </w:r>
          </w:p>
        </w:tc>
        <w:tc>
          <w:tcPr>
            <w:tcW w:w="887" w:type="dxa"/>
          </w:tcPr>
          <w:p w:rsidR="00FB003B" w:rsidRPr="0093545E" w:rsidRDefault="004D0E8C" w:rsidP="00226D9D">
            <w:pPr>
              <w:spacing w:before="20" w:after="20"/>
              <w:ind w:left="-108" w:right="-108"/>
              <w:jc w:val="center"/>
            </w:pPr>
            <w:r>
              <w:t>3(b)</w:t>
            </w:r>
          </w:p>
        </w:tc>
        <w:tc>
          <w:tcPr>
            <w:tcW w:w="7540" w:type="dxa"/>
          </w:tcPr>
          <w:p w:rsidR="00FB003B" w:rsidRPr="00123D39" w:rsidRDefault="004D0E8C" w:rsidP="00226D9D">
            <w:pPr>
              <w:spacing w:before="20" w:after="20"/>
              <w:ind w:left="6"/>
              <w:rPr>
                <w:highlight w:val="yellow"/>
              </w:rPr>
            </w:pPr>
            <w:r>
              <w:t>Corrections and amendments to Annex 3, sections 2 and 3 (UK)</w:t>
            </w:r>
          </w:p>
        </w:tc>
      </w:tr>
    </w:tbl>
    <w:p w:rsidR="00FB48D5" w:rsidRPr="00870D13" w:rsidRDefault="00FB48D5" w:rsidP="002A5947">
      <w:pPr>
        <w:pStyle w:val="HChG"/>
        <w:spacing w:before="200" w:after="200" w:line="160" w:lineRule="exact"/>
      </w:pPr>
      <w:r w:rsidRPr="00870D13">
        <w:t>Informa</w:t>
      </w:r>
      <w:r w:rsidR="001035FB">
        <w:t>l</w:t>
      </w:r>
      <w:r w:rsidRPr="00870D13">
        <w:t xml:space="preserve"> documents</w:t>
      </w: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1482"/>
        <w:gridCol w:w="645"/>
        <w:gridCol w:w="7562"/>
      </w:tblGrid>
      <w:tr w:rsidR="00FB48D5" w:rsidRPr="00720E11" w:rsidTr="00DC2272">
        <w:trPr>
          <w:tblHeader/>
        </w:trPr>
        <w:tc>
          <w:tcPr>
            <w:tcW w:w="1482" w:type="dxa"/>
            <w:shd w:val="clear" w:color="auto" w:fill="F2F2F2" w:themeFill="background1" w:themeFillShade="F2"/>
          </w:tcPr>
          <w:p w:rsidR="00FB48D5" w:rsidRPr="00720E11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/>
              </w:rPr>
            </w:pPr>
            <w:r w:rsidRPr="00720E11">
              <w:rPr>
                <w:b/>
                <w:i/>
              </w:rPr>
              <w:t>INF. N</w:t>
            </w:r>
            <w:r w:rsidR="00275D77">
              <w:rPr>
                <w:b/>
                <w:i/>
              </w:rPr>
              <w:t>o</w:t>
            </w:r>
            <w:r w:rsidRPr="00720E11">
              <w:rPr>
                <w:b/>
                <w:i/>
              </w:rPr>
              <w:t>.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FB48D5" w:rsidRPr="00720E11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/>
                <w:i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562" w:type="dxa"/>
            <w:shd w:val="clear" w:color="auto" w:fill="F2F2F2" w:themeFill="background1" w:themeFillShade="F2"/>
          </w:tcPr>
          <w:p w:rsidR="00FB48D5" w:rsidRPr="00720E11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Title</w:t>
            </w:r>
          </w:p>
        </w:tc>
      </w:tr>
      <w:tr w:rsidR="00FB48D5" w:rsidRPr="00EA2D43" w:rsidTr="00DC2272">
        <w:tc>
          <w:tcPr>
            <w:tcW w:w="1482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645" w:type="dxa"/>
          </w:tcPr>
          <w:p w:rsidR="00FB48D5" w:rsidRPr="00870D13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562" w:type="dxa"/>
          </w:tcPr>
          <w:p w:rsidR="00FB48D5" w:rsidRPr="00123D39" w:rsidRDefault="002931D7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23D39">
              <w:t>List of documents (Secretariat)</w:t>
            </w:r>
          </w:p>
        </w:tc>
      </w:tr>
      <w:tr w:rsidR="002A5A2D" w:rsidRPr="00EA2D43" w:rsidTr="00DC2272">
        <w:tc>
          <w:tcPr>
            <w:tcW w:w="148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645" w:type="dxa"/>
          </w:tcPr>
          <w:p w:rsidR="002A5A2D" w:rsidRPr="00870D13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562" w:type="dxa"/>
          </w:tcPr>
          <w:p w:rsidR="002A5A2D" w:rsidRPr="00123D39" w:rsidRDefault="002931D7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23D39">
              <w:t>Provisional agenda for the thirty-seventh session (Secretariat)</w:t>
            </w:r>
          </w:p>
        </w:tc>
      </w:tr>
      <w:tr w:rsidR="002A5A2D" w:rsidRPr="00EA2D43" w:rsidTr="00DC2272">
        <w:tc>
          <w:tcPr>
            <w:tcW w:w="1482" w:type="dxa"/>
          </w:tcPr>
          <w:p w:rsidR="002A5A2D" w:rsidRPr="00870D13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</w:t>
            </w:r>
            <w:r w:rsidR="009D0EC7">
              <w:t>3</w:t>
            </w:r>
          </w:p>
        </w:tc>
        <w:tc>
          <w:tcPr>
            <w:tcW w:w="645" w:type="dxa"/>
          </w:tcPr>
          <w:p w:rsidR="002A5A2D" w:rsidRPr="00870D13" w:rsidRDefault="00FF1DEA" w:rsidP="00787C77">
            <w:pPr>
              <w:ind w:left="-108" w:right="-108"/>
              <w:jc w:val="center"/>
            </w:pPr>
            <w:r>
              <w:t>4(c)</w:t>
            </w:r>
          </w:p>
        </w:tc>
        <w:tc>
          <w:tcPr>
            <w:tcW w:w="7562" w:type="dxa"/>
          </w:tcPr>
          <w:p w:rsidR="002A5A2D" w:rsidRPr="00123D39" w:rsidRDefault="00FF1DEA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0A2877">
              <w:rPr>
                <w:rFonts w:asciiTheme="majorBidi" w:hAnsiTheme="majorBidi" w:cstheme="majorBidi"/>
              </w:rPr>
              <w:t>Review and update of references to OECD guidance documents and test guidelines in the GHS</w:t>
            </w:r>
            <w:r>
              <w:rPr>
                <w:rFonts w:asciiTheme="majorBidi" w:hAnsiTheme="majorBidi" w:cstheme="majorBidi"/>
              </w:rPr>
              <w:t xml:space="preserve"> (OECD)</w:t>
            </w:r>
          </w:p>
        </w:tc>
      </w:tr>
      <w:tr w:rsidR="00F31CF4" w:rsidRPr="00870D13" w:rsidTr="00DC2272">
        <w:tc>
          <w:tcPr>
            <w:tcW w:w="1482" w:type="dxa"/>
          </w:tcPr>
          <w:p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INF.4</w:t>
            </w:r>
          </w:p>
        </w:tc>
        <w:tc>
          <w:tcPr>
            <w:tcW w:w="645" w:type="dxa"/>
          </w:tcPr>
          <w:p w:rsidR="00F31CF4" w:rsidRPr="00870D13" w:rsidRDefault="00FF1DEA" w:rsidP="00F31CF4">
            <w:pPr>
              <w:ind w:left="-108" w:right="-108"/>
              <w:jc w:val="center"/>
            </w:pPr>
            <w:r>
              <w:t>2(h)</w:t>
            </w:r>
          </w:p>
        </w:tc>
        <w:tc>
          <w:tcPr>
            <w:tcW w:w="7562" w:type="dxa"/>
          </w:tcPr>
          <w:p w:rsidR="00F31CF4" w:rsidRPr="00123D39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0812A5">
              <w:t>Proposed clarification of ey</w:t>
            </w:r>
            <w:r>
              <w:t>e irritation sub-categorization (Australia)</w:t>
            </w:r>
          </w:p>
        </w:tc>
      </w:tr>
      <w:tr w:rsidR="00F31CF4" w:rsidRPr="00870D13" w:rsidTr="00DC2272">
        <w:tc>
          <w:tcPr>
            <w:tcW w:w="1482" w:type="dxa"/>
          </w:tcPr>
          <w:p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</w:p>
        </w:tc>
        <w:tc>
          <w:tcPr>
            <w:tcW w:w="645" w:type="dxa"/>
          </w:tcPr>
          <w:p w:rsidR="00F31CF4" w:rsidRPr="00870D13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4(b)</w:t>
            </w:r>
          </w:p>
        </w:tc>
        <w:tc>
          <w:tcPr>
            <w:tcW w:w="7562" w:type="dxa"/>
          </w:tcPr>
          <w:p w:rsidR="00F31CF4" w:rsidRPr="00123D39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Information on the status of GHS implementation in Australia (Australia)</w:t>
            </w:r>
          </w:p>
        </w:tc>
      </w:tr>
      <w:tr w:rsidR="00F31CF4" w:rsidRPr="00870D1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645" w:type="dxa"/>
          </w:tcPr>
          <w:p w:rsidR="00F31CF4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2(b)</w:t>
            </w:r>
          </w:p>
        </w:tc>
        <w:tc>
          <w:tcPr>
            <w:tcW w:w="7562" w:type="dxa"/>
          </w:tcPr>
          <w:p w:rsidR="00F31CF4" w:rsidRPr="00123D39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53772A">
              <w:rPr>
                <w:rFonts w:eastAsia="MS Mincho"/>
                <w:lang w:eastAsia="ja-JP"/>
              </w:rPr>
              <w:t>Advanced draft of a new Chapter 2.1</w:t>
            </w:r>
            <w:r>
              <w:rPr>
                <w:rFonts w:eastAsia="MS Mincho"/>
                <w:lang w:eastAsia="ja-JP"/>
              </w:rPr>
              <w:t xml:space="preserve"> for the GHS (Sweden)</w:t>
            </w:r>
          </w:p>
        </w:tc>
      </w:tr>
      <w:tr w:rsidR="00F31CF4" w:rsidRPr="00870D13" w:rsidTr="00DC2272">
        <w:tc>
          <w:tcPr>
            <w:tcW w:w="1482" w:type="dxa"/>
          </w:tcPr>
          <w:p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INF.7</w:t>
            </w:r>
          </w:p>
        </w:tc>
        <w:tc>
          <w:tcPr>
            <w:tcW w:w="645" w:type="dxa"/>
          </w:tcPr>
          <w:p w:rsidR="00F31CF4" w:rsidRPr="00870D13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2(h)</w:t>
            </w:r>
          </w:p>
        </w:tc>
        <w:tc>
          <w:tcPr>
            <w:tcW w:w="7562" w:type="dxa"/>
          </w:tcPr>
          <w:p w:rsidR="00F31CF4" w:rsidRPr="00123D39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Corrections to the eighth revised edition of the GHS (Secretariat)</w:t>
            </w:r>
          </w:p>
        </w:tc>
      </w:tr>
      <w:tr w:rsidR="00F31CF4" w:rsidRPr="00870D1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645" w:type="dxa"/>
          </w:tcPr>
          <w:p w:rsidR="00F31CF4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7</w:t>
            </w:r>
          </w:p>
        </w:tc>
        <w:tc>
          <w:tcPr>
            <w:tcW w:w="7562" w:type="dxa"/>
          </w:tcPr>
          <w:p w:rsidR="00F31CF4" w:rsidRPr="00123D39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B11A28">
              <w:rPr>
                <w:rFonts w:eastAsia="MS Mincho"/>
              </w:rPr>
              <w:t>Definitions and u</w:t>
            </w:r>
            <w:r w:rsidRPr="00B11A28">
              <w:t>se of acronyms and abbreviations in the GHS</w:t>
            </w:r>
            <w:r>
              <w:t xml:space="preserve"> (Secretariat)</w:t>
            </w:r>
          </w:p>
        </w:tc>
      </w:tr>
      <w:tr w:rsidR="00F31CF4" w:rsidRPr="00870D13" w:rsidTr="00DC2272">
        <w:tc>
          <w:tcPr>
            <w:tcW w:w="1482" w:type="dxa"/>
          </w:tcPr>
          <w:p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INF.9</w:t>
            </w:r>
          </w:p>
        </w:tc>
        <w:tc>
          <w:tcPr>
            <w:tcW w:w="645" w:type="dxa"/>
          </w:tcPr>
          <w:p w:rsidR="00F31CF4" w:rsidRPr="00870D13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4(c)</w:t>
            </w:r>
          </w:p>
        </w:tc>
        <w:tc>
          <w:tcPr>
            <w:tcW w:w="7562" w:type="dxa"/>
          </w:tcPr>
          <w:p w:rsidR="00F31CF4" w:rsidRPr="00123D39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0A2877">
              <w:rPr>
                <w:rFonts w:asciiTheme="majorBidi" w:hAnsiTheme="majorBidi" w:cstheme="majorBidi"/>
              </w:rPr>
              <w:t xml:space="preserve">Review and update of references to documents and test guidelines in </w:t>
            </w:r>
            <w:r>
              <w:rPr>
                <w:rFonts w:asciiTheme="majorBidi" w:hAnsiTheme="majorBidi" w:cstheme="majorBidi"/>
              </w:rPr>
              <w:t xml:space="preserve">annexes 9 and 10 of </w:t>
            </w:r>
            <w:r w:rsidRPr="000A2877">
              <w:rPr>
                <w:rFonts w:asciiTheme="majorBidi" w:hAnsiTheme="majorBidi" w:cstheme="majorBidi"/>
              </w:rPr>
              <w:t>the GHS</w:t>
            </w:r>
            <w:r>
              <w:rPr>
                <w:rFonts w:asciiTheme="majorBidi" w:hAnsiTheme="majorBidi" w:cstheme="majorBidi"/>
              </w:rPr>
              <w:t xml:space="preserve"> and comments to ST/SG/AC.10/C.4/2019/14 (Secretariat)</w:t>
            </w:r>
          </w:p>
        </w:tc>
      </w:tr>
      <w:tr w:rsidR="00F31CF4" w:rsidRPr="00870D13" w:rsidTr="00DC2272">
        <w:tc>
          <w:tcPr>
            <w:tcW w:w="1482" w:type="dxa"/>
          </w:tcPr>
          <w:p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645" w:type="dxa"/>
          </w:tcPr>
          <w:p w:rsidR="00F31CF4" w:rsidRPr="00870D13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</w:t>
            </w:r>
          </w:p>
        </w:tc>
        <w:tc>
          <w:tcPr>
            <w:tcW w:w="7562" w:type="dxa"/>
          </w:tcPr>
          <w:p w:rsidR="00F31CF4" w:rsidRPr="00123D39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3823CD">
              <w:t>Provisional timetable for the thirty-</w:t>
            </w:r>
            <w:r>
              <w:t>eighth</w:t>
            </w:r>
            <w:r w:rsidRPr="003823CD">
              <w:t xml:space="preserve"> session and calendar of m</w:t>
            </w:r>
            <w:r w:rsidRPr="003823CD">
              <w:rPr>
                <w:rFonts w:eastAsia="MS Mincho"/>
              </w:rPr>
              <w:t xml:space="preserve">eetings of </w:t>
            </w:r>
            <w:r>
              <w:rPr>
                <w:rFonts w:eastAsia="MS Mincho"/>
              </w:rPr>
              <w:t xml:space="preserve">informal </w:t>
            </w:r>
            <w:r w:rsidRPr="003823CD">
              <w:rPr>
                <w:rFonts w:eastAsia="MS Mincho"/>
              </w:rPr>
              <w:t>working groups</w:t>
            </w:r>
            <w:r>
              <w:rPr>
                <w:rFonts w:eastAsia="MS Mincho"/>
              </w:rPr>
              <w:t xml:space="preserve"> (Secretariat)</w:t>
            </w:r>
          </w:p>
        </w:tc>
      </w:tr>
      <w:tr w:rsidR="00F31CF4" w:rsidRPr="00870D13" w:rsidTr="00DC2272">
        <w:tc>
          <w:tcPr>
            <w:tcW w:w="1482" w:type="dxa"/>
          </w:tcPr>
          <w:p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INF.11</w:t>
            </w:r>
          </w:p>
        </w:tc>
        <w:tc>
          <w:tcPr>
            <w:tcW w:w="645" w:type="dxa"/>
          </w:tcPr>
          <w:p w:rsidR="00F31CF4" w:rsidRPr="00870D13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2(h)</w:t>
            </w:r>
          </w:p>
        </w:tc>
        <w:tc>
          <w:tcPr>
            <w:tcW w:w="7562" w:type="dxa"/>
          </w:tcPr>
          <w:p w:rsidR="00F31CF4" w:rsidRPr="00123D39" w:rsidRDefault="00FF1DE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F30841">
              <w:t>Clarification</w:t>
            </w:r>
            <w:r>
              <w:t xml:space="preserve"> of paragraph </w:t>
            </w:r>
            <w:r w:rsidRPr="00D22BD2">
              <w:rPr>
                <w:szCs w:val="28"/>
              </w:rPr>
              <w:t>2.9.3.4.3.4</w:t>
            </w:r>
            <w:r>
              <w:rPr>
                <w:szCs w:val="28"/>
              </w:rPr>
              <w:t xml:space="preserve"> of Model Regulat</w:t>
            </w:r>
            <w:r>
              <w:rPr>
                <w:rFonts w:hint="eastAsia"/>
                <w:szCs w:val="28"/>
                <w:lang w:eastAsia="zh-CN"/>
              </w:rPr>
              <w:t>i</w:t>
            </w:r>
            <w:r>
              <w:rPr>
                <w:szCs w:val="28"/>
              </w:rPr>
              <w:t xml:space="preserve">ons </w:t>
            </w:r>
            <w:r>
              <w:rPr>
                <w:rFonts w:hint="eastAsia"/>
                <w:szCs w:val="28"/>
                <w:lang w:eastAsia="zh-CN"/>
              </w:rPr>
              <w:t>and</w:t>
            </w:r>
            <w:r>
              <w:rPr>
                <w:szCs w:val="28"/>
                <w:lang w:eastAsia="zh-CN"/>
              </w:rPr>
              <w:t xml:space="preserve"> </w:t>
            </w:r>
            <w:r>
              <w:t>paragraph</w:t>
            </w:r>
            <w:r w:rsidRPr="00D22BD2">
              <w:rPr>
                <w:szCs w:val="28"/>
              </w:rPr>
              <w:t xml:space="preserve"> 4.1.3.3.4</w:t>
            </w:r>
            <w:r>
              <w:rPr>
                <w:szCs w:val="28"/>
              </w:rPr>
              <w:t xml:space="preserve"> of GHS (China)</w:t>
            </w:r>
          </w:p>
        </w:tc>
      </w:tr>
      <w:tr w:rsidR="00F31CF4" w:rsidRPr="00870D13" w:rsidTr="00DC2272">
        <w:tc>
          <w:tcPr>
            <w:tcW w:w="1482" w:type="dxa"/>
          </w:tcPr>
          <w:p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INF.12</w:t>
            </w:r>
          </w:p>
        </w:tc>
        <w:tc>
          <w:tcPr>
            <w:tcW w:w="645" w:type="dxa"/>
          </w:tcPr>
          <w:p w:rsidR="00F31CF4" w:rsidRPr="00870D13" w:rsidRDefault="006D2C01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4(c)</w:t>
            </w:r>
          </w:p>
        </w:tc>
        <w:tc>
          <w:tcPr>
            <w:tcW w:w="7562" w:type="dxa"/>
          </w:tcPr>
          <w:p w:rsidR="00F31CF4" w:rsidRPr="00123D39" w:rsidRDefault="006D2C01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356962">
              <w:t xml:space="preserve">Expert </w:t>
            </w:r>
            <w:r>
              <w:t>W</w:t>
            </w:r>
            <w:r w:rsidRPr="00356962">
              <w:t>orking Group on the review of Annexes to the Basel Convention on the Control of Transboundary Movements of Hazardous Wastes and Their Disposal</w:t>
            </w:r>
            <w:r>
              <w:t xml:space="preserve"> (Secretariat of the Basel, Rotterdam and Stockholm Conventions)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INF.13</w:t>
            </w:r>
          </w:p>
        </w:tc>
        <w:tc>
          <w:tcPr>
            <w:tcW w:w="645" w:type="dxa"/>
          </w:tcPr>
          <w:p w:rsidR="00F31CF4" w:rsidRPr="00870D13" w:rsidRDefault="006D2C01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4(b)</w:t>
            </w:r>
          </w:p>
        </w:tc>
        <w:tc>
          <w:tcPr>
            <w:tcW w:w="7562" w:type="dxa"/>
          </w:tcPr>
          <w:p w:rsidR="00F31CF4" w:rsidRPr="00123D39" w:rsidRDefault="006D2C01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</w:rPr>
              <w:t>GHS implementation status in New Zealand and in the ANDEAN community (Secretariat)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</w:p>
        </w:tc>
        <w:tc>
          <w:tcPr>
            <w:tcW w:w="645" w:type="dxa"/>
          </w:tcPr>
          <w:p w:rsidR="00F31CF4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</w:t>
            </w:r>
          </w:p>
        </w:tc>
        <w:tc>
          <w:tcPr>
            <w:tcW w:w="7562" w:type="dxa"/>
          </w:tcPr>
          <w:p w:rsidR="00F31CF4" w:rsidRPr="00123D39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Accreditation of experts</w:t>
            </w:r>
            <w:r w:rsidR="008E63D9" w:rsidRPr="00123D39">
              <w:t xml:space="preserve"> (Secretariat)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INF.15</w:t>
            </w:r>
          </w:p>
        </w:tc>
        <w:tc>
          <w:tcPr>
            <w:tcW w:w="645" w:type="dxa"/>
          </w:tcPr>
          <w:p w:rsidR="00F31CF4" w:rsidRDefault="0096731F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2(a)</w:t>
            </w:r>
          </w:p>
        </w:tc>
        <w:tc>
          <w:tcPr>
            <w:tcW w:w="7562" w:type="dxa"/>
          </w:tcPr>
          <w:p w:rsidR="00F31CF4" w:rsidRPr="00123D39" w:rsidRDefault="0096731F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Manual of Tests and Criteria, update test Series H: determination of self-accelerating decomposition temperature</w:t>
            </w:r>
            <w:r w:rsidR="00DC2272">
              <w:t xml:space="preserve"> (</w:t>
            </w:r>
            <w:r w:rsidR="00DC2272" w:rsidRPr="00741656">
              <w:t xml:space="preserve">Chair of the Working </w:t>
            </w:r>
            <w:r w:rsidR="00DC2272" w:rsidRPr="004C7170">
              <w:t>Group</w:t>
            </w:r>
            <w:r w:rsidR="00DC2272" w:rsidRPr="00741656">
              <w:t xml:space="preserve"> on Explosives</w:t>
            </w:r>
            <w:r w:rsidR="00DC2272">
              <w:t>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</w:p>
        </w:tc>
        <w:tc>
          <w:tcPr>
            <w:tcW w:w="645" w:type="dxa"/>
          </w:tcPr>
          <w:p w:rsidR="00F31CF4" w:rsidRDefault="00DC227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4(c)</w:t>
            </w:r>
          </w:p>
        </w:tc>
        <w:tc>
          <w:tcPr>
            <w:tcW w:w="7562" w:type="dxa"/>
          </w:tcPr>
          <w:p w:rsidR="00F31CF4" w:rsidRPr="00123D39" w:rsidRDefault="00DC227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BC5210">
              <w:rPr>
                <w:rFonts w:asciiTheme="majorBidi" w:eastAsia="MS Mincho" w:hAnsiTheme="majorBidi" w:cstheme="majorBidi"/>
              </w:rPr>
              <w:t>Strategic Approach and sound management of chemicals and waste beyond 2020</w:t>
            </w:r>
            <w:r>
              <w:rPr>
                <w:rFonts w:asciiTheme="majorBidi" w:eastAsia="MS Mincho" w:hAnsiTheme="majorBidi" w:cstheme="majorBidi"/>
              </w:rPr>
              <w:t xml:space="preserve"> (Secretariat)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INF.17</w:t>
            </w:r>
          </w:p>
        </w:tc>
        <w:tc>
          <w:tcPr>
            <w:tcW w:w="645" w:type="dxa"/>
          </w:tcPr>
          <w:p w:rsidR="00F31CF4" w:rsidRDefault="008E63D9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</w:t>
            </w:r>
            <w:r w:rsidR="00DC2272">
              <w:t>(</w:t>
            </w:r>
            <w:r>
              <w:t>g</w:t>
            </w:r>
            <w:r w:rsidR="00DC2272">
              <w:t>)</w:t>
            </w:r>
          </w:p>
        </w:tc>
        <w:tc>
          <w:tcPr>
            <w:tcW w:w="7562" w:type="dxa"/>
          </w:tcPr>
          <w:p w:rsidR="00F31CF4" w:rsidRPr="00123D39" w:rsidRDefault="00DC227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</w:rPr>
              <w:t>Informal Working Group on combinations of physical hazards: Status of work and agenda for the working group meeting on 11 December 2019 (Germany)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lastRenderedPageBreak/>
              <w:t>INF.18</w:t>
            </w:r>
          </w:p>
        </w:tc>
        <w:tc>
          <w:tcPr>
            <w:tcW w:w="645" w:type="dxa"/>
          </w:tcPr>
          <w:p w:rsidR="00F31CF4" w:rsidRDefault="008E63D9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</w:t>
            </w:r>
            <w:r w:rsidR="00DC2272">
              <w:t>(a)</w:t>
            </w:r>
          </w:p>
        </w:tc>
        <w:tc>
          <w:tcPr>
            <w:tcW w:w="7562" w:type="dxa"/>
          </w:tcPr>
          <w:p w:rsidR="00F31CF4" w:rsidRPr="00123D39" w:rsidRDefault="00DC2272" w:rsidP="00084F62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B153E3">
              <w:rPr>
                <w:lang w:val="en-US"/>
              </w:rPr>
              <w:t>Tests for oxidizing liquids and oxidizing solids</w:t>
            </w:r>
            <w:r w:rsidRPr="00B153E3">
              <w:rPr>
                <w:lang w:val="en-US"/>
              </w:rPr>
              <w:br/>
              <w:t>Improvement regarding consideration for particle size, friable or coated materials</w:t>
            </w:r>
            <w:r>
              <w:rPr>
                <w:lang w:val="en-US"/>
              </w:rPr>
              <w:t>: a</w:t>
            </w:r>
            <w:r w:rsidRPr="00B153E3">
              <w:rPr>
                <w:lang w:val="en-US"/>
              </w:rPr>
              <w:t xml:space="preserve">dditional information </w:t>
            </w:r>
            <w:r>
              <w:rPr>
                <w:lang w:val="en-US"/>
              </w:rPr>
              <w:t>on</w:t>
            </w:r>
            <w:r w:rsidRPr="00B153E3">
              <w:rPr>
                <w:lang w:val="en-US"/>
              </w:rPr>
              <w:t xml:space="preserve"> document </w:t>
            </w:r>
            <w:r>
              <w:rPr>
                <w:lang w:val="en-US"/>
              </w:rPr>
              <w:t>S</w:t>
            </w:r>
            <w:r w:rsidRPr="00B153E3">
              <w:rPr>
                <w:lang w:val="en-US"/>
              </w:rPr>
              <w:t>T/SG/AC.10/C.3/2019/68−ST/SG/AC.10/C.4/2019/11</w:t>
            </w:r>
            <w:r w:rsidR="008E63D9">
              <w:rPr>
                <w:lang w:val="en-US"/>
              </w:rPr>
              <w:t xml:space="preserve"> (France)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INF.19</w:t>
            </w:r>
          </w:p>
        </w:tc>
        <w:tc>
          <w:tcPr>
            <w:tcW w:w="645" w:type="dxa"/>
          </w:tcPr>
          <w:p w:rsidR="00F31CF4" w:rsidRDefault="00EF7DE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4(b)</w:t>
            </w:r>
          </w:p>
        </w:tc>
        <w:tc>
          <w:tcPr>
            <w:tcW w:w="7562" w:type="dxa"/>
          </w:tcPr>
          <w:p w:rsidR="00F31CF4" w:rsidRPr="00123D39" w:rsidRDefault="00EF7DE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Information on the status of implementation of the GHS</w:t>
            </w:r>
            <w:r w:rsidR="008E63D9">
              <w:t xml:space="preserve"> (Cefic)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INF.20</w:t>
            </w:r>
          </w:p>
        </w:tc>
        <w:tc>
          <w:tcPr>
            <w:tcW w:w="645" w:type="dxa"/>
          </w:tcPr>
          <w:p w:rsidR="00F31CF4" w:rsidRDefault="00EF7DE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2(c)</w:t>
            </w:r>
          </w:p>
        </w:tc>
        <w:tc>
          <w:tcPr>
            <w:tcW w:w="7562" w:type="dxa"/>
          </w:tcPr>
          <w:p w:rsidR="00F31CF4" w:rsidRPr="00123D39" w:rsidRDefault="00EF7DE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Use of non-animal testing methods for classification of health hazards: status report</w:t>
            </w:r>
            <w:r w:rsidR="008E63D9">
              <w:t xml:space="preserve"> (Netherlands, UK)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INF.21 </w:t>
            </w:r>
          </w:p>
        </w:tc>
        <w:tc>
          <w:tcPr>
            <w:tcW w:w="645" w:type="dxa"/>
          </w:tcPr>
          <w:p w:rsidR="00F31CF4" w:rsidRDefault="00EF7DE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6</w:t>
            </w:r>
          </w:p>
        </w:tc>
        <w:tc>
          <w:tcPr>
            <w:tcW w:w="7562" w:type="dxa"/>
          </w:tcPr>
          <w:p w:rsidR="00F31CF4" w:rsidRPr="009A23DA" w:rsidRDefault="00EF7DE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ICCA awareness raising and capacity building activities</w:t>
            </w:r>
            <w:r w:rsidR="008E63D9">
              <w:t xml:space="preserve"> (ICCA)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INF.22</w:t>
            </w:r>
          </w:p>
        </w:tc>
        <w:tc>
          <w:tcPr>
            <w:tcW w:w="645" w:type="dxa"/>
          </w:tcPr>
          <w:p w:rsidR="00F31CF4" w:rsidRDefault="00EF7DE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3(a)</w:t>
            </w:r>
          </w:p>
        </w:tc>
        <w:tc>
          <w:tcPr>
            <w:tcW w:w="7562" w:type="dxa"/>
          </w:tcPr>
          <w:p w:rsidR="00F31CF4" w:rsidRPr="00123D39" w:rsidRDefault="00EF7DE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Second thought starter on digitalisation of hazard information for chemical products</w:t>
            </w:r>
            <w:r w:rsidR="008E63D9">
              <w:t xml:space="preserve"> (Cefic)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INF.23</w:t>
            </w:r>
          </w:p>
        </w:tc>
        <w:tc>
          <w:tcPr>
            <w:tcW w:w="645" w:type="dxa"/>
          </w:tcPr>
          <w:p w:rsidR="00F31CF4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3(b)</w:t>
            </w:r>
          </w:p>
        </w:tc>
        <w:tc>
          <w:tcPr>
            <w:tcW w:w="7562" w:type="dxa"/>
          </w:tcPr>
          <w:p w:rsidR="00F31CF4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084F62">
              <w:t>Status of work of the Annex 1-3 informal working group</w:t>
            </w:r>
            <w:r w:rsidR="008E63D9">
              <w:t xml:space="preserve"> (UK)</w:t>
            </w:r>
          </w:p>
        </w:tc>
      </w:tr>
      <w:tr w:rsidR="00F31CF4" w:rsidRPr="00EA2D43" w:rsidTr="00DC2272">
        <w:tc>
          <w:tcPr>
            <w:tcW w:w="1482" w:type="dxa"/>
          </w:tcPr>
          <w:p w:rsidR="00F31CF4" w:rsidRDefault="00645CD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INF.24</w:t>
            </w:r>
          </w:p>
        </w:tc>
        <w:tc>
          <w:tcPr>
            <w:tcW w:w="645" w:type="dxa"/>
          </w:tcPr>
          <w:p w:rsidR="00F31CF4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5</w:t>
            </w:r>
          </w:p>
        </w:tc>
        <w:tc>
          <w:tcPr>
            <w:tcW w:w="7562" w:type="dxa"/>
          </w:tcPr>
          <w:p w:rsidR="00F31CF4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084F62">
              <w:t>Update of the IPIECA Guidance on the application of Globally Harmonized System (GHS) criteria to petroleum substances</w:t>
            </w:r>
            <w:r w:rsidR="008E63D9">
              <w:t xml:space="preserve"> (IPIECA)</w:t>
            </w:r>
          </w:p>
        </w:tc>
      </w:tr>
      <w:tr w:rsidR="00645CD2" w:rsidRPr="00EA2D43" w:rsidTr="00DC2272">
        <w:tc>
          <w:tcPr>
            <w:tcW w:w="1482" w:type="dxa"/>
          </w:tcPr>
          <w:p w:rsidR="00645CD2" w:rsidRDefault="00645CD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INF.25</w:t>
            </w:r>
          </w:p>
        </w:tc>
        <w:tc>
          <w:tcPr>
            <w:tcW w:w="645" w:type="dxa"/>
          </w:tcPr>
          <w:p w:rsidR="00645CD2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3(a)</w:t>
            </w:r>
          </w:p>
        </w:tc>
        <w:tc>
          <w:tcPr>
            <w:tcW w:w="7562" w:type="dxa"/>
          </w:tcPr>
          <w:p w:rsidR="00645CD2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084F62">
              <w:t>Revision of examples 1 – 7 in Annex 7</w:t>
            </w:r>
            <w:r w:rsidR="008E63D9">
              <w:t xml:space="preserve"> (Cefic)</w:t>
            </w:r>
          </w:p>
        </w:tc>
      </w:tr>
      <w:tr w:rsidR="00084F62" w:rsidRPr="00EA2D43" w:rsidTr="00DC2272">
        <w:tc>
          <w:tcPr>
            <w:tcW w:w="1482" w:type="dxa"/>
          </w:tcPr>
          <w:p w:rsidR="00084F62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INF.26</w:t>
            </w:r>
          </w:p>
        </w:tc>
        <w:tc>
          <w:tcPr>
            <w:tcW w:w="645" w:type="dxa"/>
          </w:tcPr>
          <w:p w:rsidR="00084F62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2(b)</w:t>
            </w:r>
          </w:p>
        </w:tc>
        <w:tc>
          <w:tcPr>
            <w:tcW w:w="7562" w:type="dxa"/>
          </w:tcPr>
          <w:p w:rsidR="00084F62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084F62">
              <w:t>Provisional agenda for the meeting of the informal correspondence group on the review of GHS Chapter 2.1</w:t>
            </w:r>
            <w:r w:rsidR="008E63D9">
              <w:t xml:space="preserve"> (Sweden)</w:t>
            </w:r>
          </w:p>
        </w:tc>
      </w:tr>
      <w:tr w:rsidR="00084F62" w:rsidRPr="00EA2D43" w:rsidTr="00DC2272">
        <w:tc>
          <w:tcPr>
            <w:tcW w:w="1482" w:type="dxa"/>
          </w:tcPr>
          <w:p w:rsidR="00084F62" w:rsidRDefault="00935057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INF.27</w:t>
            </w:r>
          </w:p>
        </w:tc>
        <w:tc>
          <w:tcPr>
            <w:tcW w:w="645" w:type="dxa"/>
          </w:tcPr>
          <w:p w:rsidR="00084F62" w:rsidRDefault="00935057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4(a)</w:t>
            </w:r>
            <w:bookmarkStart w:id="1" w:name="_GoBack"/>
            <w:bookmarkEnd w:id="1"/>
          </w:p>
        </w:tc>
        <w:tc>
          <w:tcPr>
            <w:tcW w:w="7562" w:type="dxa"/>
          </w:tcPr>
          <w:p w:rsidR="00084F62" w:rsidRPr="00084F62" w:rsidRDefault="00935057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>Global List informal correspondence group update</w:t>
            </w:r>
            <w:r>
              <w:rPr>
                <w:rFonts w:eastAsia="MS Mincho"/>
                <w:lang w:val="en-US" w:eastAsia="ja-JP"/>
              </w:rPr>
              <w:t xml:space="preserve"> (USA, Canada)</w:t>
            </w:r>
          </w:p>
        </w:tc>
      </w:tr>
    </w:tbl>
    <w:p w:rsidR="00D45103" w:rsidRPr="002F4558" w:rsidRDefault="002F4558" w:rsidP="002F4558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D45103" w:rsidRPr="002F4558" w:rsidSect="0099001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33" w:rsidRDefault="00002F33"/>
  </w:endnote>
  <w:endnote w:type="continuationSeparator" w:id="0">
    <w:p w:rsidR="00002F33" w:rsidRDefault="00002F33"/>
  </w:endnote>
  <w:endnote w:type="continuationNotice" w:id="1">
    <w:p w:rsidR="00002F33" w:rsidRDefault="0000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33" w:rsidRPr="000B175B" w:rsidRDefault="00002F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2F33" w:rsidRPr="00FC68B7" w:rsidRDefault="00002F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2F33" w:rsidRDefault="00002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6C0DC6" w:rsidP="00366CA7">
    <w:pPr>
      <w:pStyle w:val="Header"/>
    </w:pPr>
    <w:r>
      <w:t>UN/SCE</w:t>
    </w:r>
    <w:r w:rsidR="00F244F1">
      <w:t>GHS</w:t>
    </w:r>
    <w:r>
      <w:t>/</w:t>
    </w:r>
    <w:r w:rsidR="00F244F1">
      <w:t>3</w:t>
    </w:r>
    <w:r w:rsidR="00684780">
      <w:t>8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6C0DC6" w:rsidP="0099001C">
    <w:pPr>
      <w:pStyle w:val="Header"/>
      <w:jc w:val="right"/>
    </w:pPr>
    <w:r>
      <w:t>UN/SCEGHS/</w:t>
    </w:r>
    <w:r w:rsidR="0077406B">
      <w:t>3</w:t>
    </w:r>
    <w:r w:rsidR="00275662">
      <w:t>8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2F33"/>
    <w:rsid w:val="0003123C"/>
    <w:rsid w:val="00031CBB"/>
    <w:rsid w:val="00033B3D"/>
    <w:rsid w:val="000448F5"/>
    <w:rsid w:val="00050F6B"/>
    <w:rsid w:val="0005512E"/>
    <w:rsid w:val="00072C8C"/>
    <w:rsid w:val="00076E62"/>
    <w:rsid w:val="00081647"/>
    <w:rsid w:val="00083C33"/>
    <w:rsid w:val="00084F62"/>
    <w:rsid w:val="000859D7"/>
    <w:rsid w:val="000877CA"/>
    <w:rsid w:val="000931C0"/>
    <w:rsid w:val="00096CD4"/>
    <w:rsid w:val="000A0664"/>
    <w:rsid w:val="000A18E8"/>
    <w:rsid w:val="000A5146"/>
    <w:rsid w:val="000B175B"/>
    <w:rsid w:val="000B3A0F"/>
    <w:rsid w:val="000C6544"/>
    <w:rsid w:val="000D191F"/>
    <w:rsid w:val="000D39F8"/>
    <w:rsid w:val="000D3B0C"/>
    <w:rsid w:val="000E0415"/>
    <w:rsid w:val="000F368C"/>
    <w:rsid w:val="000F6C7B"/>
    <w:rsid w:val="00100A9D"/>
    <w:rsid w:val="001035FB"/>
    <w:rsid w:val="00107042"/>
    <w:rsid w:val="0011098D"/>
    <w:rsid w:val="00110DF6"/>
    <w:rsid w:val="0011793B"/>
    <w:rsid w:val="001220B8"/>
    <w:rsid w:val="00123D39"/>
    <w:rsid w:val="00137D36"/>
    <w:rsid w:val="00156F3C"/>
    <w:rsid w:val="00162BF7"/>
    <w:rsid w:val="00190AEA"/>
    <w:rsid w:val="001B1F42"/>
    <w:rsid w:val="001B4B04"/>
    <w:rsid w:val="001B7FE6"/>
    <w:rsid w:val="001C6663"/>
    <w:rsid w:val="001C7895"/>
    <w:rsid w:val="001D26DF"/>
    <w:rsid w:val="001E47FD"/>
    <w:rsid w:val="001E4C75"/>
    <w:rsid w:val="001E710B"/>
    <w:rsid w:val="00211ADF"/>
    <w:rsid w:val="00211E0B"/>
    <w:rsid w:val="00226D9D"/>
    <w:rsid w:val="002348F4"/>
    <w:rsid w:val="00236E81"/>
    <w:rsid w:val="002405A7"/>
    <w:rsid w:val="0024624B"/>
    <w:rsid w:val="002505DA"/>
    <w:rsid w:val="002570BC"/>
    <w:rsid w:val="00257E45"/>
    <w:rsid w:val="00261207"/>
    <w:rsid w:val="00262488"/>
    <w:rsid w:val="0027313E"/>
    <w:rsid w:val="00275662"/>
    <w:rsid w:val="00275D77"/>
    <w:rsid w:val="00284A54"/>
    <w:rsid w:val="002931D7"/>
    <w:rsid w:val="002A5947"/>
    <w:rsid w:val="002A5A2D"/>
    <w:rsid w:val="002C133E"/>
    <w:rsid w:val="002C710D"/>
    <w:rsid w:val="002D59D3"/>
    <w:rsid w:val="002E0624"/>
    <w:rsid w:val="002E7C49"/>
    <w:rsid w:val="002F1024"/>
    <w:rsid w:val="002F4558"/>
    <w:rsid w:val="00305C3C"/>
    <w:rsid w:val="003107FA"/>
    <w:rsid w:val="003118D4"/>
    <w:rsid w:val="003127A2"/>
    <w:rsid w:val="00321878"/>
    <w:rsid w:val="003229D8"/>
    <w:rsid w:val="00334D85"/>
    <w:rsid w:val="0033745A"/>
    <w:rsid w:val="00337513"/>
    <w:rsid w:val="003443E5"/>
    <w:rsid w:val="00350692"/>
    <w:rsid w:val="00353DBA"/>
    <w:rsid w:val="003565E5"/>
    <w:rsid w:val="00366CA7"/>
    <w:rsid w:val="00371853"/>
    <w:rsid w:val="003841B8"/>
    <w:rsid w:val="0038656E"/>
    <w:rsid w:val="0039277A"/>
    <w:rsid w:val="003937A6"/>
    <w:rsid w:val="003972E0"/>
    <w:rsid w:val="003A4B23"/>
    <w:rsid w:val="003B39CC"/>
    <w:rsid w:val="003C2CC4"/>
    <w:rsid w:val="003C32AD"/>
    <w:rsid w:val="003C3936"/>
    <w:rsid w:val="003D02C2"/>
    <w:rsid w:val="003D4B23"/>
    <w:rsid w:val="003D621B"/>
    <w:rsid w:val="003E1216"/>
    <w:rsid w:val="003E1B5B"/>
    <w:rsid w:val="003E2A39"/>
    <w:rsid w:val="003F0752"/>
    <w:rsid w:val="003F18A0"/>
    <w:rsid w:val="003F1ED3"/>
    <w:rsid w:val="003F7973"/>
    <w:rsid w:val="004160C6"/>
    <w:rsid w:val="004230C0"/>
    <w:rsid w:val="00426C9C"/>
    <w:rsid w:val="004325CB"/>
    <w:rsid w:val="00446DE4"/>
    <w:rsid w:val="00447538"/>
    <w:rsid w:val="0045333F"/>
    <w:rsid w:val="00460DD9"/>
    <w:rsid w:val="0048291A"/>
    <w:rsid w:val="004901B7"/>
    <w:rsid w:val="004A41CA"/>
    <w:rsid w:val="004A6C6E"/>
    <w:rsid w:val="004A7239"/>
    <w:rsid w:val="004B6733"/>
    <w:rsid w:val="004D0E8C"/>
    <w:rsid w:val="004D5CB2"/>
    <w:rsid w:val="004D6E91"/>
    <w:rsid w:val="004E478E"/>
    <w:rsid w:val="004E5083"/>
    <w:rsid w:val="004E674C"/>
    <w:rsid w:val="004F4B24"/>
    <w:rsid w:val="004F65C1"/>
    <w:rsid w:val="00503228"/>
    <w:rsid w:val="00505384"/>
    <w:rsid w:val="00516318"/>
    <w:rsid w:val="0052543F"/>
    <w:rsid w:val="00532EF8"/>
    <w:rsid w:val="005356FB"/>
    <w:rsid w:val="00540DD6"/>
    <w:rsid w:val="005420F2"/>
    <w:rsid w:val="005504B6"/>
    <w:rsid w:val="00553222"/>
    <w:rsid w:val="00570364"/>
    <w:rsid w:val="00572B36"/>
    <w:rsid w:val="005777F3"/>
    <w:rsid w:val="00592D34"/>
    <w:rsid w:val="005B1F57"/>
    <w:rsid w:val="005B2C89"/>
    <w:rsid w:val="005B3DB3"/>
    <w:rsid w:val="005C4858"/>
    <w:rsid w:val="005C53DB"/>
    <w:rsid w:val="005D425A"/>
    <w:rsid w:val="005E743D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4702"/>
    <w:rsid w:val="00640B26"/>
    <w:rsid w:val="00643E18"/>
    <w:rsid w:val="00645CD2"/>
    <w:rsid w:val="006632CE"/>
    <w:rsid w:val="00665595"/>
    <w:rsid w:val="006666F6"/>
    <w:rsid w:val="00684780"/>
    <w:rsid w:val="00691F20"/>
    <w:rsid w:val="00693543"/>
    <w:rsid w:val="00694E7D"/>
    <w:rsid w:val="006A7392"/>
    <w:rsid w:val="006A7757"/>
    <w:rsid w:val="006C0DC6"/>
    <w:rsid w:val="006C52B9"/>
    <w:rsid w:val="006D2C01"/>
    <w:rsid w:val="006E564B"/>
    <w:rsid w:val="006E7CEF"/>
    <w:rsid w:val="006F17B5"/>
    <w:rsid w:val="006F2413"/>
    <w:rsid w:val="00702BA6"/>
    <w:rsid w:val="0071349F"/>
    <w:rsid w:val="00717E07"/>
    <w:rsid w:val="00720DEB"/>
    <w:rsid w:val="00720E11"/>
    <w:rsid w:val="00721C1F"/>
    <w:rsid w:val="00725594"/>
    <w:rsid w:val="0072632A"/>
    <w:rsid w:val="0073084C"/>
    <w:rsid w:val="00733AAE"/>
    <w:rsid w:val="00745024"/>
    <w:rsid w:val="007503C7"/>
    <w:rsid w:val="00752BD5"/>
    <w:rsid w:val="00754EE1"/>
    <w:rsid w:val="00763C11"/>
    <w:rsid w:val="0077406B"/>
    <w:rsid w:val="007750C3"/>
    <w:rsid w:val="00781A60"/>
    <w:rsid w:val="00787C77"/>
    <w:rsid w:val="00790122"/>
    <w:rsid w:val="007A3FBD"/>
    <w:rsid w:val="007A4977"/>
    <w:rsid w:val="007B6BA5"/>
    <w:rsid w:val="007C3390"/>
    <w:rsid w:val="007C4F4B"/>
    <w:rsid w:val="007F025F"/>
    <w:rsid w:val="007F07A4"/>
    <w:rsid w:val="007F0B83"/>
    <w:rsid w:val="007F48EF"/>
    <w:rsid w:val="007F4FCD"/>
    <w:rsid w:val="007F6611"/>
    <w:rsid w:val="0081732C"/>
    <w:rsid w:val="008175E9"/>
    <w:rsid w:val="00820370"/>
    <w:rsid w:val="008242D7"/>
    <w:rsid w:val="00826EFF"/>
    <w:rsid w:val="00827E05"/>
    <w:rsid w:val="008311A3"/>
    <w:rsid w:val="00836AF7"/>
    <w:rsid w:val="0086000D"/>
    <w:rsid w:val="00865A21"/>
    <w:rsid w:val="00870D13"/>
    <w:rsid w:val="00871FD5"/>
    <w:rsid w:val="00896186"/>
    <w:rsid w:val="008979B1"/>
    <w:rsid w:val="008A6B25"/>
    <w:rsid w:val="008A6C1B"/>
    <w:rsid w:val="008A6C4F"/>
    <w:rsid w:val="008B6E26"/>
    <w:rsid w:val="008C34B0"/>
    <w:rsid w:val="008E0E46"/>
    <w:rsid w:val="008E4C4C"/>
    <w:rsid w:val="008E63D9"/>
    <w:rsid w:val="00902BF1"/>
    <w:rsid w:val="00907AD2"/>
    <w:rsid w:val="00911047"/>
    <w:rsid w:val="009134D8"/>
    <w:rsid w:val="00921DF8"/>
    <w:rsid w:val="00927FFB"/>
    <w:rsid w:val="00930308"/>
    <w:rsid w:val="00933D9F"/>
    <w:rsid w:val="00935057"/>
    <w:rsid w:val="0093545E"/>
    <w:rsid w:val="00940847"/>
    <w:rsid w:val="00951778"/>
    <w:rsid w:val="00952BE3"/>
    <w:rsid w:val="009564E3"/>
    <w:rsid w:val="00957AD6"/>
    <w:rsid w:val="009612BF"/>
    <w:rsid w:val="00963CBA"/>
    <w:rsid w:val="0096731F"/>
    <w:rsid w:val="009715EE"/>
    <w:rsid w:val="00974146"/>
    <w:rsid w:val="00974A8D"/>
    <w:rsid w:val="00974F4C"/>
    <w:rsid w:val="0098016B"/>
    <w:rsid w:val="00987072"/>
    <w:rsid w:val="0099001C"/>
    <w:rsid w:val="00991261"/>
    <w:rsid w:val="009A0D5F"/>
    <w:rsid w:val="009A23DA"/>
    <w:rsid w:val="009B55EC"/>
    <w:rsid w:val="009B71F3"/>
    <w:rsid w:val="009C31E7"/>
    <w:rsid w:val="009D0EC7"/>
    <w:rsid w:val="009D1B37"/>
    <w:rsid w:val="009E72B5"/>
    <w:rsid w:val="009E7885"/>
    <w:rsid w:val="009F3A17"/>
    <w:rsid w:val="00A103CC"/>
    <w:rsid w:val="00A1427D"/>
    <w:rsid w:val="00A1649D"/>
    <w:rsid w:val="00A3227A"/>
    <w:rsid w:val="00A429E3"/>
    <w:rsid w:val="00A52B4E"/>
    <w:rsid w:val="00A548BF"/>
    <w:rsid w:val="00A55FB2"/>
    <w:rsid w:val="00A665BE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4CB3"/>
    <w:rsid w:val="00A958C8"/>
    <w:rsid w:val="00A972A2"/>
    <w:rsid w:val="00AA332B"/>
    <w:rsid w:val="00AA496B"/>
    <w:rsid w:val="00AB3FD6"/>
    <w:rsid w:val="00AC2B6F"/>
    <w:rsid w:val="00AC35ED"/>
    <w:rsid w:val="00B10465"/>
    <w:rsid w:val="00B10CA2"/>
    <w:rsid w:val="00B30179"/>
    <w:rsid w:val="00B33EC0"/>
    <w:rsid w:val="00B5742C"/>
    <w:rsid w:val="00B81E12"/>
    <w:rsid w:val="00B83093"/>
    <w:rsid w:val="00B839A7"/>
    <w:rsid w:val="00B845D6"/>
    <w:rsid w:val="00B85329"/>
    <w:rsid w:val="00B87CF1"/>
    <w:rsid w:val="00B90C56"/>
    <w:rsid w:val="00BA515F"/>
    <w:rsid w:val="00BB6799"/>
    <w:rsid w:val="00BC3830"/>
    <w:rsid w:val="00BC74E9"/>
    <w:rsid w:val="00BD2146"/>
    <w:rsid w:val="00BE4F74"/>
    <w:rsid w:val="00BE6017"/>
    <w:rsid w:val="00BE618E"/>
    <w:rsid w:val="00C07F9E"/>
    <w:rsid w:val="00C127CB"/>
    <w:rsid w:val="00C17699"/>
    <w:rsid w:val="00C1778D"/>
    <w:rsid w:val="00C25DDD"/>
    <w:rsid w:val="00C37443"/>
    <w:rsid w:val="00C41A28"/>
    <w:rsid w:val="00C463DD"/>
    <w:rsid w:val="00C505B2"/>
    <w:rsid w:val="00C527B3"/>
    <w:rsid w:val="00C564FA"/>
    <w:rsid w:val="00C67B25"/>
    <w:rsid w:val="00C745C3"/>
    <w:rsid w:val="00C9663B"/>
    <w:rsid w:val="00CA1321"/>
    <w:rsid w:val="00CA797A"/>
    <w:rsid w:val="00CB1281"/>
    <w:rsid w:val="00CE4A8F"/>
    <w:rsid w:val="00CF2FA9"/>
    <w:rsid w:val="00D1722D"/>
    <w:rsid w:val="00D2031B"/>
    <w:rsid w:val="00D24347"/>
    <w:rsid w:val="00D25FE2"/>
    <w:rsid w:val="00D279BB"/>
    <w:rsid w:val="00D317BB"/>
    <w:rsid w:val="00D3192B"/>
    <w:rsid w:val="00D31A35"/>
    <w:rsid w:val="00D35D8F"/>
    <w:rsid w:val="00D43252"/>
    <w:rsid w:val="00D45103"/>
    <w:rsid w:val="00D63AF3"/>
    <w:rsid w:val="00D74E9A"/>
    <w:rsid w:val="00D81A2B"/>
    <w:rsid w:val="00D978C6"/>
    <w:rsid w:val="00DA3054"/>
    <w:rsid w:val="00DA67AD"/>
    <w:rsid w:val="00DB5D0F"/>
    <w:rsid w:val="00DC2272"/>
    <w:rsid w:val="00DC3156"/>
    <w:rsid w:val="00DC3242"/>
    <w:rsid w:val="00DD5F36"/>
    <w:rsid w:val="00DD6DB6"/>
    <w:rsid w:val="00DE057D"/>
    <w:rsid w:val="00DF0A29"/>
    <w:rsid w:val="00DF12F7"/>
    <w:rsid w:val="00DF2C64"/>
    <w:rsid w:val="00DF6813"/>
    <w:rsid w:val="00E027C0"/>
    <w:rsid w:val="00E02BA9"/>
    <w:rsid w:val="00E02C81"/>
    <w:rsid w:val="00E06EAB"/>
    <w:rsid w:val="00E07263"/>
    <w:rsid w:val="00E130AB"/>
    <w:rsid w:val="00E259FD"/>
    <w:rsid w:val="00E26913"/>
    <w:rsid w:val="00E329E0"/>
    <w:rsid w:val="00E61F55"/>
    <w:rsid w:val="00E64376"/>
    <w:rsid w:val="00E7260F"/>
    <w:rsid w:val="00E80F5F"/>
    <w:rsid w:val="00E828B8"/>
    <w:rsid w:val="00E87921"/>
    <w:rsid w:val="00E96630"/>
    <w:rsid w:val="00E97F8A"/>
    <w:rsid w:val="00EA264E"/>
    <w:rsid w:val="00EA2D43"/>
    <w:rsid w:val="00EA3A41"/>
    <w:rsid w:val="00EB430E"/>
    <w:rsid w:val="00EC0D2D"/>
    <w:rsid w:val="00EC3AE0"/>
    <w:rsid w:val="00EC5C86"/>
    <w:rsid w:val="00ED5C86"/>
    <w:rsid w:val="00ED7A2A"/>
    <w:rsid w:val="00EF0A24"/>
    <w:rsid w:val="00EF1D7F"/>
    <w:rsid w:val="00EF3A31"/>
    <w:rsid w:val="00EF7DEE"/>
    <w:rsid w:val="00F05659"/>
    <w:rsid w:val="00F17440"/>
    <w:rsid w:val="00F23051"/>
    <w:rsid w:val="00F244F1"/>
    <w:rsid w:val="00F31CF4"/>
    <w:rsid w:val="00F429EB"/>
    <w:rsid w:val="00F53EDA"/>
    <w:rsid w:val="00F618D8"/>
    <w:rsid w:val="00F7753D"/>
    <w:rsid w:val="00F85F34"/>
    <w:rsid w:val="00F96ABA"/>
    <w:rsid w:val="00FA06F7"/>
    <w:rsid w:val="00FA3A6F"/>
    <w:rsid w:val="00FB003B"/>
    <w:rsid w:val="00FB09F9"/>
    <w:rsid w:val="00FB171A"/>
    <w:rsid w:val="00FB48D5"/>
    <w:rsid w:val="00FC68B7"/>
    <w:rsid w:val="00FD4F7E"/>
    <w:rsid w:val="00FD7BF6"/>
    <w:rsid w:val="00FE57F9"/>
    <w:rsid w:val="00FF0A40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1FBF65F1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47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75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B908-1ADA-4612-985F-DA57FD99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14</cp:revision>
  <cp:lastPrinted>2019-06-14T13:25:00Z</cp:lastPrinted>
  <dcterms:created xsi:type="dcterms:W3CDTF">2019-11-11T13:32:00Z</dcterms:created>
  <dcterms:modified xsi:type="dcterms:W3CDTF">2019-12-10T16:15:00Z</dcterms:modified>
</cp:coreProperties>
</file>