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2A3D" w14:paraId="2DB7009F" w14:textId="77777777" w:rsidTr="000216CC">
        <w:trPr>
          <w:trHeight w:val="851"/>
        </w:trPr>
        <w:tc>
          <w:tcPr>
            <w:tcW w:w="1259" w:type="dxa"/>
            <w:tcBorders>
              <w:top w:val="nil"/>
              <w:left w:val="nil"/>
              <w:bottom w:val="single" w:sz="4" w:space="0" w:color="auto"/>
              <w:right w:val="nil"/>
            </w:tcBorders>
            <w:shd w:val="clear" w:color="auto" w:fill="auto"/>
          </w:tcPr>
          <w:p w14:paraId="53E024DD" w14:textId="77777777"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58F31C3C" w14:textId="77777777"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18EFD7F" w14:textId="77777777" w:rsidR="003003A7" w:rsidRPr="00302A3D" w:rsidRDefault="003003A7" w:rsidP="003003A7">
            <w:pPr>
              <w:jc w:val="right"/>
              <w:rPr>
                <w:b/>
                <w:sz w:val="40"/>
                <w:szCs w:val="40"/>
                <w:lang w:val="fr-FR"/>
              </w:rPr>
            </w:pPr>
            <w:r w:rsidRPr="00302A3D">
              <w:rPr>
                <w:b/>
                <w:sz w:val="40"/>
                <w:szCs w:val="40"/>
                <w:lang w:val="fr-FR"/>
              </w:rPr>
              <w:t>UN/SCETDG/</w:t>
            </w:r>
            <w:r w:rsidR="00D42C29" w:rsidRPr="00302A3D">
              <w:rPr>
                <w:b/>
                <w:sz w:val="40"/>
                <w:szCs w:val="40"/>
                <w:lang w:val="fr-FR"/>
              </w:rPr>
              <w:t>55</w:t>
            </w:r>
            <w:r w:rsidRPr="00302A3D">
              <w:rPr>
                <w:b/>
                <w:sz w:val="40"/>
                <w:szCs w:val="40"/>
                <w:lang w:val="fr-FR"/>
              </w:rPr>
              <w:t>/INF.</w:t>
            </w:r>
            <w:r w:rsidR="00F07619">
              <w:rPr>
                <w:b/>
                <w:sz w:val="40"/>
                <w:szCs w:val="40"/>
                <w:lang w:val="fr-FR"/>
              </w:rPr>
              <w:t>50</w:t>
            </w:r>
          </w:p>
          <w:p w14:paraId="659FA07D" w14:textId="77777777" w:rsidR="003003A7" w:rsidRPr="00302A3D" w:rsidRDefault="003003A7" w:rsidP="003003A7">
            <w:pPr>
              <w:jc w:val="right"/>
              <w:rPr>
                <w:b/>
                <w:sz w:val="40"/>
                <w:szCs w:val="40"/>
                <w:lang w:val="fr-FR"/>
              </w:rPr>
            </w:pPr>
            <w:r w:rsidRPr="00302A3D">
              <w:rPr>
                <w:b/>
                <w:sz w:val="40"/>
                <w:szCs w:val="40"/>
                <w:lang w:val="fr-FR"/>
              </w:rPr>
              <w:t>UN/SCEGHS/</w:t>
            </w:r>
            <w:r w:rsidR="00D42C29" w:rsidRPr="00302A3D">
              <w:rPr>
                <w:b/>
                <w:sz w:val="40"/>
                <w:szCs w:val="40"/>
                <w:lang w:val="fr-FR"/>
              </w:rPr>
              <w:t>37</w:t>
            </w:r>
            <w:r w:rsidRPr="00302A3D">
              <w:rPr>
                <w:b/>
                <w:sz w:val="40"/>
                <w:szCs w:val="40"/>
                <w:lang w:val="fr-FR"/>
              </w:rPr>
              <w:t>/INF.</w:t>
            </w:r>
            <w:r w:rsidR="00F07619">
              <w:rPr>
                <w:b/>
                <w:sz w:val="40"/>
                <w:szCs w:val="40"/>
                <w:lang w:val="fr-FR"/>
              </w:rPr>
              <w:t>18</w:t>
            </w:r>
          </w:p>
          <w:p w14:paraId="37DCD3D2" w14:textId="77777777" w:rsidR="003003A7" w:rsidRPr="00302A3D" w:rsidRDefault="003003A7" w:rsidP="003003A7">
            <w:pPr>
              <w:jc w:val="right"/>
              <w:rPr>
                <w:lang w:val="fr-FR"/>
              </w:rPr>
            </w:pPr>
          </w:p>
        </w:tc>
      </w:tr>
    </w:tbl>
    <w:p w14:paraId="609FABBA" w14:textId="77777777" w:rsidR="000019B8" w:rsidRPr="00302A3D"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302A3D" w14:paraId="59643585" w14:textId="77777777" w:rsidTr="00165735">
        <w:tc>
          <w:tcPr>
            <w:tcW w:w="9645" w:type="dxa"/>
            <w:gridSpan w:val="2"/>
            <w:tcMar>
              <w:top w:w="142" w:type="dxa"/>
              <w:left w:w="108" w:type="dxa"/>
              <w:bottom w:w="142" w:type="dxa"/>
              <w:right w:w="108" w:type="dxa"/>
            </w:tcMar>
          </w:tcPr>
          <w:p w14:paraId="688BE1D9" w14:textId="77777777" w:rsidR="00645A0B" w:rsidRPr="00302A3D" w:rsidRDefault="00645A0B" w:rsidP="007932E3">
            <w:pPr>
              <w:tabs>
                <w:tab w:val="right" w:pos="9214"/>
              </w:tabs>
            </w:pPr>
            <w:r w:rsidRPr="00302A3D">
              <w:rPr>
                <w:b/>
                <w:sz w:val="24"/>
                <w:szCs w:val="24"/>
              </w:rPr>
              <w:t>Committee of Experts on the Transport of Dangerous Goods</w:t>
            </w:r>
            <w:r w:rsidRPr="00302A3D">
              <w:rPr>
                <w:b/>
                <w:sz w:val="24"/>
                <w:szCs w:val="24"/>
              </w:rPr>
              <w:tab/>
            </w:r>
            <w:r w:rsidRPr="00302A3D">
              <w:rPr>
                <w:b/>
                <w:sz w:val="24"/>
                <w:szCs w:val="24"/>
              </w:rPr>
              <w:br/>
              <w:t>and on the Globally Harmonized System of Classification</w:t>
            </w:r>
            <w:r w:rsidRPr="00302A3D">
              <w:rPr>
                <w:b/>
                <w:sz w:val="24"/>
                <w:szCs w:val="24"/>
              </w:rPr>
              <w:br/>
              <w:t>and Labelling of Chemicals</w:t>
            </w:r>
            <w:r w:rsidRPr="00302A3D">
              <w:rPr>
                <w:b/>
              </w:rPr>
              <w:tab/>
            </w:r>
            <w:r w:rsidR="00F07619">
              <w:rPr>
                <w:b/>
              </w:rPr>
              <w:t>3 July</w:t>
            </w:r>
            <w:r w:rsidR="007932E3" w:rsidRPr="00302A3D">
              <w:rPr>
                <w:b/>
              </w:rPr>
              <w:t xml:space="preserve"> </w:t>
            </w:r>
            <w:r w:rsidR="00D42C29" w:rsidRPr="00302A3D">
              <w:rPr>
                <w:b/>
                <w:sz w:val="18"/>
                <w:szCs w:val="24"/>
              </w:rPr>
              <w:t>2019</w:t>
            </w:r>
          </w:p>
        </w:tc>
      </w:tr>
      <w:tr w:rsidR="003003A7" w:rsidRPr="00302A3D" w14:paraId="1B5C3C11" w14:textId="77777777" w:rsidTr="00165735">
        <w:tc>
          <w:tcPr>
            <w:tcW w:w="4652" w:type="dxa"/>
            <w:tcMar>
              <w:top w:w="57" w:type="dxa"/>
              <w:left w:w="108" w:type="dxa"/>
              <w:bottom w:w="0" w:type="dxa"/>
              <w:right w:w="108" w:type="dxa"/>
            </w:tcMar>
            <w:vAlign w:val="center"/>
          </w:tcPr>
          <w:p w14:paraId="74661A89" w14:textId="77777777" w:rsidR="003003A7" w:rsidRPr="00302A3D" w:rsidRDefault="003003A7" w:rsidP="003003A7">
            <w:pPr>
              <w:spacing w:before="120"/>
              <w:rPr>
                <w:b/>
              </w:rPr>
            </w:pPr>
            <w:r w:rsidRPr="00302A3D">
              <w:rPr>
                <w:b/>
              </w:rPr>
              <w:t xml:space="preserve">Sub-Committee of Experts on the </w:t>
            </w:r>
            <w:r w:rsidRPr="00302A3D">
              <w:rPr>
                <w:b/>
              </w:rPr>
              <w:br/>
              <w:t xml:space="preserve">Transport of Dangerous Goods </w:t>
            </w:r>
          </w:p>
        </w:tc>
        <w:tc>
          <w:tcPr>
            <w:tcW w:w="4993" w:type="dxa"/>
            <w:tcMar>
              <w:top w:w="57" w:type="dxa"/>
              <w:left w:w="108" w:type="dxa"/>
              <w:bottom w:w="0" w:type="dxa"/>
              <w:right w:w="108" w:type="dxa"/>
            </w:tcMar>
            <w:vAlign w:val="center"/>
          </w:tcPr>
          <w:p w14:paraId="0C14F734" w14:textId="77777777" w:rsidR="003003A7" w:rsidRPr="00302A3D" w:rsidRDefault="003003A7" w:rsidP="003003A7">
            <w:pPr>
              <w:spacing w:before="120"/>
              <w:rPr>
                <w:b/>
              </w:rPr>
            </w:pPr>
            <w:r w:rsidRPr="00302A3D">
              <w:rPr>
                <w:b/>
              </w:rPr>
              <w:t>Sub-Committee of Experts on the Globally Harmonized System of Classification and Labelling of Chemicals</w:t>
            </w:r>
          </w:p>
        </w:tc>
      </w:tr>
      <w:tr w:rsidR="003003A7" w:rsidRPr="00302A3D" w14:paraId="130111BD" w14:textId="77777777" w:rsidTr="00165735">
        <w:tc>
          <w:tcPr>
            <w:tcW w:w="4652" w:type="dxa"/>
            <w:tcMar>
              <w:top w:w="57" w:type="dxa"/>
              <w:left w:w="108" w:type="dxa"/>
              <w:bottom w:w="0" w:type="dxa"/>
              <w:right w:w="108" w:type="dxa"/>
            </w:tcMar>
          </w:tcPr>
          <w:p w14:paraId="3C79182A" w14:textId="77777777" w:rsidR="003003A7" w:rsidRPr="00302A3D" w:rsidRDefault="003003A7" w:rsidP="00D42C29">
            <w:pPr>
              <w:spacing w:before="120"/>
              <w:ind w:left="34" w:hanging="34"/>
              <w:rPr>
                <w:b/>
              </w:rPr>
            </w:pPr>
            <w:r w:rsidRPr="00302A3D">
              <w:rPr>
                <w:b/>
              </w:rPr>
              <w:t>Fifty-</w:t>
            </w:r>
            <w:r w:rsidR="00D42C29" w:rsidRPr="00302A3D">
              <w:rPr>
                <w:b/>
              </w:rPr>
              <w:t>fifth</w:t>
            </w:r>
            <w:r w:rsidRPr="00302A3D">
              <w:rPr>
                <w:b/>
              </w:rPr>
              <w:t xml:space="preserve"> session</w:t>
            </w:r>
            <w:bookmarkStart w:id="0" w:name="_GoBack"/>
            <w:bookmarkEnd w:id="0"/>
          </w:p>
        </w:tc>
        <w:tc>
          <w:tcPr>
            <w:tcW w:w="4993" w:type="dxa"/>
            <w:tcMar>
              <w:top w:w="57" w:type="dxa"/>
              <w:left w:w="108" w:type="dxa"/>
              <w:bottom w:w="0" w:type="dxa"/>
              <w:right w:w="108" w:type="dxa"/>
            </w:tcMar>
          </w:tcPr>
          <w:p w14:paraId="0CA0E1BF" w14:textId="77777777" w:rsidR="003003A7" w:rsidRPr="00302A3D" w:rsidRDefault="003003A7" w:rsidP="00D42C29">
            <w:pPr>
              <w:spacing w:before="120"/>
              <w:ind w:left="34" w:hanging="34"/>
              <w:rPr>
                <w:b/>
              </w:rPr>
            </w:pPr>
            <w:r w:rsidRPr="00302A3D">
              <w:rPr>
                <w:b/>
              </w:rPr>
              <w:t>Thirty-</w:t>
            </w:r>
            <w:r w:rsidR="00D42C29" w:rsidRPr="00302A3D">
              <w:rPr>
                <w:b/>
              </w:rPr>
              <w:t>seventh</w:t>
            </w:r>
            <w:r w:rsidRPr="00302A3D">
              <w:rPr>
                <w:b/>
              </w:rPr>
              <w:t xml:space="preserve"> session </w:t>
            </w:r>
          </w:p>
        </w:tc>
      </w:tr>
      <w:tr w:rsidR="003003A7" w:rsidRPr="000B4919" w14:paraId="683FE0D0" w14:textId="77777777" w:rsidTr="00165735">
        <w:tc>
          <w:tcPr>
            <w:tcW w:w="4652" w:type="dxa"/>
            <w:tcMar>
              <w:top w:w="28" w:type="dxa"/>
              <w:left w:w="108" w:type="dxa"/>
              <w:bottom w:w="0" w:type="dxa"/>
              <w:right w:w="108" w:type="dxa"/>
            </w:tcMar>
          </w:tcPr>
          <w:p w14:paraId="2B123FBA" w14:textId="77777777" w:rsidR="003003A7" w:rsidRPr="00302A3D" w:rsidRDefault="003003A7" w:rsidP="003003A7">
            <w:pPr>
              <w:tabs>
                <w:tab w:val="left" w:pos="6361"/>
                <w:tab w:val="left" w:pos="6939"/>
              </w:tabs>
              <w:spacing w:before="40"/>
              <w:outlineLvl w:val="0"/>
              <w:rPr>
                <w:bCs/>
              </w:rPr>
            </w:pPr>
            <w:r w:rsidRPr="00302A3D">
              <w:t xml:space="preserve">Geneva, </w:t>
            </w:r>
            <w:r w:rsidR="00E26269" w:rsidRPr="00302A3D">
              <w:t>1-5 July 2019</w:t>
            </w:r>
          </w:p>
          <w:p w14:paraId="762381A8" w14:textId="77777777" w:rsidR="003003A7" w:rsidRPr="00302A3D" w:rsidRDefault="003003A7" w:rsidP="003003A7">
            <w:pPr>
              <w:spacing w:before="40"/>
              <w:ind w:left="34" w:hanging="34"/>
            </w:pPr>
            <w:r w:rsidRPr="00302A3D">
              <w:t xml:space="preserve">Item </w:t>
            </w:r>
            <w:r w:rsidR="002F1915" w:rsidRPr="00302A3D">
              <w:t>2</w:t>
            </w:r>
            <w:r w:rsidR="006B4518" w:rsidRPr="00302A3D">
              <w:t xml:space="preserve"> (</w:t>
            </w:r>
            <w:r w:rsidR="005739EC" w:rsidRPr="00302A3D">
              <w:t>h</w:t>
            </w:r>
            <w:r w:rsidRPr="00302A3D">
              <w:t>) of the provisional agenda</w:t>
            </w:r>
          </w:p>
          <w:p w14:paraId="4B3207FC" w14:textId="77777777" w:rsidR="003003A7" w:rsidRPr="00302A3D" w:rsidRDefault="00E26269" w:rsidP="002F1915">
            <w:pPr>
              <w:spacing w:before="40"/>
              <w:rPr>
                <w:b/>
                <w:bCs/>
              </w:rPr>
            </w:pPr>
            <w:r w:rsidRPr="00302A3D">
              <w:rPr>
                <w:b/>
                <w:bCs/>
              </w:rPr>
              <w:t>E</w:t>
            </w:r>
            <w:r w:rsidR="002F1915" w:rsidRPr="00302A3D">
              <w:rPr>
                <w:b/>
                <w:bCs/>
              </w:rPr>
              <w:t>xplosives and related matters</w:t>
            </w:r>
            <w:r w:rsidRPr="00302A3D">
              <w:rPr>
                <w:b/>
                <w:bCs/>
              </w:rPr>
              <w:t>:</w:t>
            </w:r>
            <w:r w:rsidRPr="00302A3D">
              <w:rPr>
                <w:b/>
                <w:bCs/>
              </w:rPr>
              <w:br/>
              <w:t>Review of Chapter 2.1 of the GHS</w:t>
            </w:r>
          </w:p>
        </w:tc>
        <w:tc>
          <w:tcPr>
            <w:tcW w:w="4993" w:type="dxa"/>
            <w:tcMar>
              <w:top w:w="28" w:type="dxa"/>
              <w:left w:w="108" w:type="dxa"/>
              <w:bottom w:w="0" w:type="dxa"/>
              <w:right w:w="108" w:type="dxa"/>
            </w:tcMar>
          </w:tcPr>
          <w:p w14:paraId="5969356C" w14:textId="77777777" w:rsidR="003003A7" w:rsidRPr="00302A3D" w:rsidRDefault="003003A7" w:rsidP="003003A7">
            <w:pPr>
              <w:spacing w:before="40"/>
            </w:pPr>
            <w:r w:rsidRPr="00302A3D">
              <w:t xml:space="preserve">Geneva, </w:t>
            </w:r>
            <w:r w:rsidR="00E26269" w:rsidRPr="00302A3D">
              <w:t>8-10 July 2019</w:t>
            </w:r>
          </w:p>
          <w:p w14:paraId="34335923" w14:textId="77777777" w:rsidR="003003A7" w:rsidRPr="00302A3D" w:rsidRDefault="003003A7" w:rsidP="003003A7">
            <w:pPr>
              <w:spacing w:before="40"/>
            </w:pPr>
            <w:r w:rsidRPr="00302A3D">
              <w:t xml:space="preserve">Item </w:t>
            </w:r>
            <w:r w:rsidR="00E26269" w:rsidRPr="00302A3D">
              <w:t>2</w:t>
            </w:r>
            <w:r w:rsidR="006B4518" w:rsidRPr="00302A3D">
              <w:t xml:space="preserve"> (b</w:t>
            </w:r>
            <w:r w:rsidRPr="00302A3D">
              <w:t>) of the provisional agenda</w:t>
            </w:r>
          </w:p>
          <w:p w14:paraId="30EF5295" w14:textId="77777777" w:rsidR="003003A7" w:rsidRPr="006B4518" w:rsidRDefault="003003A7" w:rsidP="003003A7">
            <w:pPr>
              <w:spacing w:before="40"/>
              <w:rPr>
                <w:b/>
              </w:rPr>
            </w:pPr>
            <w:r w:rsidRPr="00302A3D">
              <w:rPr>
                <w:b/>
              </w:rPr>
              <w:t xml:space="preserve">Classification criteria and related hazard communication: </w:t>
            </w:r>
            <w:r w:rsidR="006B4518" w:rsidRPr="00302A3D">
              <w:rPr>
                <w:b/>
              </w:rPr>
              <w:t>review of Chapter 2.1</w:t>
            </w:r>
          </w:p>
        </w:tc>
      </w:tr>
    </w:tbl>
    <w:p w14:paraId="75A07EB9" w14:textId="77777777" w:rsidR="006B4518" w:rsidRPr="006B4518" w:rsidRDefault="006B4518" w:rsidP="006B4518">
      <w:pPr>
        <w:pStyle w:val="HChG"/>
      </w:pPr>
      <w:r w:rsidRPr="006B4518">
        <w:tab/>
      </w:r>
      <w:r w:rsidRPr="006B4518">
        <w:tab/>
      </w:r>
      <w:r w:rsidR="00764D34">
        <w:t>Hazard Communication</w:t>
      </w:r>
      <w:r w:rsidRPr="006B4518">
        <w:t xml:space="preserve"> in GHS Chapter 2.1 </w:t>
      </w:r>
    </w:p>
    <w:p w14:paraId="292A8661" w14:textId="77777777" w:rsidR="006B4518" w:rsidRPr="006B4518" w:rsidRDefault="006B4518" w:rsidP="006B4518">
      <w:pPr>
        <w:pStyle w:val="H1G"/>
      </w:pPr>
      <w:r w:rsidRPr="006B4518">
        <w:tab/>
      </w:r>
      <w:r w:rsidRPr="006B4518">
        <w:tab/>
        <w:t xml:space="preserve">Transmitted by the United States of America, the Institute of Makers of Explosives (IME) and the Sporting Arms and Ammunition Manufacturer’s Institute (SAAMI) </w:t>
      </w:r>
    </w:p>
    <w:p w14:paraId="5F7204CA" w14:textId="77777777" w:rsidR="00BB183E" w:rsidRPr="00D66AAF" w:rsidRDefault="00BB183E" w:rsidP="00BB183E">
      <w:pPr>
        <w:pStyle w:val="HChG"/>
        <w:ind w:left="2268"/>
        <w:rPr>
          <w:sz w:val="22"/>
        </w:rPr>
      </w:pPr>
      <w:r>
        <w:t>Introduction</w:t>
      </w:r>
    </w:p>
    <w:p w14:paraId="342E9326" w14:textId="77777777" w:rsidR="00FD0F6C" w:rsidRDefault="00BB183E" w:rsidP="002A76D3">
      <w:pPr>
        <w:pStyle w:val="SingleTxtG"/>
        <w:numPr>
          <w:ilvl w:val="0"/>
          <w:numId w:val="18"/>
        </w:numPr>
        <w:ind w:left="1134" w:firstLine="0"/>
      </w:pPr>
      <w:r>
        <w:t>The USTF notes with appreciation the proposal of</w:t>
      </w:r>
      <w:r w:rsidR="006B4518" w:rsidRPr="006B4518">
        <w:t xml:space="preserve"> </w:t>
      </w:r>
      <w:r>
        <w:t xml:space="preserve">Sweden on behalf of </w:t>
      </w:r>
      <w:r w:rsidR="006B4518" w:rsidRPr="006B4518">
        <w:t>the Informal Correspondence group (ICG)</w:t>
      </w:r>
      <w:r>
        <w:t xml:space="preserve"> for the upcoming session </w:t>
      </w:r>
      <w:r w:rsidR="002F1915">
        <w:t>(</w:t>
      </w:r>
      <w:r w:rsidRPr="00BB183E">
        <w:t>ST/SG/AC.10/C.3/2019/32-ST/SG/AC.10/C.4/2019/5</w:t>
      </w:r>
      <w:r w:rsidR="006B4518" w:rsidRPr="006B4518">
        <w:t>).</w:t>
      </w:r>
      <w:r>
        <w:t xml:space="preserve"> </w:t>
      </w:r>
      <w:r w:rsidR="00120E7B">
        <w:t>Our</w:t>
      </w:r>
      <w:r w:rsidR="00FD0F6C">
        <w:t xml:space="preserve"> paper is offered as a possible basis for starting work on the details of hazard communication in accordance with Item 2 proposed by Sweden.</w:t>
      </w:r>
      <w:r w:rsidR="005E53FE">
        <w:t xml:space="preserve"> Since we started work, we have also noted </w:t>
      </w:r>
      <w:r w:rsidR="000D379B">
        <w:t xml:space="preserve">Sweden’s discussion paper on hazard communication elements (UN/SCETDG/55/INF.20 </w:t>
      </w:r>
      <w:r w:rsidR="000D379B" w:rsidRPr="00BB183E">
        <w:t>-</w:t>
      </w:r>
      <w:r w:rsidR="000D379B">
        <w:t xml:space="preserve">  UN/SCEGHS/37INF.9</w:t>
      </w:r>
      <w:r w:rsidR="000D379B" w:rsidRPr="006B4518">
        <w:t>)</w:t>
      </w:r>
      <w:r w:rsidR="000D379B">
        <w:t>. We provide the following information for consideration to build on this work.</w:t>
      </w:r>
    </w:p>
    <w:p w14:paraId="79CFE381" w14:textId="77777777" w:rsidR="00FD0F6C" w:rsidRDefault="00FD0F6C" w:rsidP="00FD0F6C">
      <w:pPr>
        <w:pStyle w:val="HChG"/>
        <w:ind w:left="2268"/>
      </w:pPr>
      <w:r>
        <w:t>Label Elements</w:t>
      </w:r>
    </w:p>
    <w:p w14:paraId="3757CFBD" w14:textId="77777777" w:rsidR="00FD0F6C" w:rsidRDefault="00FD0F6C" w:rsidP="002A76D3">
      <w:pPr>
        <w:pStyle w:val="SingleTxtG"/>
        <w:numPr>
          <w:ilvl w:val="0"/>
          <w:numId w:val="18"/>
        </w:numPr>
        <w:ind w:left="1134" w:firstLine="0"/>
      </w:pPr>
      <w:r>
        <w:t>The current Table 2.1.2 is shown below:</w:t>
      </w:r>
    </w:p>
    <w:p w14:paraId="3EC95383" w14:textId="77777777" w:rsidR="00FD0F6C" w:rsidRDefault="00FD0F6C" w:rsidP="00480BD4">
      <w:pPr>
        <w:pStyle w:val="SingleTxtG"/>
        <w:ind w:left="990"/>
      </w:pPr>
      <w:r>
        <w:rPr>
          <w:noProof/>
          <w:lang w:val="en-US"/>
        </w:rPr>
        <w:drawing>
          <wp:inline distT="0" distB="0" distL="0" distR="0" wp14:anchorId="47CE2E4F" wp14:editId="4BD35561">
            <wp:extent cx="5163541" cy="1964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2019-05-19-at-8.51.02-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6346" cy="1977403"/>
                    </a:xfrm>
                    <a:prstGeom prst="rect">
                      <a:avLst/>
                    </a:prstGeom>
                  </pic:spPr>
                </pic:pic>
              </a:graphicData>
            </a:graphic>
          </wp:inline>
        </w:drawing>
      </w:r>
      <w:r w:rsidR="009F7CD7">
        <w:br/>
      </w:r>
    </w:p>
    <w:p w14:paraId="4C9597DD" w14:textId="77777777" w:rsidR="00E9352B" w:rsidRDefault="00223316" w:rsidP="002A76D3">
      <w:pPr>
        <w:pStyle w:val="SingleTxtG"/>
        <w:numPr>
          <w:ilvl w:val="0"/>
          <w:numId w:val="18"/>
        </w:numPr>
        <w:ind w:left="1134" w:firstLine="0"/>
      </w:pPr>
      <w:r>
        <w:lastRenderedPageBreak/>
        <w:t xml:space="preserve">We agree with Sweden </w:t>
      </w:r>
      <w:r w:rsidR="009F7CD7" w:rsidRPr="00BB183E">
        <w:t>that finding agreeable hazard communication elements for the subcategories within Category 2 should not pose too much difficulty</w:t>
      </w:r>
      <w:r w:rsidR="009F7CD7">
        <w:t xml:space="preserve">. We propose the following table to replace Table 2.1.2 as a basis for discussion and to identify any concerns of the Sub-Committee. </w:t>
      </w:r>
    </w:p>
    <w:tbl>
      <w:tblPr>
        <w:tblStyle w:val="TableGrid"/>
        <w:tblpPr w:leftFromText="180" w:rightFromText="180" w:vertAnchor="text" w:horzAnchor="page" w:tblpX="2302" w:tblpY="67"/>
        <w:tblW w:w="0" w:type="auto"/>
        <w:tblLook w:val="04A0" w:firstRow="1" w:lastRow="0" w:firstColumn="1" w:lastColumn="0" w:noHBand="0" w:noVBand="1"/>
      </w:tblPr>
      <w:tblGrid>
        <w:gridCol w:w="1162"/>
        <w:gridCol w:w="1620"/>
        <w:gridCol w:w="1530"/>
        <w:gridCol w:w="1983"/>
        <w:gridCol w:w="1707"/>
      </w:tblGrid>
      <w:tr w:rsidR="00480BD4" w14:paraId="09018D7A" w14:textId="77777777" w:rsidTr="00480BD4">
        <w:tc>
          <w:tcPr>
            <w:tcW w:w="1162" w:type="dxa"/>
            <w:vMerge w:val="restart"/>
          </w:tcPr>
          <w:p w14:paraId="21EFD9DF" w14:textId="77777777" w:rsidR="009F7CD7" w:rsidRPr="00FD0F6C" w:rsidRDefault="009F7CD7" w:rsidP="00CE4B82">
            <w:pPr>
              <w:rPr>
                <w:sz w:val="16"/>
                <w:szCs w:val="16"/>
                <w:lang w:val="x-none"/>
              </w:rPr>
            </w:pPr>
          </w:p>
        </w:tc>
        <w:tc>
          <w:tcPr>
            <w:tcW w:w="1620" w:type="dxa"/>
            <w:vMerge w:val="restart"/>
          </w:tcPr>
          <w:p w14:paraId="0985F8A9" w14:textId="77777777" w:rsidR="009F7CD7" w:rsidRPr="00FD0F6C" w:rsidRDefault="009F7CD7" w:rsidP="00CE4B82">
            <w:pPr>
              <w:jc w:val="center"/>
              <w:rPr>
                <w:b/>
                <w:sz w:val="16"/>
                <w:szCs w:val="16"/>
                <w:lang w:val="x-none"/>
              </w:rPr>
            </w:pPr>
            <w:r w:rsidRPr="00FD0F6C">
              <w:rPr>
                <w:b/>
                <w:sz w:val="16"/>
                <w:szCs w:val="16"/>
                <w:lang w:val="x-none"/>
              </w:rPr>
              <w:t>Category 1</w:t>
            </w:r>
          </w:p>
        </w:tc>
        <w:tc>
          <w:tcPr>
            <w:tcW w:w="5220" w:type="dxa"/>
            <w:gridSpan w:val="3"/>
          </w:tcPr>
          <w:p w14:paraId="73A12B28" w14:textId="77777777" w:rsidR="009F7CD7" w:rsidRPr="00FD0F6C" w:rsidRDefault="009F7CD7" w:rsidP="00CE4B82">
            <w:pPr>
              <w:jc w:val="center"/>
              <w:rPr>
                <w:b/>
                <w:sz w:val="16"/>
                <w:szCs w:val="16"/>
                <w:lang w:val="x-none"/>
              </w:rPr>
            </w:pPr>
            <w:r w:rsidRPr="00FD0F6C">
              <w:rPr>
                <w:b/>
                <w:sz w:val="16"/>
                <w:szCs w:val="16"/>
                <w:lang w:val="x-none"/>
              </w:rPr>
              <w:t>Category 2</w:t>
            </w:r>
          </w:p>
        </w:tc>
      </w:tr>
      <w:tr w:rsidR="00480BD4" w14:paraId="4A4C3DCA" w14:textId="77777777" w:rsidTr="004B692E">
        <w:trPr>
          <w:trHeight w:val="260"/>
        </w:trPr>
        <w:tc>
          <w:tcPr>
            <w:tcW w:w="1162" w:type="dxa"/>
            <w:vMerge/>
          </w:tcPr>
          <w:p w14:paraId="1B9D432F" w14:textId="77777777" w:rsidR="009F7CD7" w:rsidRPr="00FD0F6C" w:rsidRDefault="009F7CD7" w:rsidP="00CE4B82">
            <w:pPr>
              <w:rPr>
                <w:sz w:val="16"/>
                <w:szCs w:val="16"/>
                <w:lang w:val="x-none"/>
              </w:rPr>
            </w:pPr>
          </w:p>
        </w:tc>
        <w:tc>
          <w:tcPr>
            <w:tcW w:w="1620" w:type="dxa"/>
            <w:vMerge/>
          </w:tcPr>
          <w:p w14:paraId="7B272EF3" w14:textId="77777777" w:rsidR="009F7CD7" w:rsidRPr="00FD0F6C" w:rsidRDefault="009F7CD7" w:rsidP="00CE4B82">
            <w:pPr>
              <w:jc w:val="center"/>
              <w:rPr>
                <w:b/>
                <w:sz w:val="16"/>
                <w:szCs w:val="16"/>
                <w:lang w:val="x-none"/>
              </w:rPr>
            </w:pPr>
          </w:p>
        </w:tc>
        <w:tc>
          <w:tcPr>
            <w:tcW w:w="1530" w:type="dxa"/>
          </w:tcPr>
          <w:p w14:paraId="2941080E" w14:textId="77777777" w:rsidR="009F7CD7" w:rsidRPr="00FD0F6C" w:rsidRDefault="009F7CD7" w:rsidP="00CE4B82">
            <w:pPr>
              <w:jc w:val="center"/>
              <w:rPr>
                <w:b/>
                <w:sz w:val="16"/>
                <w:szCs w:val="16"/>
                <w:lang w:val="x-none"/>
              </w:rPr>
            </w:pPr>
            <w:r w:rsidRPr="00FD0F6C">
              <w:rPr>
                <w:b/>
                <w:sz w:val="16"/>
                <w:szCs w:val="16"/>
                <w:lang w:val="x-none"/>
              </w:rPr>
              <w:t>Sub-Category 2A</w:t>
            </w:r>
          </w:p>
        </w:tc>
        <w:tc>
          <w:tcPr>
            <w:tcW w:w="1983" w:type="dxa"/>
          </w:tcPr>
          <w:p w14:paraId="3EDECA97" w14:textId="77777777" w:rsidR="009F7CD7" w:rsidRPr="00FD0F6C" w:rsidRDefault="009F7CD7" w:rsidP="00CE4B82">
            <w:pPr>
              <w:jc w:val="center"/>
              <w:rPr>
                <w:b/>
                <w:sz w:val="16"/>
                <w:szCs w:val="16"/>
                <w:lang w:val="x-none"/>
              </w:rPr>
            </w:pPr>
            <w:r w:rsidRPr="00FD0F6C">
              <w:rPr>
                <w:b/>
                <w:sz w:val="16"/>
                <w:szCs w:val="16"/>
                <w:lang w:val="x-none"/>
              </w:rPr>
              <w:t>Sub-Category 2B</w:t>
            </w:r>
          </w:p>
        </w:tc>
        <w:tc>
          <w:tcPr>
            <w:tcW w:w="1707" w:type="dxa"/>
          </w:tcPr>
          <w:p w14:paraId="040EE3F7" w14:textId="77777777" w:rsidR="009F7CD7" w:rsidRPr="00FD0F6C" w:rsidRDefault="009F7CD7" w:rsidP="00CE4B82">
            <w:pPr>
              <w:jc w:val="center"/>
              <w:rPr>
                <w:b/>
                <w:sz w:val="16"/>
                <w:szCs w:val="16"/>
                <w:lang w:val="x-none"/>
              </w:rPr>
            </w:pPr>
            <w:r w:rsidRPr="00FD0F6C">
              <w:rPr>
                <w:b/>
                <w:sz w:val="16"/>
                <w:szCs w:val="16"/>
                <w:lang w:val="x-none"/>
              </w:rPr>
              <w:t>Sub-Category 2C</w:t>
            </w:r>
          </w:p>
        </w:tc>
      </w:tr>
      <w:tr w:rsidR="00480BD4" w14:paraId="35D841B5" w14:textId="77777777" w:rsidTr="004B692E">
        <w:tc>
          <w:tcPr>
            <w:tcW w:w="1162" w:type="dxa"/>
          </w:tcPr>
          <w:p w14:paraId="69EB5E06" w14:textId="77777777" w:rsidR="009F7CD7" w:rsidRPr="00FD0F6C" w:rsidRDefault="009F7CD7" w:rsidP="00CE4B82">
            <w:pPr>
              <w:rPr>
                <w:b/>
                <w:sz w:val="16"/>
                <w:szCs w:val="16"/>
                <w:lang w:val="x-none"/>
              </w:rPr>
            </w:pPr>
            <w:r w:rsidRPr="00FD0F6C">
              <w:rPr>
                <w:b/>
                <w:sz w:val="16"/>
                <w:szCs w:val="16"/>
                <w:lang w:val="x-none"/>
              </w:rPr>
              <w:t>Symbol</w:t>
            </w:r>
          </w:p>
        </w:tc>
        <w:tc>
          <w:tcPr>
            <w:tcW w:w="1620" w:type="dxa"/>
          </w:tcPr>
          <w:p w14:paraId="0582FEC0" w14:textId="77777777" w:rsidR="009F7CD7" w:rsidRPr="00FD0F6C" w:rsidRDefault="009F7CD7" w:rsidP="00CE4B82">
            <w:pPr>
              <w:jc w:val="center"/>
              <w:rPr>
                <w:sz w:val="16"/>
                <w:szCs w:val="16"/>
                <w:lang w:val="x-none"/>
              </w:rPr>
            </w:pPr>
            <w:r w:rsidRPr="00FD0F6C">
              <w:rPr>
                <w:sz w:val="16"/>
                <w:szCs w:val="16"/>
                <w:lang w:val="x-none"/>
              </w:rPr>
              <w:t>Exploding bomb</w:t>
            </w:r>
          </w:p>
        </w:tc>
        <w:tc>
          <w:tcPr>
            <w:tcW w:w="1530" w:type="dxa"/>
          </w:tcPr>
          <w:p w14:paraId="0D73B4D0" w14:textId="77777777" w:rsidR="009F7CD7" w:rsidRPr="00FD0F6C" w:rsidRDefault="009F7CD7" w:rsidP="00CE4B82">
            <w:pPr>
              <w:jc w:val="center"/>
              <w:rPr>
                <w:sz w:val="16"/>
                <w:szCs w:val="16"/>
                <w:lang w:val="x-none"/>
              </w:rPr>
            </w:pPr>
            <w:r w:rsidRPr="00FD0F6C">
              <w:rPr>
                <w:sz w:val="16"/>
                <w:szCs w:val="16"/>
                <w:lang w:val="x-none"/>
              </w:rPr>
              <w:t>Exploding bomb</w:t>
            </w:r>
          </w:p>
        </w:tc>
        <w:tc>
          <w:tcPr>
            <w:tcW w:w="1983" w:type="dxa"/>
          </w:tcPr>
          <w:p w14:paraId="2AEC57B8" w14:textId="77777777" w:rsidR="009F7CD7" w:rsidRDefault="009F7CD7" w:rsidP="00CE4B82">
            <w:pPr>
              <w:jc w:val="center"/>
              <w:rPr>
                <w:sz w:val="16"/>
                <w:szCs w:val="16"/>
                <w:lang w:val="x-none"/>
              </w:rPr>
            </w:pPr>
            <w:r w:rsidRPr="00FD0F6C">
              <w:rPr>
                <w:sz w:val="16"/>
                <w:szCs w:val="16"/>
                <w:lang w:val="x-none"/>
              </w:rPr>
              <w:t>Exploding bomb</w:t>
            </w:r>
            <w:r w:rsidR="00B64FDB">
              <w:rPr>
                <w:sz w:val="16"/>
                <w:szCs w:val="16"/>
                <w:lang w:val="x-none"/>
              </w:rPr>
              <w:t>;</w:t>
            </w:r>
          </w:p>
          <w:p w14:paraId="47EE049C" w14:textId="77777777" w:rsidR="00B64FDB" w:rsidRDefault="00B64FDB" w:rsidP="00CE4B82">
            <w:pPr>
              <w:jc w:val="center"/>
              <w:rPr>
                <w:sz w:val="16"/>
                <w:szCs w:val="16"/>
                <w:lang w:val="x-none"/>
              </w:rPr>
            </w:pPr>
          </w:p>
          <w:p w14:paraId="1133BB8D" w14:textId="77777777" w:rsidR="00B64FDB" w:rsidRPr="00BF5205" w:rsidRDefault="00B64FDB" w:rsidP="00CE4B82">
            <w:pPr>
              <w:jc w:val="center"/>
              <w:rPr>
                <w:sz w:val="16"/>
                <w:szCs w:val="16"/>
                <w:lang w:val="en-US"/>
              </w:rPr>
            </w:pPr>
          </w:p>
        </w:tc>
        <w:tc>
          <w:tcPr>
            <w:tcW w:w="1707" w:type="dxa"/>
          </w:tcPr>
          <w:p w14:paraId="08AED2C3" w14:textId="77777777" w:rsidR="009F7CD7" w:rsidRPr="00FD0F6C" w:rsidRDefault="009F7CD7" w:rsidP="00CE4B82">
            <w:pPr>
              <w:jc w:val="center"/>
              <w:rPr>
                <w:i/>
                <w:sz w:val="16"/>
                <w:szCs w:val="16"/>
                <w:lang w:val="x-none"/>
              </w:rPr>
            </w:pPr>
            <w:r w:rsidRPr="00FD0F6C">
              <w:rPr>
                <w:i/>
                <w:sz w:val="16"/>
                <w:szCs w:val="16"/>
                <w:lang w:val="x-none"/>
              </w:rPr>
              <w:t>No symbol</w:t>
            </w:r>
          </w:p>
        </w:tc>
      </w:tr>
      <w:tr w:rsidR="00480BD4" w14:paraId="72793DA1" w14:textId="77777777" w:rsidTr="004B692E">
        <w:tc>
          <w:tcPr>
            <w:tcW w:w="1162" w:type="dxa"/>
          </w:tcPr>
          <w:p w14:paraId="445D7F71" w14:textId="77777777" w:rsidR="009F7CD7" w:rsidRPr="00FD0F6C" w:rsidRDefault="009F7CD7" w:rsidP="00CE4B82">
            <w:pPr>
              <w:rPr>
                <w:b/>
                <w:sz w:val="16"/>
                <w:szCs w:val="16"/>
                <w:lang w:val="x-none"/>
              </w:rPr>
            </w:pPr>
            <w:r w:rsidRPr="00FD0F6C">
              <w:rPr>
                <w:b/>
                <w:sz w:val="16"/>
                <w:szCs w:val="16"/>
                <w:lang w:val="x-none"/>
              </w:rPr>
              <w:t>Signal word</w:t>
            </w:r>
          </w:p>
        </w:tc>
        <w:tc>
          <w:tcPr>
            <w:tcW w:w="1620" w:type="dxa"/>
          </w:tcPr>
          <w:p w14:paraId="51EEDEDA" w14:textId="77777777" w:rsidR="009F7CD7" w:rsidRPr="00FD0F6C" w:rsidRDefault="009F7CD7" w:rsidP="00CE4B82">
            <w:pPr>
              <w:jc w:val="center"/>
              <w:rPr>
                <w:sz w:val="16"/>
                <w:szCs w:val="16"/>
                <w:lang w:val="x-none"/>
              </w:rPr>
            </w:pPr>
            <w:r w:rsidRPr="00FD0F6C">
              <w:rPr>
                <w:sz w:val="16"/>
                <w:szCs w:val="16"/>
                <w:lang w:val="x-none"/>
              </w:rPr>
              <w:t>Danger</w:t>
            </w:r>
          </w:p>
        </w:tc>
        <w:tc>
          <w:tcPr>
            <w:tcW w:w="1530" w:type="dxa"/>
          </w:tcPr>
          <w:p w14:paraId="53E83200" w14:textId="77777777" w:rsidR="009F7CD7" w:rsidRPr="00FD0F6C" w:rsidRDefault="009F7CD7" w:rsidP="00CE4B82">
            <w:pPr>
              <w:jc w:val="center"/>
              <w:rPr>
                <w:sz w:val="16"/>
                <w:szCs w:val="16"/>
                <w:lang w:val="x-none"/>
              </w:rPr>
            </w:pPr>
            <w:r w:rsidRPr="00FD0F6C">
              <w:rPr>
                <w:sz w:val="16"/>
                <w:szCs w:val="16"/>
                <w:lang w:val="x-none"/>
              </w:rPr>
              <w:t>Danger</w:t>
            </w:r>
          </w:p>
        </w:tc>
        <w:tc>
          <w:tcPr>
            <w:tcW w:w="1983" w:type="dxa"/>
          </w:tcPr>
          <w:p w14:paraId="0DD31DEB" w14:textId="77777777" w:rsidR="009F7CD7" w:rsidRPr="00FD0F6C" w:rsidRDefault="009F7CD7" w:rsidP="00CE4B82">
            <w:pPr>
              <w:jc w:val="center"/>
              <w:rPr>
                <w:sz w:val="16"/>
                <w:szCs w:val="16"/>
                <w:lang w:val="x-none"/>
              </w:rPr>
            </w:pPr>
            <w:r w:rsidRPr="00FD0F6C">
              <w:rPr>
                <w:sz w:val="16"/>
                <w:szCs w:val="16"/>
                <w:lang w:val="x-none"/>
              </w:rPr>
              <w:t>Warning</w:t>
            </w:r>
          </w:p>
        </w:tc>
        <w:tc>
          <w:tcPr>
            <w:tcW w:w="1707" w:type="dxa"/>
          </w:tcPr>
          <w:p w14:paraId="772F73C5" w14:textId="77777777" w:rsidR="009F7CD7" w:rsidRPr="00FD0F6C" w:rsidRDefault="009F7CD7" w:rsidP="00CE4B82">
            <w:pPr>
              <w:jc w:val="center"/>
              <w:rPr>
                <w:sz w:val="16"/>
                <w:szCs w:val="16"/>
                <w:lang w:val="x-none"/>
              </w:rPr>
            </w:pPr>
            <w:r w:rsidRPr="00FD0F6C">
              <w:rPr>
                <w:sz w:val="16"/>
                <w:szCs w:val="16"/>
                <w:lang w:val="x-none"/>
              </w:rPr>
              <w:t>Warning</w:t>
            </w:r>
          </w:p>
        </w:tc>
      </w:tr>
      <w:tr w:rsidR="00480BD4" w14:paraId="770C128E" w14:textId="77777777" w:rsidTr="004B692E">
        <w:tc>
          <w:tcPr>
            <w:tcW w:w="1162" w:type="dxa"/>
          </w:tcPr>
          <w:p w14:paraId="303E4D70" w14:textId="77777777" w:rsidR="009F7CD7" w:rsidRPr="00FD0F6C" w:rsidRDefault="009F7CD7" w:rsidP="00CE4B82">
            <w:pPr>
              <w:rPr>
                <w:b/>
                <w:sz w:val="16"/>
                <w:szCs w:val="16"/>
                <w:lang w:val="x-none"/>
              </w:rPr>
            </w:pPr>
            <w:r w:rsidRPr="00FD0F6C">
              <w:rPr>
                <w:b/>
                <w:sz w:val="16"/>
                <w:szCs w:val="16"/>
                <w:lang w:val="x-none"/>
              </w:rPr>
              <w:t>Hazard statement</w:t>
            </w:r>
          </w:p>
        </w:tc>
        <w:tc>
          <w:tcPr>
            <w:tcW w:w="1620" w:type="dxa"/>
          </w:tcPr>
          <w:p w14:paraId="612D9694" w14:textId="77777777" w:rsidR="009F7CD7" w:rsidRPr="00FD0F6C" w:rsidRDefault="009F7CD7" w:rsidP="00CE4B82">
            <w:pPr>
              <w:jc w:val="center"/>
              <w:rPr>
                <w:sz w:val="16"/>
                <w:szCs w:val="16"/>
                <w:lang w:val="x-none"/>
              </w:rPr>
            </w:pPr>
            <w:r w:rsidRPr="00FD0F6C">
              <w:rPr>
                <w:sz w:val="16"/>
                <w:szCs w:val="16"/>
                <w:lang w:val="x-none"/>
              </w:rPr>
              <w:t xml:space="preserve">[Explosive. </w:t>
            </w:r>
            <w:r w:rsidR="002A3510">
              <w:rPr>
                <w:sz w:val="16"/>
                <w:szCs w:val="16"/>
                <w:lang w:val="x-none"/>
              </w:rPr>
              <w:t xml:space="preserve">May be sensitive. </w:t>
            </w:r>
            <w:r w:rsidRPr="00FD0F6C">
              <w:rPr>
                <w:sz w:val="16"/>
                <w:szCs w:val="16"/>
                <w:lang w:val="x-none"/>
              </w:rPr>
              <w:t>Use special precautions.]</w:t>
            </w:r>
          </w:p>
        </w:tc>
        <w:tc>
          <w:tcPr>
            <w:tcW w:w="1530" w:type="dxa"/>
          </w:tcPr>
          <w:p w14:paraId="2CF6A440" w14:textId="77777777" w:rsidR="009F7CD7" w:rsidRPr="00FD0F6C" w:rsidRDefault="009F7CD7" w:rsidP="00CE4B82">
            <w:pPr>
              <w:jc w:val="center"/>
              <w:rPr>
                <w:sz w:val="16"/>
                <w:szCs w:val="16"/>
                <w:lang w:val="x-none"/>
              </w:rPr>
            </w:pPr>
            <w:r w:rsidRPr="00FD0F6C">
              <w:rPr>
                <w:sz w:val="16"/>
                <w:szCs w:val="16"/>
                <w:lang w:val="x-none"/>
              </w:rPr>
              <w:t xml:space="preserve">Explosive </w:t>
            </w:r>
          </w:p>
        </w:tc>
        <w:tc>
          <w:tcPr>
            <w:tcW w:w="1983" w:type="dxa"/>
          </w:tcPr>
          <w:p w14:paraId="0D080817" w14:textId="77777777" w:rsidR="009F7CD7" w:rsidRPr="00FD0F6C" w:rsidRDefault="009F7CD7" w:rsidP="00CE4B82">
            <w:pPr>
              <w:jc w:val="center"/>
              <w:rPr>
                <w:sz w:val="16"/>
                <w:szCs w:val="16"/>
                <w:lang w:val="x-none"/>
              </w:rPr>
            </w:pPr>
            <w:r w:rsidRPr="00FD0F6C">
              <w:rPr>
                <w:sz w:val="16"/>
                <w:szCs w:val="16"/>
                <w:lang w:val="x-none"/>
              </w:rPr>
              <w:t>Fire or projection hazard</w:t>
            </w:r>
          </w:p>
        </w:tc>
        <w:tc>
          <w:tcPr>
            <w:tcW w:w="1707" w:type="dxa"/>
          </w:tcPr>
          <w:p w14:paraId="082B0FDC" w14:textId="77777777" w:rsidR="009F7CD7" w:rsidRPr="00FD0F6C" w:rsidRDefault="009F7CD7" w:rsidP="00CE4B82">
            <w:pPr>
              <w:jc w:val="center"/>
              <w:rPr>
                <w:sz w:val="16"/>
                <w:szCs w:val="16"/>
                <w:lang w:val="x-none"/>
              </w:rPr>
            </w:pPr>
            <w:r w:rsidRPr="00FD0F6C">
              <w:rPr>
                <w:sz w:val="16"/>
                <w:szCs w:val="16"/>
                <w:lang w:val="x-none"/>
              </w:rPr>
              <w:t>Fire or projection hazard</w:t>
            </w:r>
          </w:p>
        </w:tc>
      </w:tr>
    </w:tbl>
    <w:p w14:paraId="2530D529" w14:textId="77777777" w:rsidR="002E5CF2" w:rsidRDefault="002E5CF2" w:rsidP="00F54BAB">
      <w:pPr>
        <w:pStyle w:val="SingleTxtG"/>
        <w:numPr>
          <w:ilvl w:val="0"/>
          <w:numId w:val="18"/>
        </w:numPr>
        <w:spacing w:before="240"/>
        <w:ind w:left="1134" w:firstLine="0"/>
      </w:pPr>
      <w:r>
        <w:t xml:space="preserve">Note that for Category 1, </w:t>
      </w:r>
      <w:r w:rsidRPr="00E9352B">
        <w:t>explosives of dynamic or unknown hazard and sensitivity</w:t>
      </w:r>
      <w:r>
        <w:t xml:space="preserve"> may be encountered in an unpackaged state in </w:t>
      </w:r>
      <w:r w:rsidR="00073FC6">
        <w:t xml:space="preserve">manufacturing </w:t>
      </w:r>
      <w:r>
        <w:t>processing equipment</w:t>
      </w:r>
      <w:r w:rsidR="00073FC6">
        <w:t>,</w:t>
      </w:r>
      <w:r>
        <w:t xml:space="preserve"> </w:t>
      </w:r>
      <w:r w:rsidRPr="00E9352B">
        <w:t>assembly</w:t>
      </w:r>
      <w:r w:rsidR="00073FC6">
        <w:t xml:space="preserve"> or decommissioning (hereafter referred to as “processing”)</w:t>
      </w:r>
      <w:r>
        <w:t xml:space="preserve">. The intrinsic hazard of potential explosivity should be communicated, but not a specific level of hazard, as the hazard and probability of accidental functioning are variable depending on </w:t>
      </w:r>
      <w:r w:rsidR="007F4FEF">
        <w:t xml:space="preserve">the quantity and </w:t>
      </w:r>
      <w:r>
        <w:t>circumstances exterior to the explosive</w:t>
      </w:r>
      <w:r w:rsidRPr="0070691D">
        <w:t>.</w:t>
      </w:r>
    </w:p>
    <w:p w14:paraId="5D6E5E3C" w14:textId="77777777" w:rsidR="00ED15C1" w:rsidRPr="00F669F0" w:rsidRDefault="005042BC" w:rsidP="00270A21">
      <w:pPr>
        <w:pStyle w:val="SingleTxtG"/>
        <w:numPr>
          <w:ilvl w:val="0"/>
          <w:numId w:val="18"/>
        </w:numPr>
        <w:ind w:left="1134" w:firstLine="0"/>
      </w:pPr>
      <w:r>
        <w:t>Per the discussions of the ICG, we anticipate the c</w:t>
      </w:r>
      <w:r w:rsidR="00ED6586">
        <w:t>reation of</w:t>
      </w:r>
      <w:r>
        <w:t xml:space="preserve"> new hazard statement</w:t>
      </w:r>
      <w:r w:rsidR="001D7B26">
        <w:t>s</w:t>
      </w:r>
      <w:r>
        <w:t xml:space="preserve"> for Category 1 (previously “unstable explosives”) and have inserted a placeholder and possible solution in square brackets – “Explosive. </w:t>
      </w:r>
      <w:r w:rsidR="00954F3C" w:rsidRPr="00C81810">
        <w:t>May be sensitive / Sensitive, according to Test Series 3 or 4</w:t>
      </w:r>
      <w:r w:rsidR="002A3510">
        <w:t xml:space="preserve">. </w:t>
      </w:r>
      <w:r>
        <w:t>Use special precautions”</w:t>
      </w:r>
      <w:r w:rsidR="00954F3C">
        <w:t xml:space="preserve">. </w:t>
      </w:r>
      <w:r>
        <w:t xml:space="preserve"> </w:t>
      </w:r>
      <w:r w:rsidR="00ED15C1">
        <w:t xml:space="preserve">In some </w:t>
      </w:r>
      <w:r w:rsidR="00073FC6">
        <w:t xml:space="preserve">Category 1 </w:t>
      </w:r>
      <w:r w:rsidR="00954F3C">
        <w:t>scenarios</w:t>
      </w:r>
      <w:r w:rsidR="00ED15C1">
        <w:t xml:space="preserve"> </w:t>
      </w:r>
      <w:r w:rsidR="00073FC6">
        <w:t xml:space="preserve">the hazard </w:t>
      </w:r>
      <w:r w:rsidR="00ED15C1">
        <w:t xml:space="preserve">may not be communicated on a label (e.g., while in </w:t>
      </w:r>
      <w:r w:rsidR="00073FC6">
        <w:t>processing</w:t>
      </w:r>
      <w:r w:rsidR="00ED15C1">
        <w:t xml:space="preserve">, see </w:t>
      </w:r>
      <w:r w:rsidR="00ED15C1" w:rsidRPr="00F669F0">
        <w:t>GHS 1.4.10.5.5.1). </w:t>
      </w:r>
      <w:r w:rsidR="00073FC6">
        <w:t>Thus t</w:t>
      </w:r>
      <w:r w:rsidR="00ED15C1">
        <w:t>he</w:t>
      </w:r>
      <w:r w:rsidR="00ED15C1" w:rsidRPr="00F669F0">
        <w:t xml:space="preserve"> </w:t>
      </w:r>
      <w:r w:rsidR="00ED15C1">
        <w:t xml:space="preserve">SDS for a hazardous chemical during processing is particularly </w:t>
      </w:r>
      <w:r w:rsidR="00ED15C1" w:rsidRPr="00F669F0">
        <w:t xml:space="preserve">important. </w:t>
      </w:r>
    </w:p>
    <w:p w14:paraId="6E22038E" w14:textId="77777777" w:rsidR="00777C27" w:rsidRDefault="00777C27" w:rsidP="005042BC">
      <w:pPr>
        <w:pStyle w:val="SingleTxtG"/>
        <w:numPr>
          <w:ilvl w:val="0"/>
          <w:numId w:val="18"/>
        </w:numPr>
        <w:ind w:left="1134" w:firstLine="0"/>
      </w:pPr>
      <w:r>
        <w:t xml:space="preserve">Sweden’s paper on hazard communication elements (UN/SCETDG/55/INF.20 </w:t>
      </w:r>
      <w:r w:rsidRPr="00BB183E">
        <w:t>-</w:t>
      </w:r>
      <w:r>
        <w:t xml:space="preserve">  UN/SCEGHS/37INF.9</w:t>
      </w:r>
      <w:r w:rsidRPr="006B4518">
        <w:t>)</w:t>
      </w:r>
      <w:r>
        <w:t xml:space="preserve"> provides information on the possibility of special communications for Categor</w:t>
      </w:r>
      <w:r w:rsidR="00A60B3E">
        <w:t>ies</w:t>
      </w:r>
      <w:r>
        <w:t xml:space="preserve"> 1</w:t>
      </w:r>
      <w:r w:rsidR="00A60B3E">
        <w:t xml:space="preserve"> and 2</w:t>
      </w:r>
      <w:r>
        <w:t xml:space="preserve">. We </w:t>
      </w:r>
      <w:r w:rsidR="00486DA4">
        <w:t xml:space="preserve">concur with this need, and </w:t>
      </w:r>
      <w:r>
        <w:t>provide additional insight as follows.</w:t>
      </w:r>
    </w:p>
    <w:p w14:paraId="29EF3DAC" w14:textId="77777777" w:rsidR="00777C27" w:rsidRDefault="00F54BAB" w:rsidP="00F54BAB">
      <w:pPr>
        <w:pStyle w:val="SingleTxtG"/>
        <w:ind w:left="1701"/>
      </w:pPr>
      <w:r>
        <w:tab/>
      </w:r>
      <w:r>
        <w:rPr>
          <w:lang w:val="fr-CH"/>
        </w:rPr>
        <w:t>(a)</w:t>
      </w:r>
      <w:r>
        <w:tab/>
      </w:r>
      <w:r w:rsidR="00A60B3E">
        <w:t>For Category 1, t</w:t>
      </w:r>
      <w:r w:rsidR="00777C27">
        <w:t xml:space="preserve">here has been a desire to capture data obtained from Test Series 3 and 4. </w:t>
      </w:r>
      <w:r w:rsidR="00486DA4">
        <w:t>While</w:t>
      </w:r>
      <w:r w:rsidR="00777C27">
        <w:t xml:space="preserve"> these tests are </w:t>
      </w:r>
      <w:r w:rsidR="00486DA4">
        <w:t>not always</w:t>
      </w:r>
      <w:r w:rsidR="00777C27">
        <w:t xml:space="preserve"> performed previous to classification into a </w:t>
      </w:r>
      <w:r w:rsidR="00777C27" w:rsidRPr="00F54BAB">
        <w:t>division</w:t>
      </w:r>
      <w:r w:rsidR="00777C27">
        <w:t xml:space="preserve"> for transport</w:t>
      </w:r>
      <w:r w:rsidR="00486DA4">
        <w:t xml:space="preserve"> and placing on the market</w:t>
      </w:r>
      <w:r w:rsidR="00777C27">
        <w:t>, we sympath</w:t>
      </w:r>
      <w:r w:rsidR="00486DA4">
        <w:t xml:space="preserve">ize with the desire to capture data </w:t>
      </w:r>
      <w:r w:rsidR="00DC5EF6">
        <w:t>indicating heighten</w:t>
      </w:r>
      <w:r w:rsidR="00777C27">
        <w:t xml:space="preserve">ed sensitivity. </w:t>
      </w:r>
      <w:r w:rsidR="00A201E8">
        <w:t xml:space="preserve"> We suggest including this </w:t>
      </w:r>
      <w:r w:rsidR="00DC5EF6">
        <w:t>information</w:t>
      </w:r>
      <w:r w:rsidR="00A201E8">
        <w:t>, with the following caveats:</w:t>
      </w:r>
    </w:p>
    <w:p w14:paraId="5A1DB64A" w14:textId="77777777" w:rsidR="00777C27" w:rsidRPr="00747C8C" w:rsidRDefault="00747C8C" w:rsidP="00747C8C">
      <w:pPr>
        <w:pStyle w:val="SingleTxtG"/>
        <w:ind w:left="2268"/>
      </w:pPr>
      <w:r>
        <w:tab/>
      </w:r>
      <w:r>
        <w:rPr>
          <w:lang w:val="fr-CH"/>
        </w:rPr>
        <w:t>(i)</w:t>
      </w:r>
      <w:r>
        <w:tab/>
      </w:r>
      <w:r w:rsidR="00777C27" w:rsidRPr="00747C8C">
        <w:t xml:space="preserve">In capturing these results, it should be remembered that for unpackaged explosives, safety is based on the various energies found in </w:t>
      </w:r>
      <w:proofErr w:type="gramStart"/>
      <w:r w:rsidR="00777C27" w:rsidRPr="00747C8C">
        <w:t>a</w:t>
      </w:r>
      <w:proofErr w:type="gramEnd"/>
      <w:r w:rsidR="00777C27" w:rsidRPr="00747C8C">
        <w:t xml:space="preserve"> process. In a particular process, Test Series 3 and 4 are no</w:t>
      </w:r>
      <w:r w:rsidR="002254D7" w:rsidRPr="00747C8C">
        <w:t xml:space="preserve">t necessarily indicative of the probability </w:t>
      </w:r>
      <w:r w:rsidR="00777C27" w:rsidRPr="00747C8C">
        <w:t xml:space="preserve">of an event. </w:t>
      </w:r>
      <w:r w:rsidR="002254D7" w:rsidRPr="00747C8C">
        <w:t xml:space="preserve">An explosive with passing results may pose a high probability of initiation in certain </w:t>
      </w:r>
      <w:r w:rsidR="00777C27" w:rsidRPr="00747C8C">
        <w:t xml:space="preserve"> </w:t>
      </w:r>
      <w:r w:rsidR="002254D7" w:rsidRPr="00747C8C">
        <w:t>processes</w:t>
      </w:r>
      <w:r w:rsidR="002B3254" w:rsidRPr="00747C8C">
        <w:t xml:space="preserve"> to which the explosives will be exposed</w:t>
      </w:r>
      <w:r w:rsidR="002254D7" w:rsidRPr="00747C8C">
        <w:t xml:space="preserve">. </w:t>
      </w:r>
    </w:p>
    <w:p w14:paraId="40E727AC" w14:textId="77777777" w:rsidR="00031437" w:rsidRPr="00747C8C" w:rsidRDefault="00747C8C" w:rsidP="00747C8C">
      <w:pPr>
        <w:pStyle w:val="SingleTxtG"/>
        <w:ind w:left="2268"/>
      </w:pPr>
      <w:r>
        <w:tab/>
      </w:r>
      <w:r>
        <w:rPr>
          <w:lang w:val="fr-CH"/>
        </w:rPr>
        <w:t>(ii)</w:t>
      </w:r>
      <w:r>
        <w:tab/>
      </w:r>
      <w:r w:rsidR="00031437" w:rsidRPr="00747C8C">
        <w:t xml:space="preserve">TS3 and 4 assess initiation energies </w:t>
      </w:r>
      <w:r w:rsidR="000C28CA" w:rsidRPr="00747C8C">
        <w:t xml:space="preserve">which may be encountered in transport. A passing result in these tests, does not mean that </w:t>
      </w:r>
      <w:r w:rsidR="00912BA7" w:rsidRPr="00747C8C">
        <w:t>an unpackaged</w:t>
      </w:r>
      <w:r w:rsidR="000C28CA" w:rsidRPr="00747C8C">
        <w:t xml:space="preserve"> explosive will be </w:t>
      </w:r>
      <w:r w:rsidR="00912BA7" w:rsidRPr="00747C8C">
        <w:t>non-reac</w:t>
      </w:r>
      <w:r w:rsidR="0049304E" w:rsidRPr="00747C8C">
        <w:t>t</w:t>
      </w:r>
      <w:r w:rsidR="00912BA7" w:rsidRPr="00747C8C">
        <w:t>ive to</w:t>
      </w:r>
      <w:r w:rsidR="002451FB" w:rsidRPr="00747C8C">
        <w:t xml:space="preserve"> energy levels</w:t>
      </w:r>
      <w:r w:rsidR="00912BA7" w:rsidRPr="00747C8C">
        <w:t xml:space="preserve"> encountered during processing, which exceed normal transport stimuli and don’t have the benefit of packaging protection. For example, energies in grinding operations may exceed the pass/fail transport energy levels used in the commonly used BAM impact and friction test equipment</w:t>
      </w:r>
      <w:r w:rsidR="000C28CA" w:rsidRPr="00747C8C">
        <w:t>.</w:t>
      </w:r>
    </w:p>
    <w:p w14:paraId="7EE9D5CF" w14:textId="77777777" w:rsidR="002254D7" w:rsidRPr="00747C8C" w:rsidRDefault="00747C8C" w:rsidP="00747C8C">
      <w:pPr>
        <w:pStyle w:val="SingleTxtG"/>
        <w:ind w:left="2268"/>
      </w:pPr>
      <w:r>
        <w:tab/>
      </w:r>
      <w:r>
        <w:rPr>
          <w:lang w:val="fr-CH"/>
        </w:rPr>
        <w:t>(iii)</w:t>
      </w:r>
      <w:r>
        <w:tab/>
      </w:r>
      <w:r w:rsidR="002254D7" w:rsidRPr="00747C8C">
        <w:t xml:space="preserve">Test Series 3 and 4 do not assess all initiation scenarios, for example electrostatic discharge (ESD) sensitivity. Different ignition sensitivities may </w:t>
      </w:r>
      <w:r w:rsidR="002254D7" w:rsidRPr="00747C8C">
        <w:lastRenderedPageBreak/>
        <w:t xml:space="preserve">vary disparately from each other in an explosive, i.e. good thermal stability does not indicate </w:t>
      </w:r>
      <w:r w:rsidR="00486DA4" w:rsidRPr="00747C8C">
        <w:t>a similar safety factor for</w:t>
      </w:r>
      <w:r w:rsidR="002254D7" w:rsidRPr="00747C8C">
        <w:t xml:space="preserve"> friction, impact or ESD</w:t>
      </w:r>
      <w:r w:rsidR="00486DA4" w:rsidRPr="00747C8C">
        <w:t xml:space="preserve"> initiation</w:t>
      </w:r>
      <w:r w:rsidR="002254D7" w:rsidRPr="00747C8C">
        <w:t>.</w:t>
      </w:r>
    </w:p>
    <w:p w14:paraId="6BBC6EB7" w14:textId="77777777" w:rsidR="00FC7A90" w:rsidRPr="00747C8C" w:rsidRDefault="00747C8C" w:rsidP="00747C8C">
      <w:pPr>
        <w:pStyle w:val="SingleTxtG"/>
        <w:ind w:left="2268"/>
      </w:pPr>
      <w:r>
        <w:tab/>
      </w:r>
      <w:r>
        <w:rPr>
          <w:lang w:val="fr-CH"/>
        </w:rPr>
        <w:t>(iv)</w:t>
      </w:r>
      <w:r>
        <w:tab/>
      </w:r>
      <w:r w:rsidR="00FC7A90" w:rsidRPr="00747C8C">
        <w:t xml:space="preserve">Therefore these test results should be caveated that they are an indicator of additional hazard, but absence of test failures does not provide a basis for assuming a certain level of safety in engineering design or procedural controls, and </w:t>
      </w:r>
      <w:r w:rsidR="00F4268E" w:rsidRPr="00747C8C">
        <w:t>such a basis</w:t>
      </w:r>
      <w:r w:rsidR="00FC7A90" w:rsidRPr="00747C8C">
        <w:t xml:space="preserve"> could be dangerous.</w:t>
      </w:r>
    </w:p>
    <w:p w14:paraId="36F060E3" w14:textId="77777777" w:rsidR="00B879B1" w:rsidRDefault="00B879B1" w:rsidP="00747C8C">
      <w:pPr>
        <w:pStyle w:val="SingleTxtG"/>
        <w:ind w:left="2268"/>
      </w:pPr>
      <w:r>
        <w:t xml:space="preserve">We suggest a </w:t>
      </w:r>
      <w:r w:rsidRPr="00747C8C">
        <w:t>new</w:t>
      </w:r>
      <w:r>
        <w:t xml:space="preserve"> hazard statement </w:t>
      </w:r>
      <w:r w:rsidRPr="00B879B1">
        <w:t>[H2XX:      May be sensitive / Sensitive, according to Test Series 3 or 4]</w:t>
      </w:r>
      <w:r>
        <w:t>. One or the other phrase would be used, not both.</w:t>
      </w:r>
      <w:r w:rsidR="00C519E2">
        <w:t xml:space="preserve"> An explosive may still be </w:t>
      </w:r>
      <w:r w:rsidR="00F4268E">
        <w:t>subject to accidental initiation</w:t>
      </w:r>
      <w:r w:rsidR="00C519E2">
        <w:t xml:space="preserve"> in processing even if it passes Test Series 3 or 4.</w:t>
      </w:r>
    </w:p>
    <w:p w14:paraId="3EC1A86D" w14:textId="77777777" w:rsidR="00A60B3E" w:rsidRPr="00B879B1" w:rsidRDefault="00747C8C" w:rsidP="00747C8C">
      <w:pPr>
        <w:pStyle w:val="SingleTxtG"/>
        <w:ind w:left="1701"/>
      </w:pPr>
      <w:r>
        <w:tab/>
      </w:r>
      <w:r>
        <w:rPr>
          <w:lang w:val="fr-CH"/>
        </w:rPr>
        <w:t>(b)</w:t>
      </w:r>
      <w:r>
        <w:tab/>
      </w:r>
      <w:r w:rsidR="00A60B3E">
        <w:t xml:space="preserve">Also for Category 1, one sector protected by GHS is the workplace, including processing which is not part of the supply sector. In the workplace, unpackaged explosives in processing are intentionally subjected to impact, friction or elevated temperatures, for example, pulverization in a hammer or corning mill. We believe that a suitable warning would be to follow the special precautions normally required for these operations. For this purpose we suggest the hazard statement </w:t>
      </w:r>
      <w:r w:rsidR="00A60B3E" w:rsidRPr="00B879B1">
        <w:t>[H2YY:       Use Special Precautions]</w:t>
      </w:r>
    </w:p>
    <w:p w14:paraId="26672DC6" w14:textId="77777777" w:rsidR="002254D7" w:rsidRDefault="00747C8C" w:rsidP="00747C8C">
      <w:pPr>
        <w:pStyle w:val="SingleTxtG"/>
        <w:ind w:left="1701"/>
      </w:pPr>
      <w:r>
        <w:tab/>
      </w:r>
      <w:r>
        <w:rPr>
          <w:lang w:val="fr-CH"/>
        </w:rPr>
        <w:t>(c)</w:t>
      </w:r>
      <w:r>
        <w:tab/>
      </w:r>
      <w:r w:rsidR="00A60B3E">
        <w:t>For Category 2, t</w:t>
      </w:r>
      <w:r w:rsidR="002254D7">
        <w:t>here has been a desire to communicate the division classification. We believe this could be done</w:t>
      </w:r>
      <w:r w:rsidR="001057AB">
        <w:t xml:space="preserve"> for Category 2 explosives, </w:t>
      </w:r>
      <w:r w:rsidR="002254D7">
        <w:t>but should be suitably caveated</w:t>
      </w:r>
      <w:r w:rsidR="000863FA">
        <w:t xml:space="preserve">, e.g., </w:t>
      </w:r>
      <w:r w:rsidR="00753344">
        <w:t>“</w:t>
      </w:r>
      <w:r w:rsidR="000863FA" w:rsidRPr="00A201E8">
        <w:t>H</w:t>
      </w:r>
      <w:r w:rsidR="00DA1EB9">
        <w:t xml:space="preserve">2ZZ: </w:t>
      </w:r>
      <w:r w:rsidR="000863FA" w:rsidRPr="00A201E8">
        <w:t>Division 1.X</w:t>
      </w:r>
      <w:r w:rsidR="000863FA">
        <w:t xml:space="preserve"> as configured for transport</w:t>
      </w:r>
      <w:r w:rsidR="00753344">
        <w:t>”</w:t>
      </w:r>
      <w:r w:rsidR="002254D7">
        <w:t>.</w:t>
      </w:r>
      <w:r w:rsidR="000863FA">
        <w:t xml:space="preserve"> </w:t>
      </w:r>
      <w:r w:rsidR="00B879B1">
        <w:t xml:space="preserve">The “1.X” would be replaced by 1.1, 1.2, 1.3, 1.4, 1.4S, 1.5 or 1.6. </w:t>
      </w:r>
      <w:r w:rsidR="00A02C71">
        <w:t>Optionally, this could be incorporated in a precautionary statement. Either way, t</w:t>
      </w:r>
      <w:r w:rsidR="000863FA">
        <w:t>his would accommodate the division information while being mindful of the following facts:</w:t>
      </w:r>
    </w:p>
    <w:p w14:paraId="5F53C60A" w14:textId="77777777" w:rsidR="002254D7" w:rsidRPr="00747C8C" w:rsidRDefault="00747C8C" w:rsidP="00747C8C">
      <w:pPr>
        <w:pStyle w:val="SingleTxtG"/>
        <w:ind w:left="2268"/>
      </w:pPr>
      <w:r>
        <w:tab/>
      </w:r>
      <w:r>
        <w:rPr>
          <w:lang w:val="fr-CH"/>
        </w:rPr>
        <w:t>(i)</w:t>
      </w:r>
      <w:r>
        <w:tab/>
      </w:r>
      <w:r w:rsidR="002254D7" w:rsidRPr="00747C8C">
        <w:t xml:space="preserve">The division classification appears on the </w:t>
      </w:r>
      <w:r w:rsidR="000863FA" w:rsidRPr="00747C8C">
        <w:t>outermost layer of packaging only</w:t>
      </w:r>
      <w:r w:rsidR="002254D7" w:rsidRPr="00747C8C">
        <w:t xml:space="preserve">. </w:t>
      </w:r>
      <w:r w:rsidR="00486DA4" w:rsidRPr="00747C8C">
        <w:t>Storage and supply requirements m</w:t>
      </w:r>
      <w:r w:rsidR="00DA1EB9" w:rsidRPr="00747C8C">
        <w:t>ay be based on this information</w:t>
      </w:r>
      <w:r w:rsidR="002254D7" w:rsidRPr="00747C8C">
        <w:t xml:space="preserve">. The GHS label will appear on the inner packaging, and in some jurisdictions is also placed on intermediate </w:t>
      </w:r>
      <w:proofErr w:type="spellStart"/>
      <w:r w:rsidR="002254D7" w:rsidRPr="00747C8C">
        <w:t>packagings</w:t>
      </w:r>
      <w:proofErr w:type="spellEnd"/>
      <w:r w:rsidR="000863FA" w:rsidRPr="00747C8C">
        <w:t>, but not on the outer packaging unless there is only one layer</w:t>
      </w:r>
      <w:r w:rsidR="002254D7" w:rsidRPr="00747C8C">
        <w:t>.</w:t>
      </w:r>
    </w:p>
    <w:p w14:paraId="2BE167EB" w14:textId="77777777" w:rsidR="00D83AF1" w:rsidRPr="00747C8C" w:rsidRDefault="00747C8C" w:rsidP="00747C8C">
      <w:pPr>
        <w:pStyle w:val="SingleTxtG"/>
        <w:ind w:left="2268"/>
      </w:pPr>
      <w:r>
        <w:tab/>
      </w:r>
      <w:r>
        <w:rPr>
          <w:lang w:val="fr-CH"/>
        </w:rPr>
        <w:t>(ii)</w:t>
      </w:r>
      <w:r>
        <w:tab/>
      </w:r>
      <w:r w:rsidR="002254D7" w:rsidRPr="00747C8C">
        <w:t xml:space="preserve">A main purpose of this programme of work has been to identify </w:t>
      </w:r>
      <w:r w:rsidR="00DB604E" w:rsidRPr="00747C8C">
        <w:t>if</w:t>
      </w:r>
      <w:r w:rsidR="002254D7" w:rsidRPr="00747C8C">
        <w:t xml:space="preserve"> </w:t>
      </w:r>
      <w:r w:rsidR="00753344" w:rsidRPr="00747C8C">
        <w:t xml:space="preserve">the </w:t>
      </w:r>
      <w:r w:rsidR="002254D7" w:rsidRPr="00747C8C">
        <w:t xml:space="preserve">explosive hazard increases when packaging is </w:t>
      </w:r>
      <w:r w:rsidR="00653E36" w:rsidRPr="00747C8C">
        <w:t xml:space="preserve">partially </w:t>
      </w:r>
      <w:r w:rsidR="002254D7" w:rsidRPr="00747C8C">
        <w:t>removed. The division is accurate as long as the full configurati</w:t>
      </w:r>
      <w:r w:rsidR="00DB604E" w:rsidRPr="00747C8C">
        <w:t>on as presented for classificati</w:t>
      </w:r>
      <w:r w:rsidR="002254D7" w:rsidRPr="00747C8C">
        <w:t>on is retained. However, communication of the division in a GHS label</w:t>
      </w:r>
      <w:r w:rsidR="00486DA4" w:rsidRPr="00747C8C">
        <w:t>,</w:t>
      </w:r>
      <w:r w:rsidR="002254D7" w:rsidRPr="00747C8C">
        <w:t xml:space="preserve"> on packaging which by </w:t>
      </w:r>
      <w:r w:rsidR="00D83AF1" w:rsidRPr="00747C8C">
        <w:t>default will only be seen when packaging has been removed</w:t>
      </w:r>
      <w:r w:rsidR="00486DA4" w:rsidRPr="00747C8C">
        <w:t>,</w:t>
      </w:r>
      <w:r w:rsidR="00D83AF1" w:rsidRPr="00747C8C">
        <w:t xml:space="preserve"> is problematic</w:t>
      </w:r>
      <w:r w:rsidR="00DB604E" w:rsidRPr="00747C8C">
        <w:t xml:space="preserve">, </w:t>
      </w:r>
      <w:r w:rsidR="00753344" w:rsidRPr="00747C8C">
        <w:t>or is</w:t>
      </w:r>
      <w:r w:rsidR="00DB604E" w:rsidRPr="00747C8C">
        <w:t xml:space="preserve"> redundant if there is only one layer</w:t>
      </w:r>
      <w:r w:rsidR="00D83AF1" w:rsidRPr="00747C8C">
        <w:t xml:space="preserve">. </w:t>
      </w:r>
    </w:p>
    <w:p w14:paraId="015C66A3" w14:textId="77777777" w:rsidR="00C81810" w:rsidRDefault="00753344" w:rsidP="005042BC">
      <w:pPr>
        <w:pStyle w:val="SingleTxtG"/>
        <w:numPr>
          <w:ilvl w:val="0"/>
          <w:numId w:val="18"/>
        </w:numPr>
        <w:ind w:left="1134" w:firstLine="0"/>
      </w:pPr>
      <w:r>
        <w:t>To address the</w:t>
      </w:r>
      <w:r w:rsidR="00C81810">
        <w:t xml:space="preserve"> endpoints desired, we offer the following hazard statements used in combination:</w:t>
      </w:r>
    </w:p>
    <w:p w14:paraId="50DA1A89" w14:textId="77777777" w:rsidR="007D1339" w:rsidRDefault="007D1339" w:rsidP="007D1339">
      <w:pPr>
        <w:pStyle w:val="SingleTxtG"/>
        <w:numPr>
          <w:ilvl w:val="1"/>
          <w:numId w:val="18"/>
        </w:numPr>
      </w:pPr>
      <w:r>
        <w:t>For Category 1:</w:t>
      </w:r>
    </w:p>
    <w:p w14:paraId="5A38D0C3" w14:textId="77777777" w:rsidR="00C81810" w:rsidRPr="00C81810" w:rsidRDefault="00C81810" w:rsidP="007D1339">
      <w:pPr>
        <w:pStyle w:val="ListParagraph"/>
        <w:numPr>
          <w:ilvl w:val="0"/>
          <w:numId w:val="26"/>
        </w:numPr>
        <w:ind w:left="2610"/>
        <w:rPr>
          <w:sz w:val="20"/>
          <w:szCs w:val="20"/>
          <w:lang w:val="x-none"/>
        </w:rPr>
      </w:pPr>
      <w:r w:rsidRPr="00C81810">
        <w:rPr>
          <w:sz w:val="20"/>
          <w:szCs w:val="20"/>
          <w:lang w:val="x-none"/>
        </w:rPr>
        <w:t>[H2</w:t>
      </w:r>
      <w:r w:rsidR="00A201E8">
        <w:rPr>
          <w:sz w:val="20"/>
          <w:szCs w:val="20"/>
          <w:lang w:val="x-none"/>
        </w:rPr>
        <w:t xml:space="preserve">WW:    </w:t>
      </w:r>
      <w:r w:rsidR="00A201E8">
        <w:rPr>
          <w:sz w:val="20"/>
          <w:szCs w:val="20"/>
          <w:lang w:val="x-none"/>
        </w:rPr>
        <w:tab/>
      </w:r>
      <w:r w:rsidRPr="00C81810">
        <w:rPr>
          <w:sz w:val="20"/>
          <w:szCs w:val="20"/>
          <w:lang w:val="x-none"/>
        </w:rPr>
        <w:t>Explosive]</w:t>
      </w:r>
    </w:p>
    <w:p w14:paraId="50ADA9B9" w14:textId="77777777" w:rsidR="00C81810" w:rsidRPr="00C81810" w:rsidRDefault="00C81810" w:rsidP="00747C8C">
      <w:pPr>
        <w:pStyle w:val="ListParagraph"/>
        <w:numPr>
          <w:ilvl w:val="0"/>
          <w:numId w:val="26"/>
        </w:numPr>
        <w:ind w:left="2610" w:right="1275"/>
        <w:rPr>
          <w:sz w:val="20"/>
          <w:szCs w:val="20"/>
          <w:lang w:val="x-none"/>
        </w:rPr>
      </w:pPr>
      <w:r w:rsidRPr="00C81810">
        <w:rPr>
          <w:sz w:val="20"/>
          <w:szCs w:val="20"/>
          <w:lang w:val="x-none"/>
        </w:rPr>
        <w:t>[H2</w:t>
      </w:r>
      <w:r w:rsidR="00A201E8">
        <w:rPr>
          <w:sz w:val="20"/>
          <w:szCs w:val="20"/>
          <w:lang w:val="x-none"/>
        </w:rPr>
        <w:t>XX</w:t>
      </w:r>
      <w:r w:rsidRPr="00C81810">
        <w:rPr>
          <w:sz w:val="20"/>
          <w:szCs w:val="20"/>
          <w:lang w:val="x-none"/>
        </w:rPr>
        <w:t xml:space="preserve">:      </w:t>
      </w:r>
      <w:r w:rsidR="00A201E8">
        <w:rPr>
          <w:sz w:val="20"/>
          <w:szCs w:val="20"/>
          <w:lang w:val="x-none"/>
        </w:rPr>
        <w:tab/>
      </w:r>
      <w:r w:rsidRPr="00C81810">
        <w:rPr>
          <w:sz w:val="20"/>
          <w:szCs w:val="20"/>
          <w:lang w:val="x-none"/>
        </w:rPr>
        <w:t xml:space="preserve">May be sensitive / Sensitive, according to Test Series 3 </w:t>
      </w:r>
      <w:r w:rsidR="00747C8C">
        <w:rPr>
          <w:sz w:val="20"/>
          <w:szCs w:val="20"/>
          <w:lang w:val="x-none"/>
        </w:rPr>
        <w:tab/>
      </w:r>
      <w:r w:rsidR="00747C8C">
        <w:rPr>
          <w:sz w:val="20"/>
          <w:szCs w:val="20"/>
          <w:lang w:val="x-none"/>
        </w:rPr>
        <w:tab/>
      </w:r>
      <w:r w:rsidR="00747C8C">
        <w:rPr>
          <w:sz w:val="20"/>
          <w:szCs w:val="20"/>
          <w:lang w:val="x-none"/>
        </w:rPr>
        <w:tab/>
      </w:r>
      <w:r w:rsidRPr="00C81810">
        <w:rPr>
          <w:sz w:val="20"/>
          <w:szCs w:val="20"/>
          <w:lang w:val="x-none"/>
        </w:rPr>
        <w:t>or 4]</w:t>
      </w:r>
    </w:p>
    <w:p w14:paraId="3154F2BA" w14:textId="77777777" w:rsidR="00C81810" w:rsidRDefault="00C81810" w:rsidP="007D1339">
      <w:pPr>
        <w:pStyle w:val="ListParagraph"/>
        <w:numPr>
          <w:ilvl w:val="0"/>
          <w:numId w:val="26"/>
        </w:numPr>
        <w:ind w:left="2610"/>
        <w:rPr>
          <w:sz w:val="20"/>
          <w:szCs w:val="20"/>
          <w:lang w:val="x-none"/>
        </w:rPr>
      </w:pPr>
      <w:r w:rsidRPr="00A201E8">
        <w:rPr>
          <w:sz w:val="20"/>
          <w:szCs w:val="20"/>
          <w:lang w:val="x-none"/>
        </w:rPr>
        <w:t>[H2</w:t>
      </w:r>
      <w:r w:rsidR="00A201E8" w:rsidRPr="00A201E8">
        <w:rPr>
          <w:sz w:val="20"/>
          <w:szCs w:val="20"/>
          <w:lang w:val="x-none"/>
        </w:rPr>
        <w:t>YY</w:t>
      </w:r>
      <w:r w:rsidR="00A201E8">
        <w:rPr>
          <w:sz w:val="20"/>
          <w:szCs w:val="20"/>
          <w:lang w:val="x-none"/>
        </w:rPr>
        <w:t xml:space="preserve">:      </w:t>
      </w:r>
      <w:r w:rsidR="00A201E8">
        <w:rPr>
          <w:sz w:val="20"/>
          <w:szCs w:val="20"/>
          <w:lang w:val="x-none"/>
        </w:rPr>
        <w:tab/>
      </w:r>
      <w:r w:rsidRPr="00A201E8">
        <w:rPr>
          <w:sz w:val="20"/>
          <w:szCs w:val="20"/>
          <w:lang w:val="x-none"/>
        </w:rPr>
        <w:t>Use special precautions]</w:t>
      </w:r>
    </w:p>
    <w:p w14:paraId="22F09F37" w14:textId="77777777" w:rsidR="00A60B3E" w:rsidRPr="00A60B3E" w:rsidRDefault="00A60B3E" w:rsidP="00747C8C">
      <w:pPr>
        <w:pStyle w:val="SingleTxtG"/>
        <w:numPr>
          <w:ilvl w:val="1"/>
          <w:numId w:val="18"/>
        </w:numPr>
        <w:spacing w:before="240"/>
        <w:ind w:left="2211" w:hanging="357"/>
        <w:jc w:val="left"/>
      </w:pPr>
      <w:r>
        <w:t>For Category 2, we suggest the following additional hazard statem</w:t>
      </w:r>
      <w:r w:rsidR="007D1339">
        <w:t xml:space="preserve">ent (or </w:t>
      </w:r>
      <w:r w:rsidR="007D1339">
        <w:br/>
        <w:t>precautionary statement):</w:t>
      </w:r>
    </w:p>
    <w:p w14:paraId="0418CC10" w14:textId="77777777" w:rsidR="00A201E8" w:rsidRPr="00A60B3E" w:rsidRDefault="00A201E8" w:rsidP="007D1339">
      <w:pPr>
        <w:pStyle w:val="ListParagraph"/>
        <w:numPr>
          <w:ilvl w:val="0"/>
          <w:numId w:val="26"/>
        </w:numPr>
        <w:ind w:left="2610"/>
        <w:rPr>
          <w:sz w:val="20"/>
          <w:szCs w:val="20"/>
          <w:lang w:val="x-none"/>
        </w:rPr>
      </w:pPr>
      <w:r w:rsidRPr="00A60B3E">
        <w:rPr>
          <w:sz w:val="20"/>
          <w:szCs w:val="20"/>
          <w:lang w:val="x-none"/>
        </w:rPr>
        <w:t>[H2ZZ:</w:t>
      </w:r>
      <w:r w:rsidRPr="00A60B3E">
        <w:rPr>
          <w:sz w:val="20"/>
          <w:szCs w:val="20"/>
          <w:lang w:val="x-none"/>
        </w:rPr>
        <w:tab/>
        <w:t>Division 1.X as configured for transport]</w:t>
      </w:r>
    </w:p>
    <w:p w14:paraId="46593570" w14:textId="77777777" w:rsidR="00747C8C" w:rsidRDefault="00747C8C">
      <w:pPr>
        <w:suppressAutoHyphens w:val="0"/>
        <w:spacing w:line="240" w:lineRule="auto"/>
        <w:rPr>
          <w:lang w:val="x-none"/>
        </w:rPr>
      </w:pPr>
      <w:r>
        <w:br w:type="page"/>
      </w:r>
    </w:p>
    <w:p w14:paraId="6763E94B" w14:textId="77777777" w:rsidR="005042BC" w:rsidRDefault="005371B2" w:rsidP="00747C8C">
      <w:pPr>
        <w:pStyle w:val="SingleTxtG"/>
        <w:numPr>
          <w:ilvl w:val="0"/>
          <w:numId w:val="18"/>
        </w:numPr>
        <w:spacing w:before="240"/>
        <w:ind w:left="1134" w:firstLine="0"/>
      </w:pPr>
      <w:r>
        <w:lastRenderedPageBreak/>
        <w:t xml:space="preserve">For Category 2 in Table 2.1.2, </w:t>
      </w:r>
      <w:r w:rsidR="005042BC">
        <w:t xml:space="preserve">Sub-category 2A </w:t>
      </w:r>
      <w:r>
        <w:t>would mirror</w:t>
      </w:r>
      <w:r w:rsidR="005042BC">
        <w:t xml:space="preserve"> the current approach of Divisions 1.1, 1.2 and 1.3, but with the hazard statement condensed to “Explosive” (please note that Divisions 1.5 and 1.6 present similar hazards and have been included in the sub-category). Sub-category 2B </w:t>
      </w:r>
      <w:r>
        <w:t>would retain</w:t>
      </w:r>
      <w:r w:rsidR="005042BC">
        <w:t xml:space="preserve"> the current approach for Division 1.4. Sub-category 2C is proposed for discussion using the approach of Sub-category 2</w:t>
      </w:r>
      <w:r w:rsidR="00276E3C">
        <w:t>B</w:t>
      </w:r>
      <w:r w:rsidR="005042BC">
        <w:t xml:space="preserve">, but with no symbol. </w:t>
      </w:r>
    </w:p>
    <w:p w14:paraId="7EF9D9C1" w14:textId="77777777" w:rsidR="00EC2937" w:rsidRDefault="00637558" w:rsidP="002A76D3">
      <w:pPr>
        <w:pStyle w:val="SingleTxtG"/>
        <w:numPr>
          <w:ilvl w:val="0"/>
          <w:numId w:val="18"/>
        </w:numPr>
        <w:ind w:left="1134" w:firstLine="0"/>
      </w:pPr>
      <w:r>
        <w:t xml:space="preserve">Note 1 under the </w:t>
      </w:r>
      <w:r w:rsidR="007B5E15">
        <w:rPr>
          <w:lang w:val="en-US"/>
        </w:rPr>
        <w:t xml:space="preserve">current </w:t>
      </w:r>
      <w:r w:rsidR="00FD5349">
        <w:t xml:space="preserve">Table 2.1.2 </w:t>
      </w:r>
      <w:r>
        <w:t>concerning repackaged explosi</w:t>
      </w:r>
      <w:r w:rsidR="005C6B5A">
        <w:t>v</w:t>
      </w:r>
      <w:r>
        <w:t xml:space="preserve">es </w:t>
      </w:r>
      <w:r w:rsidR="005371B2">
        <w:t>dealt with issues that resulted in the current rewrite of</w:t>
      </w:r>
      <w:r>
        <w:t xml:space="preserve"> the chapter. and has been obviated by the new classification system. It would be deleted</w:t>
      </w:r>
      <w:r w:rsidR="00FD5349">
        <w:t xml:space="preserve"> in a revised GHS Chapter 2.1</w:t>
      </w:r>
      <w:r>
        <w:t xml:space="preserve">. </w:t>
      </w:r>
    </w:p>
    <w:p w14:paraId="5223B673" w14:textId="77777777" w:rsidR="009F7CD7" w:rsidRDefault="00637558" w:rsidP="002A76D3">
      <w:pPr>
        <w:pStyle w:val="SingleTxtG"/>
        <w:numPr>
          <w:ilvl w:val="0"/>
          <w:numId w:val="18"/>
        </w:numPr>
        <w:ind w:left="1134" w:firstLine="0"/>
      </w:pPr>
      <w:r>
        <w:t>The existing Note 2 wo</w:t>
      </w:r>
      <w:r w:rsidR="00C14E41">
        <w:t>u</w:t>
      </w:r>
      <w:r>
        <w:t>ld be retained and complemented with an additional note</w:t>
      </w:r>
      <w:r w:rsidR="005371B2">
        <w:t>, or a merged version</w:t>
      </w:r>
      <w:r>
        <w:t xml:space="preserve">. </w:t>
      </w:r>
      <w:r w:rsidR="00CE4B82">
        <w:t xml:space="preserve">In our proposal </w:t>
      </w:r>
      <w:r w:rsidR="00BC5FC4">
        <w:t>for a new</w:t>
      </w:r>
      <w:r w:rsidR="00CE4B82">
        <w:t xml:space="preserve"> classification system, we avoided the creation of a Category 3 that would have </w:t>
      </w:r>
      <w:r w:rsidR="00F5723F">
        <w:t>contained explosives which leave Class 1 for transport but still could present explosive hazards. We wish to retain some information in the safety data sheet</w:t>
      </w:r>
      <w:r w:rsidR="00FD5349">
        <w:t xml:space="preserve"> for these situations</w:t>
      </w:r>
      <w:r w:rsidR="00E9352B">
        <w:t>.</w:t>
      </w:r>
      <w:r w:rsidR="00F5723F">
        <w:t xml:space="preserve"> </w:t>
      </w:r>
      <w:r w:rsidR="00FD5349">
        <w:t>The new note would be</w:t>
      </w:r>
      <w:r w:rsidR="00F5723F">
        <w:t xml:space="preserve"> similar to the </w:t>
      </w:r>
      <w:r w:rsidR="00447440">
        <w:t>current</w:t>
      </w:r>
      <w:r w:rsidR="00F5723F">
        <w:t xml:space="preserve"> note 2 which covers unintentional explosives leaving the class which no longer present explosive hazards. </w:t>
      </w:r>
      <w:r w:rsidR="00FD5349">
        <w:t>It</w:t>
      </w:r>
      <w:r w:rsidR="00F5723F">
        <w:t xml:space="preserve"> would cover intentional explosives which have exited the class of explosives but still present explosive hazards:</w:t>
      </w:r>
    </w:p>
    <w:p w14:paraId="3F1B4500" w14:textId="77777777" w:rsidR="00F5723F" w:rsidRDefault="00F5723F" w:rsidP="00F5723F">
      <w:pPr>
        <w:ind w:left="1134" w:right="1179"/>
        <w:rPr>
          <w:i/>
          <w:color w:val="000000" w:themeColor="text1"/>
          <w:u w:val="single"/>
        </w:rPr>
      </w:pPr>
      <w:r w:rsidRPr="00F5723F">
        <w:rPr>
          <w:i/>
          <w:color w:val="000000" w:themeColor="text1"/>
          <w:u w:val="single"/>
        </w:rPr>
        <w:t xml:space="preserve">NOTE: </w:t>
      </w:r>
      <w:r w:rsidRPr="00F5723F">
        <w:rPr>
          <w:i/>
          <w:color w:val="000000" w:themeColor="text1"/>
          <w:u w:val="single"/>
        </w:rPr>
        <w:tab/>
        <w:t xml:space="preserve">Explosives configured for transport and excluded from classification within Class 1, based on the Dangerous Goods List of the UN Recommendations of the Transport of Dangerous Goods, Model Regulations, </w:t>
      </w:r>
      <w:r w:rsidR="00447440" w:rsidRPr="00F5723F">
        <w:rPr>
          <w:i/>
          <w:color w:val="000000" w:themeColor="text1"/>
          <w:u w:val="single"/>
        </w:rPr>
        <w:t>and still</w:t>
      </w:r>
      <w:r w:rsidRPr="00F5723F">
        <w:rPr>
          <w:i/>
          <w:color w:val="000000" w:themeColor="text1"/>
          <w:u w:val="single"/>
        </w:rPr>
        <w:t xml:space="preserve"> present explosive hazards. </w:t>
      </w:r>
      <w:r w:rsidR="00FD5349">
        <w:rPr>
          <w:i/>
          <w:color w:val="000000" w:themeColor="text1"/>
          <w:u w:val="single"/>
        </w:rPr>
        <w:t>Re-manufacturers, s</w:t>
      </w:r>
      <w:r w:rsidRPr="00F5723F">
        <w:rPr>
          <w:i/>
          <w:color w:val="000000" w:themeColor="text1"/>
          <w:u w:val="single"/>
        </w:rPr>
        <w:t>uppliers and users should be informed of such explosive hazards because they have to be considered for handling, especially if the explosive article is dismantled or decommissioned. For this reason, the explosive hazards presented by such explosive articles should be communicated in Section 2(c) (Hazard identification of hazards which do not result in classification) and Section 10 (Stability and reactivity) of the Safety Data Sheet in accordance with Table 1.5.2, and other sections of the Safety Data Sheet, as appropriate.</w:t>
      </w:r>
    </w:p>
    <w:p w14:paraId="1432E812" w14:textId="77777777" w:rsidR="0005258D" w:rsidRDefault="0005258D" w:rsidP="00F5723F">
      <w:pPr>
        <w:ind w:left="1134" w:right="1179"/>
        <w:rPr>
          <w:i/>
          <w:color w:val="000000" w:themeColor="text1"/>
          <w:u w:val="single"/>
        </w:rPr>
      </w:pPr>
    </w:p>
    <w:p w14:paraId="7FFDB08F" w14:textId="77777777" w:rsidR="0005258D" w:rsidRPr="0005258D" w:rsidRDefault="0005258D" w:rsidP="00F5723F">
      <w:pPr>
        <w:ind w:left="1134" w:right="1179"/>
        <w:rPr>
          <w:lang w:val="x-none"/>
        </w:rPr>
      </w:pPr>
      <w:r w:rsidRPr="0005258D">
        <w:rPr>
          <w:lang w:val="x-none"/>
        </w:rPr>
        <w:t>Or Merged</w:t>
      </w:r>
      <w:r>
        <w:rPr>
          <w:lang w:val="x-none"/>
        </w:rPr>
        <w:t xml:space="preserve"> with the existing Note 2</w:t>
      </w:r>
      <w:r w:rsidRPr="0005258D">
        <w:rPr>
          <w:lang w:val="x-none"/>
        </w:rPr>
        <w:t>:</w:t>
      </w:r>
    </w:p>
    <w:p w14:paraId="426B5CBA" w14:textId="77777777" w:rsidR="0005258D" w:rsidRDefault="0005258D" w:rsidP="00F5723F">
      <w:pPr>
        <w:ind w:left="1134" w:right="1179"/>
        <w:rPr>
          <w:i/>
          <w:color w:val="000000" w:themeColor="text1"/>
          <w:u w:val="single"/>
        </w:rPr>
      </w:pPr>
    </w:p>
    <w:p w14:paraId="2BD1324C" w14:textId="77777777" w:rsidR="0005258D" w:rsidRPr="0005258D" w:rsidRDefault="0005258D" w:rsidP="0005258D">
      <w:pPr>
        <w:ind w:left="1134" w:right="1179"/>
        <w:rPr>
          <w:i/>
          <w:color w:val="000000" w:themeColor="text1"/>
        </w:rPr>
      </w:pPr>
      <w:r w:rsidRPr="0005258D">
        <w:rPr>
          <w:i/>
          <w:color w:val="000000" w:themeColor="text1"/>
        </w:rPr>
        <w:t>NOTE 2: Substances and mixtures, as supplied, with a positive result in Test Series 2 in Part I, Section 12, of</w:t>
      </w:r>
      <w:r>
        <w:rPr>
          <w:i/>
          <w:color w:val="000000" w:themeColor="text1"/>
        </w:rPr>
        <w:t xml:space="preserve"> </w:t>
      </w:r>
      <w:r w:rsidRPr="0005258D">
        <w:rPr>
          <w:i/>
          <w:color w:val="000000" w:themeColor="text1"/>
        </w:rPr>
        <w:t>the UN Recommendations on the Transport of Dangerous Goods, Manual of Tests and Criteria, which are exempted</w:t>
      </w:r>
      <w:r>
        <w:rPr>
          <w:i/>
          <w:color w:val="000000" w:themeColor="text1"/>
        </w:rPr>
        <w:t xml:space="preserve"> </w:t>
      </w:r>
      <w:r w:rsidRPr="0005258D">
        <w:rPr>
          <w:i/>
          <w:color w:val="000000" w:themeColor="text1"/>
        </w:rPr>
        <w:t>from classification as explosives (based on a negative result in Test Series 6 in Part I, Section 16 of the</w:t>
      </w:r>
    </w:p>
    <w:p w14:paraId="13836893" w14:textId="77777777" w:rsidR="0005258D" w:rsidRPr="0005258D" w:rsidRDefault="0005258D" w:rsidP="0005258D">
      <w:pPr>
        <w:ind w:left="1134" w:right="1179"/>
        <w:rPr>
          <w:i/>
          <w:color w:val="000000" w:themeColor="text1"/>
        </w:rPr>
      </w:pPr>
      <w:r w:rsidRPr="0005258D">
        <w:rPr>
          <w:i/>
          <w:color w:val="000000" w:themeColor="text1"/>
        </w:rPr>
        <w:t>UN Recommendations on the Transport of Dangerous Goods, Manual of Tests and Criteria,) still have explosive</w:t>
      </w:r>
      <w:r>
        <w:rPr>
          <w:i/>
          <w:color w:val="000000" w:themeColor="text1"/>
        </w:rPr>
        <w:t xml:space="preserve"> </w:t>
      </w:r>
      <w:r w:rsidRPr="0005258D">
        <w:rPr>
          <w:i/>
          <w:color w:val="000000" w:themeColor="text1"/>
        </w:rPr>
        <w:t xml:space="preserve">properties. </w:t>
      </w:r>
      <w:r w:rsidRPr="0005258D">
        <w:rPr>
          <w:i/>
          <w:color w:val="000000" w:themeColor="text1"/>
          <w:u w:val="single"/>
        </w:rPr>
        <w:t>The same is true</w:t>
      </w:r>
      <w:r>
        <w:rPr>
          <w:i/>
          <w:color w:val="000000" w:themeColor="text1"/>
          <w:u w:val="single"/>
        </w:rPr>
        <w:t xml:space="preserve"> of</w:t>
      </w:r>
      <w:r w:rsidRPr="0005258D">
        <w:rPr>
          <w:i/>
          <w:color w:val="000000" w:themeColor="text1"/>
          <w:u w:val="single"/>
        </w:rPr>
        <w:t xml:space="preserve"> explosives</w:t>
      </w:r>
      <w:r w:rsidRPr="00F5723F">
        <w:rPr>
          <w:i/>
          <w:color w:val="000000" w:themeColor="text1"/>
          <w:u w:val="single"/>
        </w:rPr>
        <w:t xml:space="preserve"> configured for transport and excluded from classification within Class 1, based on the Dangerous Goods List of the UN Recommendations of the Transport of Dan</w:t>
      </w:r>
      <w:r>
        <w:rPr>
          <w:i/>
          <w:color w:val="000000" w:themeColor="text1"/>
          <w:u w:val="single"/>
        </w:rPr>
        <w:t xml:space="preserve">gerous Goods, Model Regulations. </w:t>
      </w:r>
      <w:r w:rsidRPr="0005258D">
        <w:rPr>
          <w:i/>
          <w:strike/>
          <w:color w:val="000000" w:themeColor="text1"/>
        </w:rPr>
        <w:t>The user</w:t>
      </w:r>
      <w:r w:rsidRPr="0005258D">
        <w:rPr>
          <w:i/>
          <w:color w:val="000000" w:themeColor="text1"/>
        </w:rPr>
        <w:t xml:space="preserve"> </w:t>
      </w:r>
      <w:r>
        <w:rPr>
          <w:i/>
          <w:color w:val="000000" w:themeColor="text1"/>
          <w:u w:val="single"/>
        </w:rPr>
        <w:t>Re-manufacturers, s</w:t>
      </w:r>
      <w:r w:rsidRPr="00F5723F">
        <w:rPr>
          <w:i/>
          <w:color w:val="000000" w:themeColor="text1"/>
          <w:u w:val="single"/>
        </w:rPr>
        <w:t>uppliers and users</w:t>
      </w:r>
      <w:r w:rsidRPr="0005258D">
        <w:rPr>
          <w:i/>
          <w:color w:val="000000" w:themeColor="text1"/>
        </w:rPr>
        <w:t xml:space="preserve"> should be informed of these intrinsic explosive properties because they have to be considered for</w:t>
      </w:r>
      <w:r>
        <w:rPr>
          <w:i/>
          <w:color w:val="000000" w:themeColor="text1"/>
        </w:rPr>
        <w:t xml:space="preserve"> </w:t>
      </w:r>
      <w:r w:rsidRPr="0005258D">
        <w:rPr>
          <w:i/>
          <w:color w:val="000000" w:themeColor="text1"/>
        </w:rPr>
        <w:t xml:space="preserve">handling – especially if the </w:t>
      </w:r>
      <w:r w:rsidRPr="0005258D">
        <w:rPr>
          <w:i/>
          <w:strike/>
          <w:color w:val="000000" w:themeColor="text1"/>
        </w:rPr>
        <w:t>substance or mixture</w:t>
      </w:r>
      <w:r w:rsidRPr="0005258D">
        <w:rPr>
          <w:i/>
          <w:color w:val="000000" w:themeColor="text1"/>
        </w:rPr>
        <w:t xml:space="preserve"> </w:t>
      </w:r>
      <w:r w:rsidRPr="0005258D">
        <w:rPr>
          <w:i/>
          <w:color w:val="000000" w:themeColor="text1"/>
          <w:u w:val="single"/>
        </w:rPr>
        <w:t>explosive</w:t>
      </w:r>
      <w:r>
        <w:rPr>
          <w:i/>
          <w:color w:val="000000" w:themeColor="text1"/>
        </w:rPr>
        <w:t xml:space="preserve"> </w:t>
      </w:r>
      <w:r w:rsidRPr="0005258D">
        <w:rPr>
          <w:i/>
          <w:strike/>
          <w:color w:val="000000" w:themeColor="text1"/>
        </w:rPr>
        <w:t>is removed from its packaging or is repackaged</w:t>
      </w:r>
      <w:r w:rsidRPr="0005258D">
        <w:rPr>
          <w:i/>
          <w:color w:val="000000" w:themeColor="text1"/>
        </w:rPr>
        <w:t xml:space="preserve"> </w:t>
      </w:r>
      <w:r w:rsidRPr="0005258D">
        <w:rPr>
          <w:i/>
          <w:color w:val="000000" w:themeColor="text1"/>
          <w:u w:val="single"/>
        </w:rPr>
        <w:t>packaging is altered from that presented for</w:t>
      </w:r>
      <w:r>
        <w:rPr>
          <w:i/>
          <w:color w:val="000000" w:themeColor="text1"/>
        </w:rPr>
        <w:t xml:space="preserve"> classification </w:t>
      </w:r>
      <w:r w:rsidRPr="0005258D">
        <w:rPr>
          <w:i/>
          <w:color w:val="000000" w:themeColor="text1"/>
        </w:rPr>
        <w:t>– and for storage. For</w:t>
      </w:r>
    </w:p>
    <w:p w14:paraId="334F9683" w14:textId="77777777" w:rsidR="0005258D" w:rsidRPr="0005258D" w:rsidRDefault="0005258D" w:rsidP="0005258D">
      <w:pPr>
        <w:ind w:left="1134" w:right="1179"/>
        <w:rPr>
          <w:i/>
          <w:color w:val="000000" w:themeColor="text1"/>
        </w:rPr>
      </w:pPr>
      <w:r w:rsidRPr="0005258D">
        <w:rPr>
          <w:i/>
          <w:color w:val="000000" w:themeColor="text1"/>
        </w:rPr>
        <w:t xml:space="preserve">this reason, the explosive properties of the substance or mixture should be communicated in </w:t>
      </w:r>
      <w:r w:rsidRPr="0005258D">
        <w:rPr>
          <w:i/>
          <w:strike/>
          <w:color w:val="000000" w:themeColor="text1"/>
        </w:rPr>
        <w:t>Section 2 (Hazard identification)</w:t>
      </w:r>
      <w:r w:rsidRPr="0005258D">
        <w:rPr>
          <w:i/>
          <w:color w:val="000000" w:themeColor="text1"/>
        </w:rPr>
        <w:t xml:space="preserve"> </w:t>
      </w:r>
      <w:r w:rsidRPr="00F5723F">
        <w:rPr>
          <w:i/>
          <w:color w:val="000000" w:themeColor="text1"/>
          <w:u w:val="single"/>
        </w:rPr>
        <w:t>Section 2(c) (Hazard identification of hazards which do not result in classification)</w:t>
      </w:r>
      <w:r w:rsidRPr="0005258D">
        <w:rPr>
          <w:i/>
          <w:color w:val="000000" w:themeColor="text1"/>
        </w:rPr>
        <w:t xml:space="preserve"> and </w:t>
      </w:r>
      <w:r w:rsidRPr="0005258D">
        <w:rPr>
          <w:i/>
          <w:strike/>
          <w:color w:val="000000" w:themeColor="text1"/>
        </w:rPr>
        <w:t>Section 9 (Physical and chemical properties)</w:t>
      </w:r>
      <w:r w:rsidRPr="0005258D">
        <w:rPr>
          <w:i/>
          <w:color w:val="000000" w:themeColor="text1"/>
        </w:rPr>
        <w:t xml:space="preserve"> </w:t>
      </w:r>
      <w:r w:rsidRPr="00F5723F">
        <w:rPr>
          <w:i/>
          <w:color w:val="000000" w:themeColor="text1"/>
          <w:u w:val="single"/>
        </w:rPr>
        <w:t>and Section 10 (Stability and reactivity)</w:t>
      </w:r>
      <w:r w:rsidRPr="0005258D">
        <w:rPr>
          <w:i/>
          <w:color w:val="000000" w:themeColor="text1"/>
        </w:rPr>
        <w:t xml:space="preserve"> of the Safety Data Sheet in accordance with Table</w:t>
      </w:r>
    </w:p>
    <w:p w14:paraId="0F4DE188" w14:textId="77777777" w:rsidR="0005258D" w:rsidRPr="0005258D" w:rsidRDefault="0005258D" w:rsidP="0005258D">
      <w:pPr>
        <w:ind w:left="1134" w:right="1179"/>
        <w:rPr>
          <w:i/>
          <w:color w:val="000000" w:themeColor="text1"/>
        </w:rPr>
      </w:pPr>
      <w:r w:rsidRPr="0005258D">
        <w:rPr>
          <w:i/>
          <w:color w:val="000000" w:themeColor="text1"/>
        </w:rPr>
        <w:t>1.5.2, and other sections of the Safety Data Sheet, as appropriate.</w:t>
      </w:r>
    </w:p>
    <w:p w14:paraId="39D1CBE3" w14:textId="77777777" w:rsidR="0005258D" w:rsidRPr="0005258D" w:rsidRDefault="0005258D" w:rsidP="00F5723F">
      <w:pPr>
        <w:ind w:left="1134" w:right="1179"/>
        <w:rPr>
          <w:i/>
          <w:color w:val="000000" w:themeColor="text1"/>
          <w:u w:val="single"/>
        </w:rPr>
      </w:pPr>
    </w:p>
    <w:p w14:paraId="4087A71F" w14:textId="77777777" w:rsidR="00CE4B82" w:rsidRDefault="00CE4B82" w:rsidP="00CE4B82">
      <w:pPr>
        <w:pStyle w:val="HChG"/>
        <w:ind w:left="2268"/>
      </w:pPr>
      <w:r>
        <w:lastRenderedPageBreak/>
        <w:t>Precautionary Statements</w:t>
      </w:r>
    </w:p>
    <w:p w14:paraId="2F231A11" w14:textId="77777777" w:rsidR="00124B3F" w:rsidRDefault="00524D87" w:rsidP="002A76D3">
      <w:pPr>
        <w:pStyle w:val="SingleTxtG"/>
        <w:numPr>
          <w:ilvl w:val="0"/>
          <w:numId w:val="18"/>
        </w:numPr>
        <w:ind w:left="1134" w:firstLine="0"/>
      </w:pPr>
      <w:r>
        <w:t>T</w:t>
      </w:r>
      <w:r w:rsidR="00552179">
        <w:t xml:space="preserve">he main focus in this work may be the </w:t>
      </w:r>
      <w:r w:rsidR="00CE4B82">
        <w:t xml:space="preserve">refinement </w:t>
      </w:r>
      <w:r w:rsidR="00D04B74">
        <w:t>occurring</w:t>
      </w:r>
      <w:r w:rsidR="00CE4B82">
        <w:t xml:space="preserve"> in Category 1</w:t>
      </w:r>
      <w:r w:rsidR="00B52157">
        <w:t xml:space="preserve"> – changing it from the current hazard communication for “unstable explosives”</w:t>
      </w:r>
      <w:r w:rsidR="00CE4B82">
        <w:t xml:space="preserve">. </w:t>
      </w:r>
      <w:r w:rsidR="00124B3F">
        <w:t>For purposes of discussion, we propose the following changes to the P-statements for unstable explosives to make them appropriate for Category 1:</w:t>
      </w:r>
    </w:p>
    <w:p w14:paraId="70ABD4CA" w14:textId="77777777" w:rsidR="00524D87" w:rsidRDefault="00E10201" w:rsidP="00747C8C">
      <w:pPr>
        <w:pStyle w:val="Bullet1G"/>
      </w:pPr>
      <w:r w:rsidRPr="00E10201">
        <w:t>Add new</w:t>
      </w:r>
      <w:r w:rsidR="00524D87" w:rsidRPr="00E10201">
        <w:t xml:space="preserve"> P-statement</w:t>
      </w:r>
      <w:r>
        <w:t>:</w:t>
      </w:r>
      <w:r w:rsidR="00524D87" w:rsidRPr="00E10201">
        <w:t xml:space="preserve"> </w:t>
      </w:r>
      <w:r w:rsidR="00524D87" w:rsidRPr="00E10201">
        <w:rPr>
          <w:u w:val="single"/>
        </w:rPr>
        <w:t>P2XX Apply engineering and procedural controls derived from a process hazards analysis.</w:t>
      </w:r>
      <w:r w:rsidRPr="00E10201">
        <w:rPr>
          <w:u w:val="single"/>
        </w:rPr>
        <w:t xml:space="preserve"> </w:t>
      </w:r>
      <w:r w:rsidRPr="00E10201">
        <w:t>Rationale: Specific engineering controls may be specified when applying stimuli to explosives during processing. Procedural controls also likely apply, e.g., remaining out of the building or out of the room where processing occurs.</w:t>
      </w:r>
      <w:r>
        <w:t xml:space="preserve"> </w:t>
      </w:r>
    </w:p>
    <w:p w14:paraId="0B0F48B1" w14:textId="77777777" w:rsidR="00E10201" w:rsidRDefault="00E10201" w:rsidP="00747C8C">
      <w:pPr>
        <w:pStyle w:val="Bullet1G"/>
      </w:pPr>
      <w:r w:rsidRPr="00E10201">
        <w:t xml:space="preserve">Delete current P-statement:  </w:t>
      </w:r>
      <w:r w:rsidRPr="00E10201">
        <w:rPr>
          <w:strike/>
        </w:rPr>
        <w:t>P201 Obtain special instructions before use.</w:t>
      </w:r>
      <w:r>
        <w:t xml:space="preserve"> Rationale: </w:t>
      </w:r>
      <w:r w:rsidRPr="00E10201">
        <w:t>This category deals with creation of an explosive, rather than use.</w:t>
      </w:r>
    </w:p>
    <w:p w14:paraId="646452CA" w14:textId="77777777" w:rsidR="00E10201" w:rsidRPr="00E10201" w:rsidRDefault="00E10201" w:rsidP="00747C8C">
      <w:pPr>
        <w:pStyle w:val="Bullet1G"/>
      </w:pPr>
      <w:r>
        <w:t xml:space="preserve">Delete current P-statement: </w:t>
      </w:r>
      <w:r w:rsidRPr="00E10201">
        <w:rPr>
          <w:strike/>
        </w:rPr>
        <w:t xml:space="preserve">P250 Do not subject to grinding/shock/friction/…– </w:t>
      </w:r>
      <w:r w:rsidRPr="00E10201">
        <w:rPr>
          <w:i/>
          <w:strike/>
        </w:rPr>
        <w:t>if the explosive is mechanically sensitive</w:t>
      </w:r>
      <w:r w:rsidRPr="00E10201">
        <w:rPr>
          <w:strike/>
        </w:rPr>
        <w:t xml:space="preserve"> …Manufacturer/supplier or the competent authority to specify applicable </w:t>
      </w:r>
      <w:r w:rsidRPr="00E10201">
        <w:t xml:space="preserve">rough handling. </w:t>
      </w:r>
      <w:r>
        <w:t xml:space="preserve">Rationale: </w:t>
      </w:r>
      <w:r w:rsidRPr="00E10201">
        <w:t>The explosive may be purposely subjected to these stimuli.</w:t>
      </w:r>
    </w:p>
    <w:p w14:paraId="77C8FAD4" w14:textId="77777777" w:rsidR="00E10201" w:rsidRPr="00E10201" w:rsidRDefault="00E10201" w:rsidP="00747C8C">
      <w:pPr>
        <w:pStyle w:val="Bullet1G"/>
      </w:pPr>
      <w:r>
        <w:t xml:space="preserve">Retain current P-statement P280: </w:t>
      </w:r>
      <w:r w:rsidRPr="00E10201">
        <w:t>Wear protective gloves/protective clothing/eye protection/face protection/hearing protection/...</w:t>
      </w:r>
      <w:r>
        <w:t xml:space="preserve"> </w:t>
      </w:r>
      <w:r w:rsidRPr="00E10201">
        <w:t>Manufacturer/supplier or the competent authority to specify the appropriate personal protective equipment.</w:t>
      </w:r>
      <w:r>
        <w:t xml:space="preserve"> </w:t>
      </w:r>
    </w:p>
    <w:p w14:paraId="744B82FC" w14:textId="77777777" w:rsidR="00EE15B0" w:rsidRDefault="00EE15B0" w:rsidP="002A76D3">
      <w:pPr>
        <w:pStyle w:val="SingleTxtG"/>
        <w:numPr>
          <w:ilvl w:val="0"/>
          <w:numId w:val="18"/>
        </w:numPr>
        <w:ind w:left="1134" w:firstLine="0"/>
      </w:pPr>
      <w:r>
        <w:t>While the existing precautionary statements for explosives may be adequate for the most part, additional minor changes have been discussed. Here are a few:</w:t>
      </w:r>
    </w:p>
    <w:p w14:paraId="0FECF403" w14:textId="77777777" w:rsidR="00EE15B0" w:rsidRPr="00747C8C" w:rsidRDefault="00747C8C" w:rsidP="00747C8C">
      <w:pPr>
        <w:pStyle w:val="SingleTxtG"/>
        <w:ind w:left="1701"/>
      </w:pPr>
      <w:r>
        <w:tab/>
      </w:r>
      <w:r>
        <w:rPr>
          <w:lang w:val="fr-CH"/>
        </w:rPr>
        <w:t>(a)</w:t>
      </w:r>
      <w:r>
        <w:tab/>
      </w:r>
      <w:r w:rsidR="00EE15B0" w:rsidRPr="00747C8C">
        <w:t xml:space="preserve">In P280 concerning personal protective equipment (PPE), the PPE needs to be appropriate for use with a particular explosive. PPE has been the cause of accidents, and for example, clothing is often specified to be cotton rather than </w:t>
      </w:r>
      <w:r w:rsidR="00D04B74" w:rsidRPr="00747C8C">
        <w:t>polyester</w:t>
      </w:r>
      <w:r w:rsidR="00EE15B0" w:rsidRPr="00747C8C">
        <w:t>, which can cause ESD initiations. This could be reviewed under conditions of use. A possible clarifying statement could be added at the end of P280, such as “…</w:t>
      </w:r>
      <w:r w:rsidR="00D04B74" w:rsidRPr="00747C8C">
        <w:t>appropriate</w:t>
      </w:r>
      <w:r w:rsidR="00EE15B0" w:rsidRPr="00747C8C">
        <w:t xml:space="preserve"> for use with the explosive.” Some explosives may require more restrictions than others based on their ignition thresholds, which are variable and not intrinsic (e.g., particle size plays a large role in ESD sensitivity).</w:t>
      </w:r>
    </w:p>
    <w:p w14:paraId="1059D150" w14:textId="77777777" w:rsidR="00EE15B0" w:rsidRPr="00747C8C" w:rsidRDefault="00747C8C" w:rsidP="00747C8C">
      <w:pPr>
        <w:pStyle w:val="SingleTxtG"/>
        <w:ind w:left="1701"/>
      </w:pPr>
      <w:r>
        <w:tab/>
      </w:r>
      <w:r>
        <w:rPr>
          <w:lang w:val="fr-CH"/>
        </w:rPr>
        <w:t>(b)</w:t>
      </w:r>
      <w:r>
        <w:tab/>
      </w:r>
      <w:r w:rsidR="00E308AF" w:rsidRPr="00747C8C">
        <w:t xml:space="preserve">In P375, “Fight fire remotely due to the risk of explosion”, the intent of the word “remotely” could be clarified. Does that mean automated deluge systems in buildings, or certain </w:t>
      </w:r>
      <w:r w:rsidR="00D04B74" w:rsidRPr="00747C8C">
        <w:t>firefighting</w:t>
      </w:r>
      <w:r w:rsidR="00E308AF" w:rsidRPr="00747C8C">
        <w:t xml:space="preserve"> methods or equipment, or both, and how might differing interpretations impact operations and infrastructure?</w:t>
      </w:r>
    </w:p>
    <w:p w14:paraId="60BFA2B5" w14:textId="77777777" w:rsidR="00CC5DB9" w:rsidRDefault="00DB0645" w:rsidP="002A76D3">
      <w:pPr>
        <w:pStyle w:val="SingleTxtG"/>
        <w:numPr>
          <w:ilvl w:val="0"/>
          <w:numId w:val="18"/>
        </w:numPr>
        <w:ind w:left="1134" w:firstLine="0"/>
      </w:pPr>
      <w:r>
        <w:t>Currently, no</w:t>
      </w:r>
      <w:r w:rsidR="00CC5DB9">
        <w:t xml:space="preserve"> changes are proposed for Sub-category 2A from how they are currently presented for Divisions other than 1.4</w:t>
      </w:r>
      <w:r w:rsidR="00B52157">
        <w:t xml:space="preserve">, </w:t>
      </w:r>
      <w:r>
        <w:t>other than referring to the primary packaging, which occurs throughout Category 2</w:t>
      </w:r>
      <w:r w:rsidR="00CC5DB9">
        <w:t>.</w:t>
      </w:r>
    </w:p>
    <w:p w14:paraId="32D1DFE2" w14:textId="77777777" w:rsidR="00CE4B82" w:rsidRDefault="00CE4B82" w:rsidP="002A76D3">
      <w:pPr>
        <w:pStyle w:val="SingleTxtG"/>
        <w:numPr>
          <w:ilvl w:val="0"/>
          <w:numId w:val="18"/>
        </w:numPr>
        <w:ind w:left="1134" w:firstLine="0"/>
      </w:pPr>
      <w:r>
        <w:t xml:space="preserve">Division 1.4 </w:t>
      </w:r>
      <w:r w:rsidR="00530360">
        <w:rPr>
          <w:lang w:val="en-US"/>
        </w:rPr>
        <w:t xml:space="preserve">will now be assigned to the appropriate Sub-category primarily </w:t>
      </w:r>
      <w:r>
        <w:t xml:space="preserve"> 2B and 2C, and </w:t>
      </w:r>
      <w:r w:rsidR="00E54645">
        <w:t>the existing</w:t>
      </w:r>
      <w:r>
        <w:t xml:space="preserve"> differentiations for 1.4S</w:t>
      </w:r>
      <w:r w:rsidR="007B5E15">
        <w:rPr>
          <w:lang w:val="en-US"/>
        </w:rPr>
        <w:t xml:space="preserve"> </w:t>
      </w:r>
      <w:r w:rsidR="00CC5DB9">
        <w:t>will</w:t>
      </w:r>
      <w:r>
        <w:t xml:space="preserve"> now </w:t>
      </w:r>
      <w:r w:rsidR="00CC5DB9">
        <w:t xml:space="preserve">be </w:t>
      </w:r>
      <w:r w:rsidR="00530360">
        <w:rPr>
          <w:lang w:val="en-US"/>
        </w:rPr>
        <w:t>incorporated into an assigned Sub-category instead of an explanatory conditional note in Annex 3</w:t>
      </w:r>
      <w:r>
        <w:t>.</w:t>
      </w:r>
      <w:r w:rsidR="008B2DB8">
        <w:t xml:space="preserve"> </w:t>
      </w:r>
    </w:p>
    <w:p w14:paraId="3886AAAF" w14:textId="77777777" w:rsidR="008C1A0E" w:rsidRDefault="008C1A0E" w:rsidP="008C1A0E">
      <w:pPr>
        <w:pStyle w:val="HChG"/>
        <w:ind w:left="2268"/>
      </w:pPr>
      <w:r>
        <w:t>P</w:t>
      </w:r>
      <w:r w:rsidR="00747C8C">
        <w:rPr>
          <w:lang w:val="fr-CH"/>
        </w:rPr>
        <w:t>roposal</w:t>
      </w:r>
    </w:p>
    <w:p w14:paraId="214EBD4A" w14:textId="77777777" w:rsidR="00FF3E35" w:rsidRDefault="008C1A0E" w:rsidP="00447440">
      <w:pPr>
        <w:pStyle w:val="SingleTxtG"/>
        <w:numPr>
          <w:ilvl w:val="0"/>
          <w:numId w:val="18"/>
        </w:numPr>
        <w:ind w:left="1134" w:firstLine="0"/>
      </w:pPr>
      <w:r>
        <w:t>We hope that this paper will be helpful, and propose to refer to it in the discussions of the ICG.</w:t>
      </w:r>
      <w:r w:rsidR="00447440" w:rsidRPr="006B4518">
        <w:t xml:space="preserve"> </w:t>
      </w:r>
    </w:p>
    <w:p w14:paraId="64C07ED2" w14:textId="77777777" w:rsidR="00747C8C" w:rsidRPr="00747C8C" w:rsidRDefault="00747C8C" w:rsidP="00747C8C">
      <w:pPr>
        <w:spacing w:before="240"/>
        <w:jc w:val="center"/>
        <w:rPr>
          <w:u w:val="single"/>
        </w:rPr>
      </w:pPr>
      <w:r>
        <w:rPr>
          <w:u w:val="single"/>
        </w:rPr>
        <w:tab/>
      </w:r>
      <w:r>
        <w:rPr>
          <w:u w:val="single"/>
        </w:rPr>
        <w:tab/>
      </w:r>
      <w:r>
        <w:rPr>
          <w:u w:val="single"/>
        </w:rPr>
        <w:tab/>
      </w:r>
    </w:p>
    <w:sectPr w:rsidR="00747C8C" w:rsidRPr="00747C8C" w:rsidSect="008C1A0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545D7" w14:textId="77777777" w:rsidR="00C37E31" w:rsidRDefault="00C37E31"/>
  </w:endnote>
  <w:endnote w:type="continuationSeparator" w:id="0">
    <w:p w14:paraId="6BF3DE58" w14:textId="77777777" w:rsidR="00C37E31" w:rsidRDefault="00C37E31"/>
  </w:endnote>
  <w:endnote w:type="continuationNotice" w:id="1">
    <w:p w14:paraId="42AF2ED8" w14:textId="77777777" w:rsidR="00C37E31" w:rsidRDefault="00C37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5918" w14:textId="77777777" w:rsidR="002451FB" w:rsidRPr="000216CC" w:rsidRDefault="002451F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6471F6">
      <w:rPr>
        <w:b/>
        <w:noProof/>
        <w:sz w:val="18"/>
      </w:rPr>
      <w:t>4</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2E6D" w14:textId="77777777" w:rsidR="002451FB" w:rsidRPr="000216CC" w:rsidRDefault="002451F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6471F6">
      <w:rPr>
        <w:b/>
        <w:noProof/>
        <w:sz w:val="18"/>
      </w:rPr>
      <w:t>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B200" w14:textId="77777777" w:rsidR="002451FB" w:rsidRDefault="002451F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F4B6D" w14:textId="77777777" w:rsidR="00C37E31" w:rsidRPr="000B175B" w:rsidRDefault="00C37E31" w:rsidP="000B175B">
      <w:pPr>
        <w:tabs>
          <w:tab w:val="right" w:pos="2155"/>
        </w:tabs>
        <w:spacing w:after="80"/>
        <w:ind w:left="680"/>
        <w:rPr>
          <w:u w:val="single"/>
        </w:rPr>
      </w:pPr>
      <w:r>
        <w:rPr>
          <w:u w:val="single"/>
        </w:rPr>
        <w:tab/>
      </w:r>
    </w:p>
  </w:footnote>
  <w:footnote w:type="continuationSeparator" w:id="0">
    <w:p w14:paraId="01E44DDE" w14:textId="77777777" w:rsidR="00C37E31" w:rsidRPr="00FC68B7" w:rsidRDefault="00C37E31" w:rsidP="00FC68B7">
      <w:pPr>
        <w:tabs>
          <w:tab w:val="left" w:pos="2155"/>
        </w:tabs>
        <w:spacing w:after="80"/>
        <w:ind w:left="680"/>
        <w:rPr>
          <w:u w:val="single"/>
        </w:rPr>
      </w:pPr>
      <w:r>
        <w:rPr>
          <w:u w:val="single"/>
        </w:rPr>
        <w:tab/>
      </w:r>
    </w:p>
  </w:footnote>
  <w:footnote w:type="continuationNotice" w:id="1">
    <w:p w14:paraId="47B4410F" w14:textId="77777777" w:rsidR="00C37E31" w:rsidRDefault="00C37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DD06" w14:textId="77777777" w:rsidR="002451FB" w:rsidRPr="00BD7EBA" w:rsidRDefault="002451FB" w:rsidP="001E5919">
    <w:pPr>
      <w:pStyle w:val="Header"/>
      <w:rPr>
        <w:lang w:val="fr-FR"/>
      </w:rPr>
    </w:pPr>
    <w:r>
      <w:rPr>
        <w:lang w:val="fr-FR"/>
      </w:rPr>
      <w:t>UN/SCETDG/55/INF.</w:t>
    </w:r>
    <w:r w:rsidR="00747C8C">
      <w:rPr>
        <w:lang w:val="fr-FR"/>
      </w:rPr>
      <w:t>50</w:t>
    </w:r>
  </w:p>
  <w:p w14:paraId="1904F3D1" w14:textId="77777777" w:rsidR="002451FB" w:rsidRPr="001E5919" w:rsidRDefault="002451FB" w:rsidP="001E5919">
    <w:pPr>
      <w:pStyle w:val="Header"/>
      <w:rPr>
        <w:lang w:val="fr-FR"/>
      </w:rPr>
    </w:pPr>
    <w:r>
      <w:rPr>
        <w:lang w:val="fr-FR"/>
      </w:rPr>
      <w:t>UN/SCEGHS/37/INF.</w:t>
    </w:r>
    <w:r w:rsidR="00747C8C">
      <w:rPr>
        <w:lang w:val="fr-FR"/>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43BF" w14:textId="77777777" w:rsidR="002451FB" w:rsidRPr="001E5919" w:rsidRDefault="002451FB" w:rsidP="001E5919">
    <w:pPr>
      <w:pStyle w:val="Header"/>
      <w:jc w:val="right"/>
      <w:rPr>
        <w:lang w:val="fr-FR"/>
      </w:rPr>
    </w:pPr>
    <w:r>
      <w:rPr>
        <w:lang w:val="fr-FR"/>
      </w:rPr>
      <w:t>UN/SCETDG/55/INF.</w:t>
    </w:r>
    <w:r w:rsidR="00747C8C">
      <w:rPr>
        <w:lang w:val="fr-FR"/>
      </w:rPr>
      <w:t>50</w:t>
    </w:r>
    <w:r>
      <w:rPr>
        <w:lang w:val="fr-FR"/>
      </w:rPr>
      <w:br/>
      <w:t>UN/SCEGHS/37/INF.</w:t>
    </w:r>
    <w:r w:rsidR="00747C8C">
      <w:rPr>
        <w:lang w:val="fr-FR"/>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2599" w14:textId="77777777" w:rsidR="002451FB" w:rsidRPr="00542C8D" w:rsidRDefault="002451F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3150"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25"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1"/>
  </w:num>
  <w:num w:numId="14">
    <w:abstractNumId w:val="23"/>
  </w:num>
  <w:num w:numId="15">
    <w:abstractNumId w:val="26"/>
  </w:num>
  <w:num w:numId="16">
    <w:abstractNumId w:val="19"/>
  </w:num>
  <w:num w:numId="17">
    <w:abstractNumId w:val="16"/>
  </w:num>
  <w:num w:numId="18">
    <w:abstractNumId w:val="10"/>
  </w:num>
  <w:num w:numId="19">
    <w:abstractNumId w:val="18"/>
  </w:num>
  <w:num w:numId="20">
    <w:abstractNumId w:val="22"/>
  </w:num>
  <w:num w:numId="21">
    <w:abstractNumId w:val="25"/>
  </w:num>
  <w:num w:numId="22">
    <w:abstractNumId w:val="15"/>
  </w:num>
  <w:num w:numId="23">
    <w:abstractNumId w:val="17"/>
  </w:num>
  <w:num w:numId="24">
    <w:abstractNumId w:val="20"/>
  </w:num>
  <w:num w:numId="25">
    <w:abstractNumId w:val="14"/>
  </w:num>
  <w:num w:numId="26">
    <w:abstractNumId w:val="12"/>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6B64"/>
    <w:rsid w:val="0003042A"/>
    <w:rsid w:val="00031437"/>
    <w:rsid w:val="0003375D"/>
    <w:rsid w:val="00040776"/>
    <w:rsid w:val="00043180"/>
    <w:rsid w:val="00044081"/>
    <w:rsid w:val="000441CC"/>
    <w:rsid w:val="000504CE"/>
    <w:rsid w:val="00050922"/>
    <w:rsid w:val="00050F6B"/>
    <w:rsid w:val="0005258D"/>
    <w:rsid w:val="00053492"/>
    <w:rsid w:val="0005710C"/>
    <w:rsid w:val="00063DAC"/>
    <w:rsid w:val="00064402"/>
    <w:rsid w:val="00067E6D"/>
    <w:rsid w:val="00072C8C"/>
    <w:rsid w:val="00073129"/>
    <w:rsid w:val="00073FC6"/>
    <w:rsid w:val="00075F99"/>
    <w:rsid w:val="00076A0A"/>
    <w:rsid w:val="00080B38"/>
    <w:rsid w:val="00082CE1"/>
    <w:rsid w:val="00083598"/>
    <w:rsid w:val="00084632"/>
    <w:rsid w:val="000863FA"/>
    <w:rsid w:val="00086918"/>
    <w:rsid w:val="00091046"/>
    <w:rsid w:val="00091419"/>
    <w:rsid w:val="00091CB3"/>
    <w:rsid w:val="000931C0"/>
    <w:rsid w:val="000939AE"/>
    <w:rsid w:val="000A1FD1"/>
    <w:rsid w:val="000A2236"/>
    <w:rsid w:val="000A35F2"/>
    <w:rsid w:val="000A3A48"/>
    <w:rsid w:val="000A4C38"/>
    <w:rsid w:val="000B175B"/>
    <w:rsid w:val="000B3A0F"/>
    <w:rsid w:val="000B4919"/>
    <w:rsid w:val="000B4D72"/>
    <w:rsid w:val="000B7AF2"/>
    <w:rsid w:val="000C1ED8"/>
    <w:rsid w:val="000C28CA"/>
    <w:rsid w:val="000C5D4B"/>
    <w:rsid w:val="000C717F"/>
    <w:rsid w:val="000D0B8F"/>
    <w:rsid w:val="000D379B"/>
    <w:rsid w:val="000D481F"/>
    <w:rsid w:val="000D6D97"/>
    <w:rsid w:val="000D7830"/>
    <w:rsid w:val="000E0415"/>
    <w:rsid w:val="000E1285"/>
    <w:rsid w:val="000E5E99"/>
    <w:rsid w:val="000E7E74"/>
    <w:rsid w:val="000F1747"/>
    <w:rsid w:val="000F52D6"/>
    <w:rsid w:val="000F6A20"/>
    <w:rsid w:val="0010461A"/>
    <w:rsid w:val="001054A3"/>
    <w:rsid w:val="001057AB"/>
    <w:rsid w:val="001058DD"/>
    <w:rsid w:val="00113F87"/>
    <w:rsid w:val="001149AA"/>
    <w:rsid w:val="00115303"/>
    <w:rsid w:val="00115FA4"/>
    <w:rsid w:val="00117787"/>
    <w:rsid w:val="00117D0D"/>
    <w:rsid w:val="00117FD5"/>
    <w:rsid w:val="00120E7B"/>
    <w:rsid w:val="00121EB7"/>
    <w:rsid w:val="0012241F"/>
    <w:rsid w:val="00124B3F"/>
    <w:rsid w:val="00131B10"/>
    <w:rsid w:val="00131D42"/>
    <w:rsid w:val="00133C50"/>
    <w:rsid w:val="0013537A"/>
    <w:rsid w:val="00136F78"/>
    <w:rsid w:val="001377BD"/>
    <w:rsid w:val="001406F4"/>
    <w:rsid w:val="001470D6"/>
    <w:rsid w:val="001621AD"/>
    <w:rsid w:val="001633FB"/>
    <w:rsid w:val="00163A1B"/>
    <w:rsid w:val="00165735"/>
    <w:rsid w:val="00167786"/>
    <w:rsid w:val="00181019"/>
    <w:rsid w:val="001835BF"/>
    <w:rsid w:val="00184B86"/>
    <w:rsid w:val="00195084"/>
    <w:rsid w:val="0019637E"/>
    <w:rsid w:val="001A02A4"/>
    <w:rsid w:val="001A1CDC"/>
    <w:rsid w:val="001A3FC1"/>
    <w:rsid w:val="001A5DDE"/>
    <w:rsid w:val="001B0361"/>
    <w:rsid w:val="001B35EE"/>
    <w:rsid w:val="001B4B04"/>
    <w:rsid w:val="001B6B72"/>
    <w:rsid w:val="001C08F5"/>
    <w:rsid w:val="001C429D"/>
    <w:rsid w:val="001C6663"/>
    <w:rsid w:val="001C7895"/>
    <w:rsid w:val="001D0B0A"/>
    <w:rsid w:val="001D25B8"/>
    <w:rsid w:val="001D26DF"/>
    <w:rsid w:val="001D2FDC"/>
    <w:rsid w:val="001D3123"/>
    <w:rsid w:val="001D3A88"/>
    <w:rsid w:val="001D4B2D"/>
    <w:rsid w:val="001D4E70"/>
    <w:rsid w:val="001D5B61"/>
    <w:rsid w:val="001D7926"/>
    <w:rsid w:val="001D7B26"/>
    <w:rsid w:val="001E5919"/>
    <w:rsid w:val="001E66BE"/>
    <w:rsid w:val="001E797C"/>
    <w:rsid w:val="0020301C"/>
    <w:rsid w:val="00211B12"/>
    <w:rsid w:val="00211E0B"/>
    <w:rsid w:val="0021481D"/>
    <w:rsid w:val="00221589"/>
    <w:rsid w:val="00221AC2"/>
    <w:rsid w:val="00223316"/>
    <w:rsid w:val="00223F20"/>
    <w:rsid w:val="00224CD9"/>
    <w:rsid w:val="002254D7"/>
    <w:rsid w:val="002277D8"/>
    <w:rsid w:val="002309A7"/>
    <w:rsid w:val="00234B1B"/>
    <w:rsid w:val="00235381"/>
    <w:rsid w:val="00237785"/>
    <w:rsid w:val="00241178"/>
    <w:rsid w:val="00241439"/>
    <w:rsid w:val="00241466"/>
    <w:rsid w:val="002440E7"/>
    <w:rsid w:val="002451FB"/>
    <w:rsid w:val="00247570"/>
    <w:rsid w:val="002511B3"/>
    <w:rsid w:val="00257C1E"/>
    <w:rsid w:val="00261B71"/>
    <w:rsid w:val="00262099"/>
    <w:rsid w:val="002621F5"/>
    <w:rsid w:val="00264A62"/>
    <w:rsid w:val="002708B5"/>
    <w:rsid w:val="00270A21"/>
    <w:rsid w:val="002725CA"/>
    <w:rsid w:val="00273A92"/>
    <w:rsid w:val="00276E3C"/>
    <w:rsid w:val="00277896"/>
    <w:rsid w:val="00280EB7"/>
    <w:rsid w:val="002976CF"/>
    <w:rsid w:val="002A0BD2"/>
    <w:rsid w:val="002A3510"/>
    <w:rsid w:val="002A5B17"/>
    <w:rsid w:val="002A76D3"/>
    <w:rsid w:val="002B067A"/>
    <w:rsid w:val="002B1514"/>
    <w:rsid w:val="002B1CDA"/>
    <w:rsid w:val="002B3254"/>
    <w:rsid w:val="002C2163"/>
    <w:rsid w:val="002C7F25"/>
    <w:rsid w:val="002D3912"/>
    <w:rsid w:val="002D4DB6"/>
    <w:rsid w:val="002D5029"/>
    <w:rsid w:val="002D5A85"/>
    <w:rsid w:val="002D5C7D"/>
    <w:rsid w:val="002E35BB"/>
    <w:rsid w:val="002E4639"/>
    <w:rsid w:val="002E4D44"/>
    <w:rsid w:val="002E5CF2"/>
    <w:rsid w:val="002F1915"/>
    <w:rsid w:val="002F68FD"/>
    <w:rsid w:val="002F7332"/>
    <w:rsid w:val="003003A7"/>
    <w:rsid w:val="00302A3D"/>
    <w:rsid w:val="00305A08"/>
    <w:rsid w:val="003107D0"/>
    <w:rsid w:val="003107FA"/>
    <w:rsid w:val="00314790"/>
    <w:rsid w:val="00315D73"/>
    <w:rsid w:val="00316FF9"/>
    <w:rsid w:val="00321716"/>
    <w:rsid w:val="003225F2"/>
    <w:rsid w:val="003229D8"/>
    <w:rsid w:val="0032549A"/>
    <w:rsid w:val="00325F1A"/>
    <w:rsid w:val="00327D0A"/>
    <w:rsid w:val="00336D2F"/>
    <w:rsid w:val="00340BB2"/>
    <w:rsid w:val="003517C3"/>
    <w:rsid w:val="00353B8E"/>
    <w:rsid w:val="00355502"/>
    <w:rsid w:val="0035575A"/>
    <w:rsid w:val="00356BC7"/>
    <w:rsid w:val="00357A20"/>
    <w:rsid w:val="003623D1"/>
    <w:rsid w:val="00363530"/>
    <w:rsid w:val="00372F06"/>
    <w:rsid w:val="00382FAF"/>
    <w:rsid w:val="00390F0E"/>
    <w:rsid w:val="00391647"/>
    <w:rsid w:val="003923FB"/>
    <w:rsid w:val="0039277A"/>
    <w:rsid w:val="00393127"/>
    <w:rsid w:val="00396F6A"/>
    <w:rsid w:val="003972E0"/>
    <w:rsid w:val="003A1EC2"/>
    <w:rsid w:val="003A2972"/>
    <w:rsid w:val="003A52D7"/>
    <w:rsid w:val="003A59C7"/>
    <w:rsid w:val="003A5A16"/>
    <w:rsid w:val="003B3BB5"/>
    <w:rsid w:val="003B5B38"/>
    <w:rsid w:val="003C0657"/>
    <w:rsid w:val="003C18C9"/>
    <w:rsid w:val="003C2819"/>
    <w:rsid w:val="003C2CC4"/>
    <w:rsid w:val="003C45DF"/>
    <w:rsid w:val="003C655D"/>
    <w:rsid w:val="003D4B23"/>
    <w:rsid w:val="003F23A4"/>
    <w:rsid w:val="003F5900"/>
    <w:rsid w:val="003F5B52"/>
    <w:rsid w:val="003F66F3"/>
    <w:rsid w:val="004030C5"/>
    <w:rsid w:val="00403EC6"/>
    <w:rsid w:val="00406CD4"/>
    <w:rsid w:val="00430086"/>
    <w:rsid w:val="00430918"/>
    <w:rsid w:val="004325CB"/>
    <w:rsid w:val="00437F3F"/>
    <w:rsid w:val="00446DE4"/>
    <w:rsid w:val="00447440"/>
    <w:rsid w:val="00452D10"/>
    <w:rsid w:val="00454036"/>
    <w:rsid w:val="004562AA"/>
    <w:rsid w:val="00460B22"/>
    <w:rsid w:val="0046443A"/>
    <w:rsid w:val="004653B3"/>
    <w:rsid w:val="004654C4"/>
    <w:rsid w:val="0046668F"/>
    <w:rsid w:val="0046773D"/>
    <w:rsid w:val="0046788D"/>
    <w:rsid w:val="0048028B"/>
    <w:rsid w:val="00480BD4"/>
    <w:rsid w:val="0048304D"/>
    <w:rsid w:val="00484A9B"/>
    <w:rsid w:val="00486DA4"/>
    <w:rsid w:val="00492AF9"/>
    <w:rsid w:val="0049304E"/>
    <w:rsid w:val="00494C77"/>
    <w:rsid w:val="00497711"/>
    <w:rsid w:val="004B2C9D"/>
    <w:rsid w:val="004B5939"/>
    <w:rsid w:val="004B692E"/>
    <w:rsid w:val="004B73D6"/>
    <w:rsid w:val="004C39D0"/>
    <w:rsid w:val="004C43DB"/>
    <w:rsid w:val="004C4F1A"/>
    <w:rsid w:val="004C6D6D"/>
    <w:rsid w:val="004D0012"/>
    <w:rsid w:val="004D5FB6"/>
    <w:rsid w:val="004E0C5D"/>
    <w:rsid w:val="004E3603"/>
    <w:rsid w:val="004F4240"/>
    <w:rsid w:val="004F52AA"/>
    <w:rsid w:val="004F5854"/>
    <w:rsid w:val="004F77CD"/>
    <w:rsid w:val="005042BC"/>
    <w:rsid w:val="00507CF1"/>
    <w:rsid w:val="00515057"/>
    <w:rsid w:val="00522177"/>
    <w:rsid w:val="005223CB"/>
    <w:rsid w:val="00524D87"/>
    <w:rsid w:val="005258D4"/>
    <w:rsid w:val="00527910"/>
    <w:rsid w:val="00530360"/>
    <w:rsid w:val="00534655"/>
    <w:rsid w:val="0053653D"/>
    <w:rsid w:val="00536DFA"/>
    <w:rsid w:val="005371B2"/>
    <w:rsid w:val="005420F2"/>
    <w:rsid w:val="00542505"/>
    <w:rsid w:val="00542C8D"/>
    <w:rsid w:val="005434EF"/>
    <w:rsid w:val="005475D4"/>
    <w:rsid w:val="00550CA7"/>
    <w:rsid w:val="00552179"/>
    <w:rsid w:val="00555CDB"/>
    <w:rsid w:val="00561B6D"/>
    <w:rsid w:val="00562D45"/>
    <w:rsid w:val="0056615B"/>
    <w:rsid w:val="00567DFB"/>
    <w:rsid w:val="005704BE"/>
    <w:rsid w:val="00571DAA"/>
    <w:rsid w:val="005739EC"/>
    <w:rsid w:val="00576F7D"/>
    <w:rsid w:val="0058129D"/>
    <w:rsid w:val="00590144"/>
    <w:rsid w:val="0059682C"/>
    <w:rsid w:val="005A2489"/>
    <w:rsid w:val="005A64DD"/>
    <w:rsid w:val="005A72B2"/>
    <w:rsid w:val="005B09F0"/>
    <w:rsid w:val="005B0CED"/>
    <w:rsid w:val="005B3DB3"/>
    <w:rsid w:val="005B4B57"/>
    <w:rsid w:val="005B528A"/>
    <w:rsid w:val="005C3E89"/>
    <w:rsid w:val="005C4CB5"/>
    <w:rsid w:val="005C6B5A"/>
    <w:rsid w:val="005D0C6C"/>
    <w:rsid w:val="005D1BB4"/>
    <w:rsid w:val="005D68BD"/>
    <w:rsid w:val="005E3D28"/>
    <w:rsid w:val="005E53FE"/>
    <w:rsid w:val="005E5946"/>
    <w:rsid w:val="005E6758"/>
    <w:rsid w:val="005F3A39"/>
    <w:rsid w:val="005F5C2F"/>
    <w:rsid w:val="005F7BB1"/>
    <w:rsid w:val="00602490"/>
    <w:rsid w:val="00603E3C"/>
    <w:rsid w:val="0061166C"/>
    <w:rsid w:val="00611FC4"/>
    <w:rsid w:val="00612812"/>
    <w:rsid w:val="006176FB"/>
    <w:rsid w:val="00626B06"/>
    <w:rsid w:val="006279AC"/>
    <w:rsid w:val="00632200"/>
    <w:rsid w:val="00632969"/>
    <w:rsid w:val="0063419C"/>
    <w:rsid w:val="00635381"/>
    <w:rsid w:val="00636986"/>
    <w:rsid w:val="00637542"/>
    <w:rsid w:val="00637558"/>
    <w:rsid w:val="00640B26"/>
    <w:rsid w:val="00641194"/>
    <w:rsid w:val="00645A0B"/>
    <w:rsid w:val="006471F6"/>
    <w:rsid w:val="006500BA"/>
    <w:rsid w:val="006506DB"/>
    <w:rsid w:val="00653E36"/>
    <w:rsid w:val="00661016"/>
    <w:rsid w:val="0066179D"/>
    <w:rsid w:val="00662121"/>
    <w:rsid w:val="00662E09"/>
    <w:rsid w:val="00670CF0"/>
    <w:rsid w:val="00675F87"/>
    <w:rsid w:val="00690CD6"/>
    <w:rsid w:val="00695F8E"/>
    <w:rsid w:val="006A3932"/>
    <w:rsid w:val="006A63E3"/>
    <w:rsid w:val="006A7392"/>
    <w:rsid w:val="006B1C55"/>
    <w:rsid w:val="006B4518"/>
    <w:rsid w:val="006C0D34"/>
    <w:rsid w:val="006C251B"/>
    <w:rsid w:val="006C2F7E"/>
    <w:rsid w:val="006D2A3E"/>
    <w:rsid w:val="006D3560"/>
    <w:rsid w:val="006E3B65"/>
    <w:rsid w:val="006E564B"/>
    <w:rsid w:val="007025C0"/>
    <w:rsid w:val="0070691D"/>
    <w:rsid w:val="00707F04"/>
    <w:rsid w:val="00711637"/>
    <w:rsid w:val="00714F4F"/>
    <w:rsid w:val="00723978"/>
    <w:rsid w:val="0072632A"/>
    <w:rsid w:val="00736A6E"/>
    <w:rsid w:val="00736E6A"/>
    <w:rsid w:val="00737407"/>
    <w:rsid w:val="007416F3"/>
    <w:rsid w:val="00741F59"/>
    <w:rsid w:val="0074697D"/>
    <w:rsid w:val="00747C8C"/>
    <w:rsid w:val="00753344"/>
    <w:rsid w:val="00755A0C"/>
    <w:rsid w:val="00755EBE"/>
    <w:rsid w:val="0076047E"/>
    <w:rsid w:val="00760C16"/>
    <w:rsid w:val="00761619"/>
    <w:rsid w:val="0076177C"/>
    <w:rsid w:val="00763C33"/>
    <w:rsid w:val="00764D34"/>
    <w:rsid w:val="00766322"/>
    <w:rsid w:val="00770BCD"/>
    <w:rsid w:val="00771904"/>
    <w:rsid w:val="00773353"/>
    <w:rsid w:val="00774129"/>
    <w:rsid w:val="00774E8F"/>
    <w:rsid w:val="00774EAA"/>
    <w:rsid w:val="00777C27"/>
    <w:rsid w:val="0078123B"/>
    <w:rsid w:val="0078333D"/>
    <w:rsid w:val="00786434"/>
    <w:rsid w:val="00790791"/>
    <w:rsid w:val="007932E3"/>
    <w:rsid w:val="00796F36"/>
    <w:rsid w:val="007A2CDB"/>
    <w:rsid w:val="007A62EC"/>
    <w:rsid w:val="007A6D76"/>
    <w:rsid w:val="007B1A7E"/>
    <w:rsid w:val="007B2BA8"/>
    <w:rsid w:val="007B3C6D"/>
    <w:rsid w:val="007B5E15"/>
    <w:rsid w:val="007B6BA5"/>
    <w:rsid w:val="007C2C0D"/>
    <w:rsid w:val="007C3162"/>
    <w:rsid w:val="007C3390"/>
    <w:rsid w:val="007C4F4B"/>
    <w:rsid w:val="007C644D"/>
    <w:rsid w:val="007D1339"/>
    <w:rsid w:val="007D7BC6"/>
    <w:rsid w:val="007E4BD3"/>
    <w:rsid w:val="007E5D7C"/>
    <w:rsid w:val="007F2A54"/>
    <w:rsid w:val="007F4FEF"/>
    <w:rsid w:val="007F5104"/>
    <w:rsid w:val="007F6611"/>
    <w:rsid w:val="00800024"/>
    <w:rsid w:val="008037A2"/>
    <w:rsid w:val="00816370"/>
    <w:rsid w:val="00816582"/>
    <w:rsid w:val="00817599"/>
    <w:rsid w:val="008175E9"/>
    <w:rsid w:val="00820A2D"/>
    <w:rsid w:val="008242D7"/>
    <w:rsid w:val="00825B97"/>
    <w:rsid w:val="00826410"/>
    <w:rsid w:val="00826C09"/>
    <w:rsid w:val="0083043E"/>
    <w:rsid w:val="0083069A"/>
    <w:rsid w:val="00832A1D"/>
    <w:rsid w:val="00834479"/>
    <w:rsid w:val="00843AB2"/>
    <w:rsid w:val="00846809"/>
    <w:rsid w:val="00852C3A"/>
    <w:rsid w:val="0086107D"/>
    <w:rsid w:val="00864251"/>
    <w:rsid w:val="00871B13"/>
    <w:rsid w:val="00871FD5"/>
    <w:rsid w:val="0087351D"/>
    <w:rsid w:val="00877071"/>
    <w:rsid w:val="00881213"/>
    <w:rsid w:val="008979B1"/>
    <w:rsid w:val="008A0B75"/>
    <w:rsid w:val="008A1542"/>
    <w:rsid w:val="008A6B25"/>
    <w:rsid w:val="008A6C4F"/>
    <w:rsid w:val="008A7679"/>
    <w:rsid w:val="008A7AB3"/>
    <w:rsid w:val="008B2DB8"/>
    <w:rsid w:val="008B65FB"/>
    <w:rsid w:val="008C04F5"/>
    <w:rsid w:val="008C1A0E"/>
    <w:rsid w:val="008C3B3C"/>
    <w:rsid w:val="008C4283"/>
    <w:rsid w:val="008C4E36"/>
    <w:rsid w:val="008C6D16"/>
    <w:rsid w:val="008C74C3"/>
    <w:rsid w:val="008C7BF7"/>
    <w:rsid w:val="008D134F"/>
    <w:rsid w:val="008D3C75"/>
    <w:rsid w:val="008D5D05"/>
    <w:rsid w:val="008D6942"/>
    <w:rsid w:val="008E0E46"/>
    <w:rsid w:val="008E1DAE"/>
    <w:rsid w:val="008E295A"/>
    <w:rsid w:val="008E3BB8"/>
    <w:rsid w:val="008F0214"/>
    <w:rsid w:val="008F2D9A"/>
    <w:rsid w:val="008F44B8"/>
    <w:rsid w:val="008F504A"/>
    <w:rsid w:val="008F6413"/>
    <w:rsid w:val="00904EBC"/>
    <w:rsid w:val="00912BA7"/>
    <w:rsid w:val="0091645B"/>
    <w:rsid w:val="00923019"/>
    <w:rsid w:val="00924B63"/>
    <w:rsid w:val="00933FAB"/>
    <w:rsid w:val="009363B6"/>
    <w:rsid w:val="00940F46"/>
    <w:rsid w:val="00941ECC"/>
    <w:rsid w:val="00945A5D"/>
    <w:rsid w:val="00946A0D"/>
    <w:rsid w:val="0094762B"/>
    <w:rsid w:val="00954F3C"/>
    <w:rsid w:val="00955109"/>
    <w:rsid w:val="00963B67"/>
    <w:rsid w:val="00963CBA"/>
    <w:rsid w:val="009701ED"/>
    <w:rsid w:val="0097431F"/>
    <w:rsid w:val="0097639C"/>
    <w:rsid w:val="00982A54"/>
    <w:rsid w:val="00984471"/>
    <w:rsid w:val="00985F37"/>
    <w:rsid w:val="009879EA"/>
    <w:rsid w:val="009903C1"/>
    <w:rsid w:val="009908A5"/>
    <w:rsid w:val="0099124E"/>
    <w:rsid w:val="00991261"/>
    <w:rsid w:val="009953D5"/>
    <w:rsid w:val="009A1D29"/>
    <w:rsid w:val="009B5F0D"/>
    <w:rsid w:val="009C0FA4"/>
    <w:rsid w:val="009C6058"/>
    <w:rsid w:val="009C6168"/>
    <w:rsid w:val="009C6394"/>
    <w:rsid w:val="009D0E2A"/>
    <w:rsid w:val="009D0F0E"/>
    <w:rsid w:val="009D1AAE"/>
    <w:rsid w:val="009D634E"/>
    <w:rsid w:val="009E1560"/>
    <w:rsid w:val="009F0F06"/>
    <w:rsid w:val="009F4FC5"/>
    <w:rsid w:val="009F7CD7"/>
    <w:rsid w:val="00A02C71"/>
    <w:rsid w:val="00A068B8"/>
    <w:rsid w:val="00A1427D"/>
    <w:rsid w:val="00A1716E"/>
    <w:rsid w:val="00A201E8"/>
    <w:rsid w:val="00A235F1"/>
    <w:rsid w:val="00A34B00"/>
    <w:rsid w:val="00A3777A"/>
    <w:rsid w:val="00A50077"/>
    <w:rsid w:val="00A52922"/>
    <w:rsid w:val="00A538E5"/>
    <w:rsid w:val="00A5422A"/>
    <w:rsid w:val="00A54CA8"/>
    <w:rsid w:val="00A60196"/>
    <w:rsid w:val="00A60B3E"/>
    <w:rsid w:val="00A6199C"/>
    <w:rsid w:val="00A62147"/>
    <w:rsid w:val="00A622AF"/>
    <w:rsid w:val="00A6236D"/>
    <w:rsid w:val="00A65F4A"/>
    <w:rsid w:val="00A66636"/>
    <w:rsid w:val="00A71B77"/>
    <w:rsid w:val="00A72F22"/>
    <w:rsid w:val="00A744D7"/>
    <w:rsid w:val="00A748A6"/>
    <w:rsid w:val="00A74A46"/>
    <w:rsid w:val="00A753A9"/>
    <w:rsid w:val="00A75D0E"/>
    <w:rsid w:val="00A75EC9"/>
    <w:rsid w:val="00A810D4"/>
    <w:rsid w:val="00A83451"/>
    <w:rsid w:val="00A83538"/>
    <w:rsid w:val="00A841F8"/>
    <w:rsid w:val="00A8523D"/>
    <w:rsid w:val="00A879A4"/>
    <w:rsid w:val="00A9244A"/>
    <w:rsid w:val="00AA1D9A"/>
    <w:rsid w:val="00AA32EB"/>
    <w:rsid w:val="00AB382F"/>
    <w:rsid w:val="00AB4CF1"/>
    <w:rsid w:val="00AB547D"/>
    <w:rsid w:val="00AC0069"/>
    <w:rsid w:val="00AC7F82"/>
    <w:rsid w:val="00AD34EE"/>
    <w:rsid w:val="00AD7C88"/>
    <w:rsid w:val="00AE45DE"/>
    <w:rsid w:val="00AF0878"/>
    <w:rsid w:val="00AF2F9D"/>
    <w:rsid w:val="00AF5853"/>
    <w:rsid w:val="00AF6710"/>
    <w:rsid w:val="00B013E6"/>
    <w:rsid w:val="00B04D66"/>
    <w:rsid w:val="00B10C19"/>
    <w:rsid w:val="00B1157C"/>
    <w:rsid w:val="00B1501F"/>
    <w:rsid w:val="00B26710"/>
    <w:rsid w:val="00B26B3C"/>
    <w:rsid w:val="00B30179"/>
    <w:rsid w:val="00B3317B"/>
    <w:rsid w:val="00B41384"/>
    <w:rsid w:val="00B4398E"/>
    <w:rsid w:val="00B52157"/>
    <w:rsid w:val="00B5392B"/>
    <w:rsid w:val="00B560D2"/>
    <w:rsid w:val="00B56C20"/>
    <w:rsid w:val="00B61827"/>
    <w:rsid w:val="00B64FDB"/>
    <w:rsid w:val="00B71E2B"/>
    <w:rsid w:val="00B73DA8"/>
    <w:rsid w:val="00B74F7C"/>
    <w:rsid w:val="00B75E05"/>
    <w:rsid w:val="00B81E12"/>
    <w:rsid w:val="00B84AAC"/>
    <w:rsid w:val="00B87012"/>
    <w:rsid w:val="00B879B1"/>
    <w:rsid w:val="00B90F54"/>
    <w:rsid w:val="00B91CC3"/>
    <w:rsid w:val="00B92A0C"/>
    <w:rsid w:val="00B93068"/>
    <w:rsid w:val="00B9560E"/>
    <w:rsid w:val="00BA1DA3"/>
    <w:rsid w:val="00BA413B"/>
    <w:rsid w:val="00BA7462"/>
    <w:rsid w:val="00BA758C"/>
    <w:rsid w:val="00BB1452"/>
    <w:rsid w:val="00BB176D"/>
    <w:rsid w:val="00BB183E"/>
    <w:rsid w:val="00BB3B28"/>
    <w:rsid w:val="00BB7BCE"/>
    <w:rsid w:val="00BC46B3"/>
    <w:rsid w:val="00BC4CB4"/>
    <w:rsid w:val="00BC5FC4"/>
    <w:rsid w:val="00BC74E9"/>
    <w:rsid w:val="00BD41F8"/>
    <w:rsid w:val="00BD7EBA"/>
    <w:rsid w:val="00BE14E7"/>
    <w:rsid w:val="00BE1FF8"/>
    <w:rsid w:val="00BE47B0"/>
    <w:rsid w:val="00BE50CA"/>
    <w:rsid w:val="00BE618E"/>
    <w:rsid w:val="00BF5205"/>
    <w:rsid w:val="00C0263F"/>
    <w:rsid w:val="00C03B44"/>
    <w:rsid w:val="00C060D3"/>
    <w:rsid w:val="00C10B00"/>
    <w:rsid w:val="00C13A85"/>
    <w:rsid w:val="00C14E41"/>
    <w:rsid w:val="00C20CF6"/>
    <w:rsid w:val="00C218A4"/>
    <w:rsid w:val="00C23E4F"/>
    <w:rsid w:val="00C36D37"/>
    <w:rsid w:val="00C37C37"/>
    <w:rsid w:val="00C37E31"/>
    <w:rsid w:val="00C463DD"/>
    <w:rsid w:val="00C46D5B"/>
    <w:rsid w:val="00C519E2"/>
    <w:rsid w:val="00C5283C"/>
    <w:rsid w:val="00C537D5"/>
    <w:rsid w:val="00C53FAC"/>
    <w:rsid w:val="00C62F76"/>
    <w:rsid w:val="00C66D78"/>
    <w:rsid w:val="00C71A92"/>
    <w:rsid w:val="00C745C3"/>
    <w:rsid w:val="00C81212"/>
    <w:rsid w:val="00C81810"/>
    <w:rsid w:val="00C84FF1"/>
    <w:rsid w:val="00C86E64"/>
    <w:rsid w:val="00C91180"/>
    <w:rsid w:val="00C93C11"/>
    <w:rsid w:val="00C94F7A"/>
    <w:rsid w:val="00C971F6"/>
    <w:rsid w:val="00CA049C"/>
    <w:rsid w:val="00CA381C"/>
    <w:rsid w:val="00CA74D3"/>
    <w:rsid w:val="00CB2158"/>
    <w:rsid w:val="00CB6380"/>
    <w:rsid w:val="00CB7364"/>
    <w:rsid w:val="00CC4CA6"/>
    <w:rsid w:val="00CC5DB9"/>
    <w:rsid w:val="00CD0009"/>
    <w:rsid w:val="00CD30EE"/>
    <w:rsid w:val="00CD3225"/>
    <w:rsid w:val="00CD38FE"/>
    <w:rsid w:val="00CE0D77"/>
    <w:rsid w:val="00CE4083"/>
    <w:rsid w:val="00CE46BA"/>
    <w:rsid w:val="00CE4A8F"/>
    <w:rsid w:val="00CE4A94"/>
    <w:rsid w:val="00CE4B82"/>
    <w:rsid w:val="00CE74ED"/>
    <w:rsid w:val="00CE7626"/>
    <w:rsid w:val="00CF12F6"/>
    <w:rsid w:val="00CF6F32"/>
    <w:rsid w:val="00CF778D"/>
    <w:rsid w:val="00D04B74"/>
    <w:rsid w:val="00D0631B"/>
    <w:rsid w:val="00D06C3A"/>
    <w:rsid w:val="00D124FE"/>
    <w:rsid w:val="00D164BA"/>
    <w:rsid w:val="00D2031B"/>
    <w:rsid w:val="00D25E8C"/>
    <w:rsid w:val="00D25FE2"/>
    <w:rsid w:val="00D27461"/>
    <w:rsid w:val="00D27E89"/>
    <w:rsid w:val="00D352FD"/>
    <w:rsid w:val="00D366A7"/>
    <w:rsid w:val="00D37E80"/>
    <w:rsid w:val="00D42C29"/>
    <w:rsid w:val="00D43252"/>
    <w:rsid w:val="00D46231"/>
    <w:rsid w:val="00D477C4"/>
    <w:rsid w:val="00D52CD5"/>
    <w:rsid w:val="00D5409C"/>
    <w:rsid w:val="00D558E3"/>
    <w:rsid w:val="00D55A6B"/>
    <w:rsid w:val="00D57C13"/>
    <w:rsid w:val="00D57FD9"/>
    <w:rsid w:val="00D610C1"/>
    <w:rsid w:val="00D658FA"/>
    <w:rsid w:val="00D7217B"/>
    <w:rsid w:val="00D730E3"/>
    <w:rsid w:val="00D753D8"/>
    <w:rsid w:val="00D83AF1"/>
    <w:rsid w:val="00D9274F"/>
    <w:rsid w:val="00D96248"/>
    <w:rsid w:val="00D96CC5"/>
    <w:rsid w:val="00D978C6"/>
    <w:rsid w:val="00D97B77"/>
    <w:rsid w:val="00DA0A3A"/>
    <w:rsid w:val="00DA1EB9"/>
    <w:rsid w:val="00DA6620"/>
    <w:rsid w:val="00DA67AD"/>
    <w:rsid w:val="00DB0645"/>
    <w:rsid w:val="00DB108D"/>
    <w:rsid w:val="00DB1C61"/>
    <w:rsid w:val="00DB604E"/>
    <w:rsid w:val="00DB72BC"/>
    <w:rsid w:val="00DC487B"/>
    <w:rsid w:val="00DC5EF6"/>
    <w:rsid w:val="00DD42A0"/>
    <w:rsid w:val="00DD5DA2"/>
    <w:rsid w:val="00DE11A6"/>
    <w:rsid w:val="00DE236F"/>
    <w:rsid w:val="00DE3ECB"/>
    <w:rsid w:val="00DE4785"/>
    <w:rsid w:val="00DE7267"/>
    <w:rsid w:val="00DF0A4D"/>
    <w:rsid w:val="00DF1EE9"/>
    <w:rsid w:val="00DF3039"/>
    <w:rsid w:val="00DF3A04"/>
    <w:rsid w:val="00DF4518"/>
    <w:rsid w:val="00E03DE5"/>
    <w:rsid w:val="00E10201"/>
    <w:rsid w:val="00E11659"/>
    <w:rsid w:val="00E12018"/>
    <w:rsid w:val="00E130AB"/>
    <w:rsid w:val="00E1679E"/>
    <w:rsid w:val="00E239A0"/>
    <w:rsid w:val="00E26269"/>
    <w:rsid w:val="00E308AF"/>
    <w:rsid w:val="00E34E58"/>
    <w:rsid w:val="00E36838"/>
    <w:rsid w:val="00E36C10"/>
    <w:rsid w:val="00E40B76"/>
    <w:rsid w:val="00E412EA"/>
    <w:rsid w:val="00E4138E"/>
    <w:rsid w:val="00E42461"/>
    <w:rsid w:val="00E4443D"/>
    <w:rsid w:val="00E52EB0"/>
    <w:rsid w:val="00E54352"/>
    <w:rsid w:val="00E54645"/>
    <w:rsid w:val="00E54BD4"/>
    <w:rsid w:val="00E555F5"/>
    <w:rsid w:val="00E5644E"/>
    <w:rsid w:val="00E5691C"/>
    <w:rsid w:val="00E62068"/>
    <w:rsid w:val="00E631BA"/>
    <w:rsid w:val="00E63DE8"/>
    <w:rsid w:val="00E659B3"/>
    <w:rsid w:val="00E65A76"/>
    <w:rsid w:val="00E6613A"/>
    <w:rsid w:val="00E7260F"/>
    <w:rsid w:val="00E730D8"/>
    <w:rsid w:val="00E81230"/>
    <w:rsid w:val="00E8535A"/>
    <w:rsid w:val="00E864BE"/>
    <w:rsid w:val="00E87CAD"/>
    <w:rsid w:val="00E90647"/>
    <w:rsid w:val="00E9352B"/>
    <w:rsid w:val="00E95438"/>
    <w:rsid w:val="00E96630"/>
    <w:rsid w:val="00E9731A"/>
    <w:rsid w:val="00EA0364"/>
    <w:rsid w:val="00EA2938"/>
    <w:rsid w:val="00EA48C4"/>
    <w:rsid w:val="00EA72F6"/>
    <w:rsid w:val="00EA772F"/>
    <w:rsid w:val="00EB2AE3"/>
    <w:rsid w:val="00EB4C06"/>
    <w:rsid w:val="00EB51D5"/>
    <w:rsid w:val="00EB65EF"/>
    <w:rsid w:val="00EB6832"/>
    <w:rsid w:val="00EB71BA"/>
    <w:rsid w:val="00EB798F"/>
    <w:rsid w:val="00EC14E9"/>
    <w:rsid w:val="00EC271A"/>
    <w:rsid w:val="00EC2937"/>
    <w:rsid w:val="00EC755A"/>
    <w:rsid w:val="00ED0C83"/>
    <w:rsid w:val="00ED0F6B"/>
    <w:rsid w:val="00ED15C1"/>
    <w:rsid w:val="00ED34CE"/>
    <w:rsid w:val="00ED3508"/>
    <w:rsid w:val="00ED3F6F"/>
    <w:rsid w:val="00ED6586"/>
    <w:rsid w:val="00ED7A2A"/>
    <w:rsid w:val="00EE15B0"/>
    <w:rsid w:val="00EE4D59"/>
    <w:rsid w:val="00EE73C3"/>
    <w:rsid w:val="00EF1407"/>
    <w:rsid w:val="00EF1D7F"/>
    <w:rsid w:val="00EF4AAC"/>
    <w:rsid w:val="00EF71D8"/>
    <w:rsid w:val="00F017EF"/>
    <w:rsid w:val="00F01C57"/>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2D3"/>
    <w:rsid w:val="00F4268E"/>
    <w:rsid w:val="00F444E3"/>
    <w:rsid w:val="00F4509A"/>
    <w:rsid w:val="00F5087E"/>
    <w:rsid w:val="00F51BAB"/>
    <w:rsid w:val="00F535BE"/>
    <w:rsid w:val="00F545B1"/>
    <w:rsid w:val="00F54674"/>
    <w:rsid w:val="00F54BAB"/>
    <w:rsid w:val="00F554A1"/>
    <w:rsid w:val="00F5723F"/>
    <w:rsid w:val="00F64C95"/>
    <w:rsid w:val="00F669F0"/>
    <w:rsid w:val="00F75E96"/>
    <w:rsid w:val="00F82AD7"/>
    <w:rsid w:val="00FA00A0"/>
    <w:rsid w:val="00FA3FB7"/>
    <w:rsid w:val="00FA7EDD"/>
    <w:rsid w:val="00FB5A37"/>
    <w:rsid w:val="00FB7793"/>
    <w:rsid w:val="00FC18AA"/>
    <w:rsid w:val="00FC215C"/>
    <w:rsid w:val="00FC3D3C"/>
    <w:rsid w:val="00FC68B7"/>
    <w:rsid w:val="00FC7A90"/>
    <w:rsid w:val="00FD0F6C"/>
    <w:rsid w:val="00FD3C5D"/>
    <w:rsid w:val="00FD3E70"/>
    <w:rsid w:val="00FD5349"/>
    <w:rsid w:val="00FD6B2B"/>
    <w:rsid w:val="00FE3EEA"/>
    <w:rsid w:val="00FE54C1"/>
    <w:rsid w:val="00FE681E"/>
    <w:rsid w:val="00FF03BB"/>
    <w:rsid w:val="00FF071A"/>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28CE2"/>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01FD-7B2E-4989-8933-6256277C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5</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2019-07-03T08:27:00Z</cp:lastPrinted>
  <dcterms:created xsi:type="dcterms:W3CDTF">2019-07-03T08:37:00Z</dcterms:created>
  <dcterms:modified xsi:type="dcterms:W3CDTF">2019-07-03T08:37:00Z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