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9"/>
        <w:gridCol w:w="2236"/>
        <w:gridCol w:w="3214"/>
        <w:gridCol w:w="2930"/>
      </w:tblGrid>
      <w:tr w:rsidR="00E52109" w14:paraId="1ABF4AC4" w14:textId="77777777" w:rsidTr="006476E1">
        <w:trPr>
          <w:trHeight w:val="851"/>
        </w:trPr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BEB8DA" w14:textId="77777777" w:rsidR="00E52109" w:rsidRPr="002A32CB" w:rsidRDefault="00E52109" w:rsidP="004858F5"/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DC6559E" w14:textId="77777777" w:rsidR="00E52109" w:rsidRDefault="00E52109" w:rsidP="006476E1">
            <w:pPr>
              <w:spacing w:after="80" w:line="3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1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CCF60BE" w14:textId="77777777" w:rsidR="00E52109" w:rsidRDefault="00A1099A" w:rsidP="00A1099A">
            <w:pPr>
              <w:suppressAutoHyphens w:val="0"/>
              <w:jc w:val="right"/>
            </w:pPr>
            <w:r w:rsidRPr="00A1099A">
              <w:rPr>
                <w:sz w:val="40"/>
              </w:rPr>
              <w:t>ST</w:t>
            </w:r>
            <w:r>
              <w:t>/SG/AC.10/C.4/2019/</w:t>
            </w:r>
            <w:r w:rsidR="00BF4B65">
              <w:t>15</w:t>
            </w:r>
          </w:p>
        </w:tc>
      </w:tr>
      <w:tr w:rsidR="00E52109" w14:paraId="685A0701" w14:textId="77777777" w:rsidTr="006476E1">
        <w:trPr>
          <w:trHeight w:val="2835"/>
        </w:trPr>
        <w:tc>
          <w:tcPr>
            <w:tcW w:w="125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37A410B4" w14:textId="77777777" w:rsidR="00E52109" w:rsidRDefault="00E52109" w:rsidP="006476E1">
            <w:pPr>
              <w:spacing w:before="120"/>
              <w:jc w:val="center"/>
            </w:pPr>
            <w:r>
              <w:rPr>
                <w:noProof/>
                <w:lang w:val="sv-SE" w:eastAsia="sv-SE"/>
              </w:rPr>
              <w:drawing>
                <wp:inline distT="0" distB="0" distL="0" distR="0" wp14:anchorId="03822CDC" wp14:editId="33FFB3D6">
                  <wp:extent cx="714375" cy="590550"/>
                  <wp:effectExtent l="0" t="0" r="9525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2C219884" w14:textId="77777777" w:rsidR="00E52109" w:rsidRDefault="00D94B05" w:rsidP="006476E1">
            <w:pPr>
              <w:spacing w:before="120" w:line="420" w:lineRule="exac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Secretariat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1FE4D29A" w14:textId="77777777" w:rsidR="00D94B05" w:rsidRDefault="00A1099A" w:rsidP="00A1099A">
            <w:pPr>
              <w:suppressAutoHyphens w:val="0"/>
              <w:spacing w:before="240" w:line="240" w:lineRule="exact"/>
            </w:pPr>
            <w:r>
              <w:t>Distr.: General</w:t>
            </w:r>
          </w:p>
          <w:p w14:paraId="28701ED6" w14:textId="77777777" w:rsidR="00A1099A" w:rsidRDefault="001E0496" w:rsidP="00A1099A">
            <w:pPr>
              <w:suppressAutoHyphens w:val="0"/>
              <w:spacing w:line="240" w:lineRule="exact"/>
            </w:pPr>
            <w:r>
              <w:t xml:space="preserve">24 </w:t>
            </w:r>
            <w:r w:rsidR="00A1099A">
              <w:t>September 2019</w:t>
            </w:r>
          </w:p>
          <w:p w14:paraId="705BB6C1" w14:textId="77777777" w:rsidR="00A1099A" w:rsidRDefault="00A1099A" w:rsidP="00A1099A">
            <w:pPr>
              <w:suppressAutoHyphens w:val="0"/>
              <w:spacing w:line="240" w:lineRule="exact"/>
            </w:pPr>
          </w:p>
          <w:p w14:paraId="097F011A" w14:textId="77777777" w:rsidR="00A1099A" w:rsidRDefault="00A1099A" w:rsidP="00A1099A">
            <w:pPr>
              <w:suppressAutoHyphens w:val="0"/>
              <w:spacing w:line="240" w:lineRule="exact"/>
            </w:pPr>
            <w:r>
              <w:t>Original: English</w:t>
            </w:r>
          </w:p>
        </w:tc>
      </w:tr>
    </w:tbl>
    <w:p w14:paraId="60CB92EB" w14:textId="77777777" w:rsidR="00113DF4" w:rsidRPr="00283442" w:rsidRDefault="00113DF4" w:rsidP="00113DF4">
      <w:pPr>
        <w:spacing w:before="120"/>
        <w:rPr>
          <w:b/>
          <w:sz w:val="24"/>
          <w:szCs w:val="24"/>
          <w:lang w:val="en-US"/>
        </w:rPr>
      </w:pPr>
      <w:r w:rsidRPr="00283442">
        <w:rPr>
          <w:b/>
          <w:sz w:val="24"/>
          <w:szCs w:val="24"/>
          <w:lang w:val="en-US"/>
        </w:rPr>
        <w:t>Committee of Experts on the Transport of Dangerous Goods</w:t>
      </w:r>
      <w:r w:rsidRPr="00283442">
        <w:rPr>
          <w:b/>
          <w:sz w:val="24"/>
          <w:szCs w:val="24"/>
          <w:lang w:val="en-US"/>
        </w:rPr>
        <w:br/>
        <w:t>and on the Globally Harmonized System of Classification</w:t>
      </w:r>
      <w:r w:rsidRPr="00283442">
        <w:rPr>
          <w:b/>
          <w:sz w:val="24"/>
          <w:szCs w:val="24"/>
          <w:lang w:val="en-US"/>
        </w:rPr>
        <w:br/>
        <w:t>and Labelling of Chemicals</w:t>
      </w:r>
    </w:p>
    <w:p w14:paraId="7CD02E3D" w14:textId="77777777" w:rsidR="00113DF4" w:rsidRPr="00283442" w:rsidRDefault="00113DF4" w:rsidP="00113DF4">
      <w:pPr>
        <w:spacing w:before="120"/>
        <w:rPr>
          <w:rFonts w:ascii="Helv" w:hAnsi="Helv" w:cs="Helv"/>
          <w:b/>
          <w:color w:val="000000"/>
          <w:lang w:val="en-US"/>
        </w:rPr>
      </w:pPr>
      <w:r w:rsidRPr="00283442">
        <w:rPr>
          <w:b/>
          <w:lang w:val="en-US"/>
        </w:rPr>
        <w:t>Sub-Committee of Experts on the Globally Harmonized</w:t>
      </w:r>
      <w:r w:rsidRPr="00283442">
        <w:rPr>
          <w:b/>
          <w:lang w:val="en-US"/>
        </w:rPr>
        <w:br/>
        <w:t>System of Classification and Labelling of Chemicals</w:t>
      </w:r>
    </w:p>
    <w:p w14:paraId="598AD770" w14:textId="77777777" w:rsidR="00113DF4" w:rsidRPr="00283442" w:rsidRDefault="00113DF4" w:rsidP="00113DF4">
      <w:pPr>
        <w:spacing w:before="120"/>
        <w:rPr>
          <w:b/>
        </w:rPr>
      </w:pPr>
      <w:r w:rsidRPr="00283442">
        <w:rPr>
          <w:b/>
          <w:bCs/>
        </w:rPr>
        <w:t>T</w:t>
      </w:r>
      <w:r>
        <w:rPr>
          <w:b/>
          <w:bCs/>
        </w:rPr>
        <w:t>hirty-eighth</w:t>
      </w:r>
      <w:r w:rsidRPr="00283442">
        <w:rPr>
          <w:b/>
          <w:bCs/>
        </w:rPr>
        <w:t xml:space="preserve"> session</w:t>
      </w:r>
    </w:p>
    <w:p w14:paraId="3E77D880" w14:textId="77777777" w:rsidR="00113DF4" w:rsidRPr="00283442" w:rsidRDefault="00113DF4" w:rsidP="00113DF4">
      <w:pPr>
        <w:jc w:val="both"/>
      </w:pPr>
      <w:r w:rsidRPr="00283442">
        <w:t xml:space="preserve">Geneva, </w:t>
      </w:r>
      <w:r>
        <w:t>11-13 December 2019</w:t>
      </w:r>
    </w:p>
    <w:p w14:paraId="16B98729" w14:textId="77777777" w:rsidR="000B2A8B" w:rsidRPr="00EF1A4D" w:rsidRDefault="000B2A8B" w:rsidP="000B2A8B">
      <w:r w:rsidRPr="00EF1A4D">
        <w:t>Item 3 (b) of the provisional agenda</w:t>
      </w:r>
    </w:p>
    <w:p w14:paraId="6682EF82" w14:textId="77777777" w:rsidR="00113DF4" w:rsidRPr="00283442" w:rsidRDefault="000B2A8B" w:rsidP="00292875">
      <w:pPr>
        <w:rPr>
          <w:b/>
        </w:rPr>
      </w:pPr>
      <w:r w:rsidRPr="00130497">
        <w:rPr>
          <w:b/>
        </w:rPr>
        <w:t xml:space="preserve">Hazard communication: </w:t>
      </w:r>
      <w:r w:rsidRPr="00130497">
        <w:rPr>
          <w:b/>
        </w:rPr>
        <w:br/>
      </w:r>
      <w:r w:rsidR="00BF4B65">
        <w:rPr>
          <w:b/>
        </w:rPr>
        <w:t>i</w:t>
      </w:r>
      <w:r w:rsidRPr="00130497">
        <w:rPr>
          <w:b/>
        </w:rPr>
        <w:t>mprovement of annexes 1 to 3 and further</w:t>
      </w:r>
      <w:r w:rsidRPr="00130497">
        <w:rPr>
          <w:b/>
        </w:rPr>
        <w:br/>
        <w:t>rationalization of precautionary statements</w:t>
      </w:r>
    </w:p>
    <w:p w14:paraId="482B303C" w14:textId="77777777" w:rsidR="00113DF4" w:rsidRDefault="00113DF4" w:rsidP="00113DF4">
      <w:pPr>
        <w:pStyle w:val="HChG"/>
      </w:pPr>
      <w:r>
        <w:tab/>
      </w:r>
      <w:r>
        <w:tab/>
        <w:t xml:space="preserve">Corrections </w:t>
      </w:r>
      <w:r w:rsidR="001E0496">
        <w:t xml:space="preserve">and amendments </w:t>
      </w:r>
      <w:r>
        <w:t>to Annex 3, section</w:t>
      </w:r>
      <w:r w:rsidR="00FE5CAC">
        <w:t>s</w:t>
      </w:r>
      <w:r>
        <w:t xml:space="preserve"> </w:t>
      </w:r>
      <w:r w:rsidR="00FE5CAC">
        <w:t xml:space="preserve">2 and </w:t>
      </w:r>
      <w:r>
        <w:t>3</w:t>
      </w:r>
    </w:p>
    <w:p w14:paraId="3BE637C0" w14:textId="77777777" w:rsidR="00113DF4" w:rsidRDefault="00113DF4" w:rsidP="00E64254">
      <w:pPr>
        <w:pStyle w:val="H1G"/>
      </w:pPr>
      <w:r>
        <w:tab/>
      </w:r>
      <w:r>
        <w:tab/>
        <w:t>Transmitted by the expert from the United Kingdom</w:t>
      </w:r>
      <w:r w:rsidR="00B23858">
        <w:t xml:space="preserve"> on behalf of</w:t>
      </w:r>
      <w:r w:rsidR="00E64254">
        <w:t xml:space="preserve"> the informal working group on improving an</w:t>
      </w:r>
      <w:bookmarkStart w:id="0" w:name="_GoBack"/>
      <w:bookmarkEnd w:id="0"/>
      <w:r w:rsidR="00E64254">
        <w:t>nexes 1, 2 and 3 of the GHS</w:t>
      </w:r>
      <w:r w:rsidR="003A4DD4" w:rsidRPr="003A4DD4">
        <w:rPr>
          <w:rStyle w:val="FootnoteReference"/>
          <w:sz w:val="20"/>
          <w:vertAlign w:val="baseline"/>
        </w:rPr>
        <w:footnoteReference w:customMarkFollows="1" w:id="2"/>
        <w:t>*</w:t>
      </w:r>
    </w:p>
    <w:p w14:paraId="09F5A54F" w14:textId="77777777" w:rsidR="005D7DB9" w:rsidRDefault="00B23858" w:rsidP="005D7DB9">
      <w:pPr>
        <w:pStyle w:val="SingleTxtG"/>
      </w:pPr>
      <w:r>
        <w:t>1.</w:t>
      </w:r>
      <w:r>
        <w:tab/>
      </w:r>
      <w:r w:rsidR="005D7DB9">
        <w:t xml:space="preserve">At its meeting on 8 July 2019, the informal working group on the improvement of annexes 1 to 3 of the GHS discussed the following corrections and agreed to submit them to the Sub-Committee for consideration. </w:t>
      </w:r>
    </w:p>
    <w:p w14:paraId="2FD37209" w14:textId="77777777" w:rsidR="00113DF4" w:rsidRDefault="00113DF4" w:rsidP="00540059">
      <w:pPr>
        <w:pStyle w:val="H1G"/>
      </w:pPr>
      <w:r w:rsidRPr="00113DF4">
        <w:tab/>
      </w:r>
      <w:r w:rsidR="00BA779A">
        <w:tab/>
      </w:r>
      <w:r>
        <w:t>S</w:t>
      </w:r>
      <w:r w:rsidRPr="00113DF4">
        <w:t>erious eye damage/eye irritation</w:t>
      </w:r>
    </w:p>
    <w:p w14:paraId="5DCA8ECC" w14:textId="77777777" w:rsidR="005D7DB9" w:rsidRDefault="00B23858" w:rsidP="005D7DB9">
      <w:pPr>
        <w:pStyle w:val="SingleTxtG"/>
      </w:pPr>
      <w:r>
        <w:t>2.</w:t>
      </w:r>
      <w:r>
        <w:tab/>
      </w:r>
      <w:r w:rsidR="005D7DB9">
        <w:t>Chapter 3.3 details the classification criteria for substances and mixtures within the hazard class of Serious Eye Damage/Eye irritation providing the hazard categories as:</w:t>
      </w:r>
    </w:p>
    <w:p w14:paraId="3ED5058C" w14:textId="77777777" w:rsidR="005D7DB9" w:rsidRDefault="005D7DB9" w:rsidP="00B23858">
      <w:pPr>
        <w:pStyle w:val="SingleTxtG"/>
        <w:ind w:left="1701"/>
      </w:pPr>
      <w:r>
        <w:tab/>
        <w:t>(a)</w:t>
      </w:r>
      <w:r>
        <w:tab/>
        <w:t xml:space="preserve">Category 1 “Serious Eye Damage/Irreversible effects on the eye”; and </w:t>
      </w:r>
    </w:p>
    <w:p w14:paraId="0D4292BF" w14:textId="77777777" w:rsidR="005D7DB9" w:rsidRDefault="005D7DB9" w:rsidP="00B23858">
      <w:pPr>
        <w:pStyle w:val="SingleTxtG"/>
        <w:ind w:left="1701"/>
      </w:pPr>
      <w:r>
        <w:t>(b)</w:t>
      </w:r>
      <w:r>
        <w:tab/>
        <w:t>Category 2 “Eye irritation/reversible effects on the eye”</w:t>
      </w:r>
    </w:p>
    <w:p w14:paraId="4E04566B" w14:textId="77777777" w:rsidR="005D7DB9" w:rsidRDefault="00B23858" w:rsidP="00CF0BE8">
      <w:pPr>
        <w:pStyle w:val="SingleTxtG"/>
      </w:pPr>
      <w:r>
        <w:t>3.</w:t>
      </w:r>
      <w:r>
        <w:tab/>
      </w:r>
      <w:r w:rsidR="00CF0BE8">
        <w:t>However, i</w:t>
      </w:r>
      <w:r w:rsidR="005D7DB9">
        <w:t xml:space="preserve">n Annex 3, section 3, the tables for this hazard class </w:t>
      </w:r>
      <w:r w:rsidR="00CF0BE8">
        <w:t xml:space="preserve">(hazard categories 1, 2/A and 2B) </w:t>
      </w:r>
      <w:r w:rsidR="005D7DB9">
        <w:t xml:space="preserve">refer to </w:t>
      </w:r>
      <w:r w:rsidR="00CF0BE8">
        <w:t>“</w:t>
      </w:r>
      <w:r w:rsidR="005D7DB9">
        <w:t>Eye damage/irritation</w:t>
      </w:r>
      <w:r w:rsidR="00CF0BE8">
        <w:t>”</w:t>
      </w:r>
      <w:r w:rsidR="005D7DB9">
        <w:t xml:space="preserve"> which is inconsistent with the terms used in Chapter 3.3 for these hazard categories. Further, in terms of the table heading used for Category 1 it could be viewed as being misleading as it under emphasises the seriousness of this hazard category.</w:t>
      </w:r>
    </w:p>
    <w:p w14:paraId="17742715" w14:textId="77777777" w:rsidR="00CF0BE8" w:rsidRPr="005D7DB9" w:rsidRDefault="00B23858" w:rsidP="00CF0BE8">
      <w:pPr>
        <w:pStyle w:val="SingleTxtG"/>
      </w:pPr>
      <w:r>
        <w:t>4.</w:t>
      </w:r>
      <w:r>
        <w:tab/>
      </w:r>
      <w:r w:rsidR="00CF0BE8">
        <w:t xml:space="preserve">The informal working group considered that this discrepancy creates ambiguity and requires clarification. </w:t>
      </w:r>
    </w:p>
    <w:p w14:paraId="5E0C0CCB" w14:textId="77777777" w:rsidR="005D7DB9" w:rsidRDefault="00CF0BE8" w:rsidP="00540059">
      <w:pPr>
        <w:pStyle w:val="H23G"/>
      </w:pPr>
      <w:r>
        <w:lastRenderedPageBreak/>
        <w:tab/>
      </w:r>
      <w:r>
        <w:tab/>
      </w:r>
      <w:r w:rsidR="00B23858" w:rsidRPr="007F3945">
        <w:t>Proposed c</w:t>
      </w:r>
      <w:r w:rsidRPr="007F3945">
        <w:t>orrection</w:t>
      </w:r>
    </w:p>
    <w:p w14:paraId="0F53C27B" w14:textId="77777777" w:rsidR="00CF0BE8" w:rsidRDefault="001E0496" w:rsidP="009E377B">
      <w:pPr>
        <w:pStyle w:val="SingleTxtG"/>
      </w:pPr>
      <w:r>
        <w:t>5.</w:t>
      </w:r>
      <w:r>
        <w:tab/>
      </w:r>
      <w:r w:rsidR="00CF0BE8">
        <w:t>In Annex 3, Section 3, tables for eye damage/irritation</w:t>
      </w:r>
      <w:r w:rsidR="00CA3BE0" w:rsidRPr="00CA3BE0">
        <w:t xml:space="preserve"> </w:t>
      </w:r>
      <w:r w:rsidR="00CA3BE0">
        <w:t xml:space="preserve">(chapter 3.3), </w:t>
      </w:r>
      <w:r w:rsidR="00CF0BE8">
        <w:t>hazard categories 1, 2/2A, 2B</w:t>
      </w:r>
      <w:r>
        <w:t>:</w:t>
      </w:r>
    </w:p>
    <w:p w14:paraId="1B58B064" w14:textId="77777777" w:rsidR="00CF0BE8" w:rsidRDefault="00CF0BE8" w:rsidP="009E377B">
      <w:pPr>
        <w:pStyle w:val="SingleTxtG"/>
      </w:pPr>
      <w:r>
        <w:t xml:space="preserve">In the heading </w:t>
      </w:r>
      <w:r w:rsidR="00CA3BE0">
        <w:t>of the tables</w:t>
      </w:r>
      <w:r w:rsidR="00BA779A">
        <w:t>,</w:t>
      </w:r>
      <w:r w:rsidR="00CA3BE0">
        <w:t xml:space="preserve"> </w:t>
      </w:r>
      <w:r w:rsidRPr="00CF0BE8">
        <w:rPr>
          <w:i/>
          <w:iCs/>
        </w:rPr>
        <w:t>for</w:t>
      </w:r>
      <w:r w:rsidRPr="00CF0BE8">
        <w:t xml:space="preserve"> </w:t>
      </w:r>
      <w:r>
        <w:t xml:space="preserve">EYE DAMAGE/IRRITATION </w:t>
      </w:r>
      <w:r w:rsidRPr="00CF0BE8">
        <w:rPr>
          <w:i/>
          <w:iCs/>
        </w:rPr>
        <w:t>read</w:t>
      </w:r>
      <w:r>
        <w:t xml:space="preserve"> SERIOUS EYE DAMAGE/EYE IRRITATION (CHAPTER 3.3)</w:t>
      </w:r>
    </w:p>
    <w:p w14:paraId="3473BFA6" w14:textId="77777777" w:rsidR="00B23858" w:rsidRPr="00540059" w:rsidRDefault="00B23858" w:rsidP="00540059">
      <w:pPr>
        <w:pStyle w:val="H1G"/>
      </w:pPr>
      <w:r w:rsidRPr="00540059">
        <w:tab/>
      </w:r>
      <w:r w:rsidR="00BA779A" w:rsidRPr="00540059">
        <w:tab/>
        <w:t>P</w:t>
      </w:r>
      <w:r w:rsidR="00CA3BE0" w:rsidRPr="00540059">
        <w:t xml:space="preserve">recautionary statement </w:t>
      </w:r>
      <w:r w:rsidRPr="00540059">
        <w:t>P231</w:t>
      </w:r>
      <w:r w:rsidR="00BA779A" w:rsidRPr="00540059">
        <w:t xml:space="preserve"> for pyrophoric liquids and solids</w:t>
      </w:r>
    </w:p>
    <w:p w14:paraId="578C1C8B" w14:textId="77777777" w:rsidR="00CA3BE0" w:rsidRPr="00CA3BE0" w:rsidRDefault="001E0496" w:rsidP="00CA3BE0">
      <w:pPr>
        <w:pStyle w:val="SingleTxtG"/>
        <w:rPr>
          <w:rFonts w:asciiTheme="majorBidi" w:eastAsia="Times New Roman" w:hAnsiTheme="majorBidi" w:cstheme="majorBidi"/>
        </w:rPr>
      </w:pPr>
      <w:r>
        <w:rPr>
          <w:rFonts w:eastAsia="Times New Roman"/>
        </w:rPr>
        <w:t>6</w:t>
      </w:r>
      <w:r w:rsidR="00CA3BE0">
        <w:rPr>
          <w:rFonts w:eastAsia="Times New Roman"/>
        </w:rPr>
        <w:t>.</w:t>
      </w:r>
      <w:r w:rsidR="00CA3BE0">
        <w:rPr>
          <w:rFonts w:eastAsia="Times New Roman"/>
        </w:rPr>
        <w:tab/>
        <w:t xml:space="preserve">At its </w:t>
      </w:r>
      <w:r w:rsidR="00CA3BE0" w:rsidRPr="00B26757">
        <w:rPr>
          <w:rFonts w:eastAsia="Times New Roman"/>
        </w:rPr>
        <w:t>thirty-second session (December 2016),</w:t>
      </w:r>
      <w:r w:rsidR="00CA3BE0">
        <w:rPr>
          <w:rFonts w:eastAsia="Times New Roman"/>
        </w:rPr>
        <w:t xml:space="preserve"> the Sub-Committee adopted a proposal </w:t>
      </w:r>
      <w:r w:rsidR="009D7CD8">
        <w:rPr>
          <w:rFonts w:eastAsia="Times New Roman"/>
        </w:rPr>
        <w:t>(see ST/SG/AC.10</w:t>
      </w:r>
      <w:r w:rsidR="0099652A">
        <w:rPr>
          <w:rFonts w:eastAsia="Times New Roman"/>
        </w:rPr>
        <w:t>/C</w:t>
      </w:r>
      <w:r w:rsidR="009D7CD8">
        <w:rPr>
          <w:rFonts w:eastAsia="Times New Roman"/>
        </w:rPr>
        <w:t>.4/2016/17</w:t>
      </w:r>
      <w:r w:rsidR="00B26757">
        <w:rPr>
          <w:rFonts w:eastAsia="Times New Roman"/>
        </w:rPr>
        <w:t xml:space="preserve"> and ST</w:t>
      </w:r>
      <w:r w:rsidR="0044698A">
        <w:rPr>
          <w:rFonts w:eastAsia="Times New Roman"/>
        </w:rPr>
        <w:t>/</w:t>
      </w:r>
      <w:r w:rsidR="00B26757">
        <w:rPr>
          <w:rFonts w:eastAsia="Times New Roman"/>
        </w:rPr>
        <w:t>SG</w:t>
      </w:r>
      <w:r w:rsidR="0044698A">
        <w:rPr>
          <w:rFonts w:eastAsia="Times New Roman"/>
        </w:rPr>
        <w:t>/</w:t>
      </w:r>
      <w:r w:rsidR="00B26757">
        <w:rPr>
          <w:rFonts w:eastAsia="Times New Roman"/>
        </w:rPr>
        <w:t>AC.10</w:t>
      </w:r>
      <w:r w:rsidR="0044698A">
        <w:rPr>
          <w:rFonts w:eastAsia="Times New Roman"/>
        </w:rPr>
        <w:t>/</w:t>
      </w:r>
      <w:r w:rsidR="00B26757">
        <w:rPr>
          <w:rFonts w:eastAsia="Times New Roman"/>
        </w:rPr>
        <w:t>C</w:t>
      </w:r>
      <w:r w:rsidR="0099652A">
        <w:rPr>
          <w:rFonts w:eastAsia="Times New Roman"/>
        </w:rPr>
        <w:t>.</w:t>
      </w:r>
      <w:r w:rsidR="00B26757">
        <w:rPr>
          <w:rFonts w:eastAsia="Times New Roman"/>
        </w:rPr>
        <w:t>4</w:t>
      </w:r>
      <w:r w:rsidR="0044698A">
        <w:rPr>
          <w:rFonts w:eastAsia="Times New Roman"/>
        </w:rPr>
        <w:t>/</w:t>
      </w:r>
      <w:r w:rsidR="00B26757">
        <w:rPr>
          <w:rFonts w:eastAsia="Times New Roman"/>
        </w:rPr>
        <w:t>64</w:t>
      </w:r>
      <w:r w:rsidR="009D7CD8">
        <w:rPr>
          <w:rFonts w:eastAsia="Times New Roman"/>
        </w:rPr>
        <w:t xml:space="preserve">) </w:t>
      </w:r>
      <w:r w:rsidR="00CA3BE0">
        <w:rPr>
          <w:rFonts w:eastAsia="Times New Roman"/>
        </w:rPr>
        <w:t>to remove the entries for</w:t>
      </w:r>
      <w:r w:rsidR="00CA3BE0">
        <w:t xml:space="preserve"> pyrophoric liquids (Chapter 2.9) and pyrophoric solids (Chapter 2.10) in Table A3.2.2 (Annex 3, Section 2) from the </w:t>
      </w:r>
      <w:r w:rsidR="00540059">
        <w:t>combined</w:t>
      </w:r>
      <w:r w:rsidR="00CA3BE0">
        <w:t xml:space="preserve"> statement </w:t>
      </w:r>
      <w:r w:rsidR="00CA3BE0">
        <w:rPr>
          <w:rFonts w:eastAsia="Times New Roman"/>
        </w:rPr>
        <w:t>P231</w:t>
      </w:r>
      <w:r w:rsidR="00975B3F">
        <w:rPr>
          <w:rFonts w:eastAsia="Times New Roman"/>
        </w:rPr>
        <w:t xml:space="preserve"> </w:t>
      </w:r>
      <w:r w:rsidR="00CA3BE0">
        <w:rPr>
          <w:rFonts w:eastAsia="Times New Roman"/>
        </w:rPr>
        <w:t>+</w:t>
      </w:r>
      <w:r w:rsidR="00975B3F">
        <w:rPr>
          <w:rFonts w:eastAsia="Times New Roman"/>
        </w:rPr>
        <w:t xml:space="preserve"> </w:t>
      </w:r>
      <w:r w:rsidR="00CA3BE0">
        <w:rPr>
          <w:rFonts w:eastAsia="Times New Roman"/>
        </w:rPr>
        <w:t xml:space="preserve">P232 </w:t>
      </w:r>
      <w:r w:rsidR="00CA3BE0" w:rsidRPr="00CA3BE0">
        <w:rPr>
          <w:rFonts w:asciiTheme="majorBidi" w:eastAsia="Times New Roman" w:hAnsiTheme="majorBidi" w:cstheme="majorBidi"/>
        </w:rPr>
        <w:t>“</w:t>
      </w:r>
      <w:r w:rsidR="00CA3BE0" w:rsidRPr="00CA3BE0">
        <w:rPr>
          <w:rStyle w:val="StyleBold"/>
          <w:rFonts w:asciiTheme="majorBidi" w:hAnsiTheme="majorBidi" w:cstheme="majorBidi"/>
        </w:rPr>
        <w:t>Handle and store contents under inert gas/...</w:t>
      </w:r>
      <w:r w:rsidR="00CA3BE0">
        <w:rPr>
          <w:rStyle w:val="StyleBold"/>
          <w:rFonts w:asciiTheme="majorBidi" w:hAnsiTheme="majorBidi" w:cstheme="majorBidi"/>
        </w:rPr>
        <w:t xml:space="preserve">: </w:t>
      </w:r>
      <w:r w:rsidR="00CA3BE0" w:rsidRPr="00CA3BE0">
        <w:rPr>
          <w:rFonts w:asciiTheme="majorBidi" w:hAnsiTheme="majorBidi" w:cstheme="majorBidi"/>
          <w:b/>
        </w:rPr>
        <w:t>Protect from moisture</w:t>
      </w:r>
      <w:r w:rsidR="00CA3BE0" w:rsidRPr="00CA3BE0">
        <w:rPr>
          <w:rFonts w:asciiTheme="majorBidi" w:hAnsiTheme="majorBidi" w:cstheme="majorBidi"/>
        </w:rPr>
        <w:t>.</w:t>
      </w:r>
      <w:r w:rsidR="00975B3F">
        <w:rPr>
          <w:rFonts w:asciiTheme="majorBidi" w:hAnsiTheme="majorBidi" w:cstheme="majorBidi"/>
        </w:rPr>
        <w:t>”</w:t>
      </w:r>
      <w:r w:rsidR="00975B3F" w:rsidRPr="00CA3BE0">
        <w:rPr>
          <w:rFonts w:asciiTheme="majorBidi" w:eastAsia="Times New Roman" w:hAnsiTheme="majorBidi" w:cstheme="majorBidi"/>
        </w:rPr>
        <w:t xml:space="preserve"> </w:t>
      </w:r>
      <w:r w:rsidR="00CA3BE0" w:rsidRPr="00CA3BE0">
        <w:rPr>
          <w:rFonts w:asciiTheme="majorBidi" w:eastAsia="Times New Roman" w:hAnsiTheme="majorBidi" w:cstheme="majorBidi"/>
        </w:rPr>
        <w:t>because P232</w:t>
      </w:r>
      <w:r w:rsidR="00CA3BE0" w:rsidRPr="00CA3BE0">
        <w:rPr>
          <w:rFonts w:asciiTheme="majorBidi" w:hAnsiTheme="majorBidi" w:cstheme="majorBidi"/>
        </w:rPr>
        <w:t xml:space="preserve"> was not applicable to these hazard classes and hence should not be applied to them.</w:t>
      </w:r>
    </w:p>
    <w:p w14:paraId="352FE726" w14:textId="77777777" w:rsidR="00CA3BE0" w:rsidRDefault="001E0496" w:rsidP="00CA3BE0">
      <w:pPr>
        <w:pStyle w:val="SingleTxtG"/>
      </w:pPr>
      <w:r>
        <w:t>7</w:t>
      </w:r>
      <w:r w:rsidR="00CA3BE0">
        <w:t>.</w:t>
      </w:r>
      <w:r w:rsidR="00CA3BE0">
        <w:tab/>
        <w:t>The entries for pyrophoric liquids and pyrophoric solids were correctly deleted from the combination statement P231 + P232 in Table A3.2.2</w:t>
      </w:r>
      <w:r w:rsidR="00801005">
        <w:t xml:space="preserve">. However, </w:t>
      </w:r>
      <w:r w:rsidR="00CA3BE0">
        <w:t>the combined statement was also inadvertently deleted from the tables in Section 3 of Annex</w:t>
      </w:r>
      <w:r w:rsidR="00801005">
        <w:t> </w:t>
      </w:r>
      <w:r w:rsidR="00CA3BE0">
        <w:t>3</w:t>
      </w:r>
      <w:r w:rsidR="00801005">
        <w:t xml:space="preserve"> </w:t>
      </w:r>
      <w:r w:rsidR="00975B3F">
        <w:t xml:space="preserve">for these hazard classes </w:t>
      </w:r>
      <w:r w:rsidR="00801005">
        <w:t>when</w:t>
      </w:r>
      <w:r w:rsidR="00CA3BE0">
        <w:t xml:space="preserve"> P231 remains applicable and only P232 should have been deleted from the pyrophoric liquids and pyrophoric solids tables in Section 3.</w:t>
      </w:r>
    </w:p>
    <w:p w14:paraId="09C370CE" w14:textId="77777777" w:rsidR="00CA3BE0" w:rsidRDefault="00CA3BE0" w:rsidP="00CA3BE0">
      <w:pPr>
        <w:pStyle w:val="H23G"/>
      </w:pPr>
      <w:r>
        <w:tab/>
      </w:r>
      <w:r>
        <w:tab/>
        <w:t>Proposed correction</w:t>
      </w:r>
    </w:p>
    <w:p w14:paraId="29CB33B4" w14:textId="77777777" w:rsidR="00BA779A" w:rsidRDefault="001E0496" w:rsidP="009E377B">
      <w:pPr>
        <w:pStyle w:val="SingleTxtG"/>
        <w:rPr>
          <w:i/>
          <w:iCs/>
        </w:rPr>
      </w:pPr>
      <w:r>
        <w:t>8</w:t>
      </w:r>
      <w:r w:rsidR="00540059">
        <w:t>.</w:t>
      </w:r>
      <w:r w:rsidR="00540059">
        <w:tab/>
      </w:r>
      <w:r w:rsidR="00CA3BE0">
        <w:t>In Annex 3, Section 3, tables for pyrophoric liquids (chapter 2.9) and pyrophoric solids (chapter 2.10)</w:t>
      </w:r>
      <w:r w:rsidR="00743285">
        <w:t>, u</w:t>
      </w:r>
      <w:r w:rsidR="00CA3BE0" w:rsidRPr="00CA3BE0">
        <w:t xml:space="preserve">nder “Prevention” </w:t>
      </w:r>
      <w:r w:rsidR="00BA779A" w:rsidRPr="00BA779A">
        <w:rPr>
          <w:i/>
          <w:iCs/>
        </w:rPr>
        <w:t>insert</w:t>
      </w:r>
      <w:r w:rsidR="00743285">
        <w:rPr>
          <w:i/>
          <w:iCs/>
        </w:rPr>
        <w:t>:</w:t>
      </w:r>
    </w:p>
    <w:p w14:paraId="738B41F3" w14:textId="77777777" w:rsidR="00CA3BE0" w:rsidRDefault="00BA779A" w:rsidP="00540059">
      <w:pPr>
        <w:pStyle w:val="SingleTxtG"/>
        <w:spacing w:after="0"/>
        <w:ind w:left="1701"/>
        <w:rPr>
          <w:b/>
          <w:bCs/>
        </w:rPr>
      </w:pPr>
      <w:r w:rsidRPr="00BA779A">
        <w:t>P231</w:t>
      </w:r>
      <w:r>
        <w:rPr>
          <w:b/>
          <w:bCs/>
        </w:rPr>
        <w:t xml:space="preserve"> </w:t>
      </w:r>
      <w:r>
        <w:rPr>
          <w:b/>
          <w:bCs/>
        </w:rPr>
        <w:br/>
        <w:t>Handle and store contents under inert gas/…</w:t>
      </w:r>
    </w:p>
    <w:p w14:paraId="406E0502" w14:textId="77777777" w:rsidR="00BA779A" w:rsidRDefault="00BA779A" w:rsidP="00540059">
      <w:pPr>
        <w:pStyle w:val="SingleTxtG"/>
        <w:ind w:left="1701"/>
      </w:pPr>
      <w:r>
        <w:t>…Manufacturer/supplier or the competent authority to specify appropriate liquid or gas if “inert gas” is not appropriate.</w:t>
      </w:r>
    </w:p>
    <w:p w14:paraId="57C2EFC6" w14:textId="77777777" w:rsidR="00BA779A" w:rsidRDefault="00BA779A" w:rsidP="00BA779A">
      <w:pPr>
        <w:pStyle w:val="H1G"/>
      </w:pPr>
      <w:r>
        <w:tab/>
      </w:r>
      <w:r>
        <w:tab/>
        <w:t>Precautionary statement P230 for explosives of divisions 1.1, 1.2, 1.3 and 1.5</w:t>
      </w:r>
    </w:p>
    <w:p w14:paraId="6C7554CC" w14:textId="77777777" w:rsidR="003A4DD4" w:rsidRDefault="001E0496" w:rsidP="003A4DD4">
      <w:pPr>
        <w:pStyle w:val="SingleTxtG"/>
      </w:pPr>
      <w:r>
        <w:t>9</w:t>
      </w:r>
      <w:r w:rsidR="00C20816">
        <w:t>.</w:t>
      </w:r>
      <w:r w:rsidR="00C20816">
        <w:tab/>
      </w:r>
      <w:r w:rsidR="00ED545A">
        <w:t>Precautionary statement P230 “</w:t>
      </w:r>
      <w:r w:rsidR="00ED545A" w:rsidRPr="005455BB">
        <w:rPr>
          <w:b/>
        </w:rPr>
        <w:t>Keep wetted with…</w:t>
      </w:r>
      <w:r w:rsidR="00ED545A">
        <w:t xml:space="preserve">” together with the applicable conditions for use is assigned in </w:t>
      </w:r>
      <w:r w:rsidR="00B62E53">
        <w:t xml:space="preserve">Table </w:t>
      </w:r>
      <w:r w:rsidR="00ED545A">
        <w:t>A.3.2.2 to explosives (divisions 1.1, 1.2, 1.3 and 1.5)</w:t>
      </w:r>
      <w:r w:rsidR="00B62E53">
        <w:t xml:space="preserve"> and</w:t>
      </w:r>
      <w:r w:rsidR="00ED545A">
        <w:t xml:space="preserve"> to these explosives in </w:t>
      </w:r>
      <w:r w:rsidR="0023376F">
        <w:t xml:space="preserve">the corresponding table in </w:t>
      </w:r>
      <w:r w:rsidR="00ED545A">
        <w:t>Section 3</w:t>
      </w:r>
      <w:r w:rsidR="003A4DD4">
        <w:t>.</w:t>
      </w:r>
    </w:p>
    <w:p w14:paraId="6C42F617" w14:textId="77777777" w:rsidR="003A4DD4" w:rsidRDefault="001E0496" w:rsidP="003A4DD4">
      <w:pPr>
        <w:pStyle w:val="SingleTxtG"/>
      </w:pPr>
      <w:r>
        <w:t>10</w:t>
      </w:r>
      <w:r w:rsidR="003A4DD4">
        <w:t>.</w:t>
      </w:r>
      <w:r w:rsidR="003A4DD4">
        <w:tab/>
        <w:t>The conditions for use should be consistent among the tables. However, this is not the case, as shown below</w:t>
      </w:r>
      <w:r w:rsidR="00023765">
        <w:t xml:space="preserve"> (differences are </w:t>
      </w:r>
      <w:r w:rsidR="00023765" w:rsidRPr="00023765">
        <w:rPr>
          <w:u w:val="single"/>
        </w:rPr>
        <w:t>underlined</w:t>
      </w:r>
      <w:r w:rsidR="00023765">
        <w:t>)</w:t>
      </w:r>
      <w:r w:rsidR="003A4DD4">
        <w:t>:</w:t>
      </w:r>
    </w:p>
    <w:tbl>
      <w:tblPr>
        <w:tblStyle w:val="TableGrid"/>
        <w:tblW w:w="7370" w:type="dxa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5952"/>
      </w:tblGrid>
      <w:tr w:rsidR="00023765" w:rsidRPr="00023765" w14:paraId="64F5BDBC" w14:textId="77777777" w:rsidTr="00023765"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FE7C46B" w14:textId="77777777" w:rsidR="00023765" w:rsidRPr="00023765" w:rsidRDefault="00023765" w:rsidP="00023765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  <w:r>
              <w:rPr>
                <w:i/>
                <w:sz w:val="16"/>
              </w:rPr>
              <w:t>P230</w:t>
            </w:r>
          </w:p>
        </w:tc>
        <w:tc>
          <w:tcPr>
            <w:tcW w:w="595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96724A5" w14:textId="77777777" w:rsidR="00023765" w:rsidRPr="00023765" w:rsidRDefault="00023765" w:rsidP="00023765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  <w:r>
              <w:rPr>
                <w:i/>
                <w:sz w:val="16"/>
              </w:rPr>
              <w:t>Conditions for use</w:t>
            </w:r>
          </w:p>
        </w:tc>
      </w:tr>
      <w:tr w:rsidR="00023765" w:rsidRPr="00023765" w14:paraId="2A3D8DEB" w14:textId="77777777" w:rsidTr="00023765">
        <w:trPr>
          <w:trHeight w:hRule="exact" w:val="113"/>
        </w:trPr>
        <w:tc>
          <w:tcPr>
            <w:tcW w:w="1418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427CAF70" w14:textId="77777777" w:rsidR="00023765" w:rsidRPr="00023765" w:rsidRDefault="00023765" w:rsidP="00023765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</w:p>
        </w:tc>
        <w:tc>
          <w:tcPr>
            <w:tcW w:w="5952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446322DF" w14:textId="77777777" w:rsidR="00023765" w:rsidRPr="00023765" w:rsidRDefault="00023765" w:rsidP="00023765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</w:p>
        </w:tc>
      </w:tr>
      <w:tr w:rsidR="00023765" w:rsidRPr="00023765" w14:paraId="09CAD809" w14:textId="77777777" w:rsidTr="00023765">
        <w:tc>
          <w:tcPr>
            <w:tcW w:w="1418" w:type="dxa"/>
            <w:shd w:val="clear" w:color="auto" w:fill="auto"/>
          </w:tcPr>
          <w:p w14:paraId="167A4019" w14:textId="77777777" w:rsidR="00023765" w:rsidRPr="00023765" w:rsidRDefault="00023765" w:rsidP="00023765">
            <w:pPr>
              <w:spacing w:before="40" w:after="120"/>
              <w:ind w:right="113"/>
            </w:pPr>
            <w:r>
              <w:t>Table A3.2.2</w:t>
            </w:r>
          </w:p>
        </w:tc>
        <w:tc>
          <w:tcPr>
            <w:tcW w:w="5952" w:type="dxa"/>
            <w:shd w:val="clear" w:color="auto" w:fill="auto"/>
          </w:tcPr>
          <w:p w14:paraId="6AF9BCBF" w14:textId="77777777" w:rsidR="00023765" w:rsidRPr="00540059" w:rsidRDefault="00023765" w:rsidP="00023765">
            <w:pPr>
              <w:keepNext/>
              <w:keepLines/>
              <w:tabs>
                <w:tab w:val="left" w:pos="186"/>
              </w:tabs>
              <w:spacing w:before="20" w:after="20"/>
            </w:pPr>
            <w:r w:rsidRPr="00540059">
              <w:rPr>
                <w:i/>
                <w:iCs/>
              </w:rPr>
              <w:t xml:space="preserve">for substances and mixtures which are wetted, diluted, dissolved or suspended with a </w:t>
            </w:r>
            <w:bookmarkStart w:id="2" w:name="_Hlk17793716"/>
            <w:r w:rsidRPr="00540059">
              <w:rPr>
                <w:i/>
                <w:iCs/>
              </w:rPr>
              <w:t>phlegmatizer</w:t>
            </w:r>
            <w:bookmarkEnd w:id="2"/>
            <w:r w:rsidRPr="00540059">
              <w:rPr>
                <w:i/>
                <w:iCs/>
              </w:rPr>
              <w:t xml:space="preserve"> in order to suppress their explosive properties</w:t>
            </w:r>
            <w:r w:rsidR="000D1495" w:rsidRPr="00540059">
              <w:rPr>
                <w:i/>
                <w:iCs/>
              </w:rPr>
              <w:t xml:space="preserve">. </w:t>
            </w:r>
            <w:r w:rsidR="000D1495" w:rsidRPr="00540059">
              <w:t>…Manufacturer/supplier or competent authority to specify appropriate material.</w:t>
            </w:r>
            <w:r w:rsidR="003655FB" w:rsidRPr="00540059">
              <w:rPr>
                <w:i/>
                <w:iCs/>
              </w:rPr>
              <w:t xml:space="preserve"> </w:t>
            </w:r>
          </w:p>
        </w:tc>
      </w:tr>
      <w:tr w:rsidR="00023765" w:rsidRPr="00023765" w14:paraId="6EC57312" w14:textId="77777777" w:rsidTr="00023765">
        <w:tc>
          <w:tcPr>
            <w:tcW w:w="1418" w:type="dxa"/>
            <w:tcBorders>
              <w:bottom w:val="single" w:sz="12" w:space="0" w:color="auto"/>
            </w:tcBorders>
            <w:shd w:val="clear" w:color="auto" w:fill="auto"/>
          </w:tcPr>
          <w:p w14:paraId="45CE936E" w14:textId="77777777" w:rsidR="00023765" w:rsidRPr="00023765" w:rsidRDefault="00023765" w:rsidP="00023765">
            <w:pPr>
              <w:spacing w:before="40" w:after="120"/>
              <w:ind w:right="113"/>
            </w:pPr>
            <w:r>
              <w:t>Table Section 3</w:t>
            </w:r>
          </w:p>
        </w:tc>
        <w:tc>
          <w:tcPr>
            <w:tcW w:w="5952" w:type="dxa"/>
            <w:tcBorders>
              <w:bottom w:val="single" w:sz="12" w:space="0" w:color="auto"/>
            </w:tcBorders>
            <w:shd w:val="clear" w:color="auto" w:fill="auto"/>
          </w:tcPr>
          <w:p w14:paraId="20FACBB7" w14:textId="77777777" w:rsidR="006A175F" w:rsidRPr="00540059" w:rsidRDefault="00023765" w:rsidP="006A175F">
            <w:pPr>
              <w:spacing w:before="40"/>
              <w:ind w:right="113"/>
              <w:rPr>
                <w:rStyle w:val="StyleItalic"/>
                <w:u w:val="single"/>
              </w:rPr>
            </w:pPr>
            <w:r w:rsidRPr="00540059">
              <w:rPr>
                <w:rStyle w:val="StyleItalic"/>
              </w:rPr>
              <w:t xml:space="preserve">for substances and mixtures which are wetted, diluted, dissolved or suspended with a phlegmatizer in order to </w:t>
            </w:r>
            <w:r w:rsidRPr="00540059">
              <w:rPr>
                <w:rStyle w:val="StyleItalic"/>
                <w:u w:val="single"/>
              </w:rPr>
              <w:t>reduce or</w:t>
            </w:r>
            <w:r w:rsidRPr="00540059">
              <w:rPr>
                <w:rStyle w:val="StyleItalic"/>
              </w:rPr>
              <w:t xml:space="preserve"> suppress their explosive properties </w:t>
            </w:r>
            <w:r w:rsidRPr="00540059">
              <w:rPr>
                <w:rStyle w:val="StyleItalic"/>
                <w:u w:val="single"/>
              </w:rPr>
              <w:t>(desensitized explosives)</w:t>
            </w:r>
            <w:r w:rsidR="000D1495" w:rsidRPr="00540059">
              <w:rPr>
                <w:rStyle w:val="StyleItalic"/>
                <w:u w:val="single"/>
              </w:rPr>
              <w:t xml:space="preserve">. </w:t>
            </w:r>
          </w:p>
          <w:p w14:paraId="5065DC68" w14:textId="77777777" w:rsidR="00023765" w:rsidRPr="00023765" w:rsidRDefault="000D1495" w:rsidP="006A175F">
            <w:pPr>
              <w:spacing w:after="120"/>
              <w:ind w:right="113"/>
            </w:pPr>
            <w:r w:rsidRPr="00540059">
              <w:t>…Manufacturer/supplier or competent authority to specify appropriate material</w:t>
            </w:r>
          </w:p>
        </w:tc>
      </w:tr>
    </w:tbl>
    <w:p w14:paraId="27DC6BF5" w14:textId="77777777" w:rsidR="00AC05A2" w:rsidRPr="002936E8" w:rsidRDefault="001E0496" w:rsidP="00162961">
      <w:pPr>
        <w:pStyle w:val="SingleTxtG"/>
        <w:spacing w:before="240"/>
      </w:pPr>
      <w:r>
        <w:t>11</w:t>
      </w:r>
      <w:r w:rsidR="00C20816">
        <w:t>.</w:t>
      </w:r>
      <w:r w:rsidR="00C20816">
        <w:tab/>
      </w:r>
      <w:r w:rsidR="00AC05A2" w:rsidRPr="00EC5DF6">
        <w:t xml:space="preserve">The reference to “desensitized explosives” in the tables for explosives in Section 3 seemed to be justified in the past, when the </w:t>
      </w:r>
      <w:r w:rsidR="0023376F" w:rsidRPr="00EC5DF6">
        <w:t>entr</w:t>
      </w:r>
      <w:r w:rsidR="0023376F">
        <w:t>y</w:t>
      </w:r>
      <w:r w:rsidR="0023376F" w:rsidRPr="00EC5DF6">
        <w:t xml:space="preserve"> </w:t>
      </w:r>
      <w:r w:rsidR="00AC05A2" w:rsidRPr="00EC5DF6">
        <w:t xml:space="preserve">for P230 </w:t>
      </w:r>
      <w:r w:rsidR="0023376F">
        <w:t>included</w:t>
      </w:r>
      <w:r w:rsidR="00AC05A2" w:rsidRPr="002936E8">
        <w:t xml:space="preserve"> desensitised explosives</w:t>
      </w:r>
      <w:r w:rsidR="00662FBD">
        <w:t>,</w:t>
      </w:r>
      <w:r w:rsidR="00AC05A2" w:rsidRPr="002936E8">
        <w:t xml:space="preserve"> before </w:t>
      </w:r>
      <w:r w:rsidR="006A175F">
        <w:t>the</w:t>
      </w:r>
      <w:r w:rsidR="006A175F" w:rsidRPr="002936E8">
        <w:t xml:space="preserve"> </w:t>
      </w:r>
      <w:r w:rsidR="00AC05A2" w:rsidRPr="002936E8">
        <w:t xml:space="preserve">new hazard class was introduced into GHS. </w:t>
      </w:r>
    </w:p>
    <w:p w14:paraId="4E265791" w14:textId="77777777" w:rsidR="00AC05A2" w:rsidRPr="002936E8" w:rsidRDefault="001E0496" w:rsidP="007C0763">
      <w:pPr>
        <w:pStyle w:val="SingleTxtG"/>
        <w:keepNext/>
        <w:keepLines/>
      </w:pPr>
      <w:r>
        <w:lastRenderedPageBreak/>
        <w:t>12</w:t>
      </w:r>
      <w:r w:rsidR="00AC05A2" w:rsidRPr="00971D4C">
        <w:t>.</w:t>
      </w:r>
      <w:r w:rsidR="00AC05A2" w:rsidRPr="00971D4C">
        <w:tab/>
        <w:t>Now that desensitized explosives are specifically addressed in the GHS (Chapter</w:t>
      </w:r>
      <w:r w:rsidR="00AC05A2" w:rsidRPr="00756661">
        <w:t xml:space="preserve"> 2.17) and that there is a separate </w:t>
      </w:r>
      <w:r w:rsidR="00AC05A2" w:rsidRPr="002936E8">
        <w:rPr>
          <w:lang w:val="en-US"/>
        </w:rPr>
        <w:t xml:space="preserve">P230 entry for desensitized explosives in Table A3.2.2, the group considered that the reference in brackets to </w:t>
      </w:r>
      <w:r w:rsidR="00540059">
        <w:rPr>
          <w:lang w:val="en-US"/>
        </w:rPr>
        <w:t>“</w:t>
      </w:r>
      <w:r w:rsidR="00AC05A2" w:rsidRPr="002936E8">
        <w:rPr>
          <w:lang w:val="en-US"/>
        </w:rPr>
        <w:t>desensitized explosives</w:t>
      </w:r>
      <w:r w:rsidR="00540059">
        <w:rPr>
          <w:lang w:val="en-US"/>
        </w:rPr>
        <w:t>”</w:t>
      </w:r>
      <w:r w:rsidR="00AC05A2" w:rsidRPr="002936E8">
        <w:rPr>
          <w:lang w:val="en-US"/>
        </w:rPr>
        <w:t xml:space="preserve"> under the entry for P230 in the Section 3 table for </w:t>
      </w:r>
      <w:r w:rsidR="00AC05A2" w:rsidRPr="002936E8">
        <w:t xml:space="preserve">explosives (divisions 1.1, 1.2, 1.3 and 1.5) </w:t>
      </w:r>
      <w:r w:rsidR="00AC05A2" w:rsidRPr="00971D4C">
        <w:rPr>
          <w:lang w:val="en-US"/>
        </w:rPr>
        <w:t>was not necessary and should be deleted</w:t>
      </w:r>
      <w:r w:rsidR="00162961" w:rsidRPr="00971D4C">
        <w:rPr>
          <w:lang w:val="en-US"/>
        </w:rPr>
        <w:t>.</w:t>
      </w:r>
      <w:r w:rsidR="00AC05A2" w:rsidRPr="002936E8">
        <w:t xml:space="preserve"> </w:t>
      </w:r>
    </w:p>
    <w:p w14:paraId="2FFA2D0B" w14:textId="77777777" w:rsidR="002571AF" w:rsidRDefault="001E0496" w:rsidP="00756661">
      <w:pPr>
        <w:pStyle w:val="SingleTxtG"/>
        <w:rPr>
          <w:lang w:val="en-US"/>
        </w:rPr>
      </w:pPr>
      <w:bookmarkStart w:id="3" w:name="_Hlk17874753"/>
      <w:r>
        <w:rPr>
          <w:lang w:val="en-US"/>
        </w:rPr>
        <w:t>13</w:t>
      </w:r>
      <w:r w:rsidR="00756661">
        <w:rPr>
          <w:lang w:val="en-US"/>
        </w:rPr>
        <w:t>.</w:t>
      </w:r>
      <w:r w:rsidR="00756661">
        <w:rPr>
          <w:lang w:val="en-US"/>
        </w:rPr>
        <w:tab/>
      </w:r>
      <w:r w:rsidR="00191A94">
        <w:rPr>
          <w:lang w:val="en-US"/>
        </w:rPr>
        <w:t>T</w:t>
      </w:r>
      <w:r w:rsidR="00AC05A2" w:rsidRPr="00971D4C">
        <w:rPr>
          <w:lang w:val="en-US"/>
        </w:rPr>
        <w:t xml:space="preserve">he </w:t>
      </w:r>
      <w:r w:rsidR="00BA176D">
        <w:rPr>
          <w:lang w:val="en-US"/>
        </w:rPr>
        <w:t xml:space="preserve">working </w:t>
      </w:r>
      <w:r w:rsidR="00AC05A2" w:rsidRPr="00971D4C">
        <w:rPr>
          <w:lang w:val="en-US"/>
        </w:rPr>
        <w:t xml:space="preserve">group </w:t>
      </w:r>
      <w:r w:rsidR="00162961" w:rsidRPr="00971D4C">
        <w:rPr>
          <w:lang w:val="en-US"/>
        </w:rPr>
        <w:t xml:space="preserve">also </w:t>
      </w:r>
      <w:r w:rsidR="00EC5DF6" w:rsidRPr="00971D4C">
        <w:rPr>
          <w:lang w:val="en-US"/>
        </w:rPr>
        <w:t xml:space="preserve">considered that the </w:t>
      </w:r>
      <w:r w:rsidR="00162961" w:rsidRPr="00971D4C">
        <w:rPr>
          <w:lang w:val="en-US"/>
        </w:rPr>
        <w:t xml:space="preserve">current </w:t>
      </w:r>
      <w:r w:rsidR="00EC5DF6" w:rsidRPr="002936E8">
        <w:t>“</w:t>
      </w:r>
      <w:r w:rsidR="00EC5DF6" w:rsidRPr="002936E8">
        <w:rPr>
          <w:i/>
        </w:rPr>
        <w:t>Conditions for use</w:t>
      </w:r>
      <w:r w:rsidR="00EC5DF6" w:rsidRPr="002936E8">
        <w:t>”</w:t>
      </w:r>
      <w:r w:rsidR="00AE2097" w:rsidRPr="002936E8">
        <w:t xml:space="preserve"> </w:t>
      </w:r>
      <w:r w:rsidR="00EC5DF6" w:rsidRPr="00971D4C">
        <w:rPr>
          <w:lang w:val="en-US"/>
        </w:rPr>
        <w:t xml:space="preserve">wording for the P230 entry for </w:t>
      </w:r>
      <w:r w:rsidR="00EC5DF6" w:rsidRPr="002936E8">
        <w:t>explosives (divisions 1.1, 1.2, 1.3 and 1.5)</w:t>
      </w:r>
      <w:r w:rsidR="00EC5DF6" w:rsidRPr="00971D4C">
        <w:t xml:space="preserve"> </w:t>
      </w:r>
      <w:r w:rsidR="00AE2097">
        <w:t>in Table A3.2.2 and that</w:t>
      </w:r>
      <w:r w:rsidR="00AE2097" w:rsidRPr="002936E8">
        <w:t xml:space="preserve"> </w:t>
      </w:r>
      <w:r w:rsidR="00AE2097">
        <w:t xml:space="preserve">provided in the associated table in Section 3 </w:t>
      </w:r>
      <w:r w:rsidR="00162961" w:rsidRPr="00971D4C">
        <w:t>sh</w:t>
      </w:r>
      <w:r w:rsidR="00EC5DF6" w:rsidRPr="00971D4C">
        <w:t xml:space="preserve">ould be amended to </w:t>
      </w:r>
      <w:r w:rsidR="004E2669">
        <w:t xml:space="preserve">make </w:t>
      </w:r>
      <w:r w:rsidR="00191A94">
        <w:t>the entries</w:t>
      </w:r>
      <w:r w:rsidR="004E2669">
        <w:t xml:space="preserve"> </w:t>
      </w:r>
      <w:r w:rsidR="00AE2097">
        <w:t>consistent and</w:t>
      </w:r>
      <w:r w:rsidR="004E2669" w:rsidRPr="00971D4C">
        <w:t xml:space="preserve"> </w:t>
      </w:r>
      <w:r w:rsidR="00EC5DF6" w:rsidRPr="00971D4C">
        <w:t>more specific to explosives</w:t>
      </w:r>
      <w:r w:rsidR="000C5255">
        <w:t>.</w:t>
      </w:r>
      <w:r w:rsidR="00EC5DF6" w:rsidRPr="00971D4C">
        <w:t xml:space="preserve"> </w:t>
      </w:r>
      <w:r w:rsidR="00191A94">
        <w:t>Consequently, t</w:t>
      </w:r>
      <w:r w:rsidR="000C5255">
        <w:t>he group</w:t>
      </w:r>
      <w:r w:rsidR="000C5255" w:rsidRPr="00971D4C">
        <w:t xml:space="preserve"> </w:t>
      </w:r>
      <w:r w:rsidR="00EC5DF6" w:rsidRPr="00971D4C">
        <w:t xml:space="preserve">considered that the term </w:t>
      </w:r>
      <w:r w:rsidR="00540059">
        <w:t>“</w:t>
      </w:r>
      <w:r w:rsidR="00EC5DF6" w:rsidRPr="004E2669">
        <w:rPr>
          <w:u w:val="single"/>
        </w:rPr>
        <w:t>explosive</w:t>
      </w:r>
      <w:r w:rsidR="00540059">
        <w:t>”</w:t>
      </w:r>
      <w:r w:rsidR="00EC5DF6" w:rsidRPr="00971D4C">
        <w:t xml:space="preserve"> should </w:t>
      </w:r>
      <w:r w:rsidR="0023376F">
        <w:t>be inserted before the term</w:t>
      </w:r>
      <w:r w:rsidR="0023376F" w:rsidRPr="00971D4C">
        <w:t xml:space="preserve"> </w:t>
      </w:r>
      <w:r w:rsidR="00540059">
        <w:t>“</w:t>
      </w:r>
      <w:r w:rsidR="00EC5DF6" w:rsidRPr="004E2669">
        <w:rPr>
          <w:u w:val="single"/>
          <w:lang w:val="en-US"/>
        </w:rPr>
        <w:t>substances and mixtures</w:t>
      </w:r>
      <w:r w:rsidR="00540059">
        <w:rPr>
          <w:u w:val="single"/>
          <w:lang w:val="en-US"/>
        </w:rPr>
        <w:t>”</w:t>
      </w:r>
      <w:r w:rsidR="00EC5DF6" w:rsidRPr="00971D4C">
        <w:rPr>
          <w:lang w:val="en-US"/>
        </w:rPr>
        <w:t xml:space="preserve"> and </w:t>
      </w:r>
      <w:r w:rsidR="0023376F">
        <w:rPr>
          <w:lang w:val="en-US"/>
        </w:rPr>
        <w:t xml:space="preserve">that </w:t>
      </w:r>
      <w:r w:rsidR="00693973">
        <w:rPr>
          <w:lang w:val="en-US"/>
        </w:rPr>
        <w:t xml:space="preserve">it would be more correct to use </w:t>
      </w:r>
      <w:r w:rsidR="00EC5DF6" w:rsidRPr="00971D4C">
        <w:rPr>
          <w:lang w:val="en-US"/>
        </w:rPr>
        <w:t xml:space="preserve">the term </w:t>
      </w:r>
      <w:r w:rsidR="00540059">
        <w:rPr>
          <w:lang w:val="en-US"/>
        </w:rPr>
        <w:t>“</w:t>
      </w:r>
      <w:r w:rsidR="00EC5DF6" w:rsidRPr="004E2669">
        <w:rPr>
          <w:u w:val="single"/>
          <w:lang w:val="en-US"/>
        </w:rPr>
        <w:t>reduce</w:t>
      </w:r>
      <w:r w:rsidR="00540059">
        <w:rPr>
          <w:u w:val="single"/>
          <w:lang w:val="en-US"/>
        </w:rPr>
        <w:t>”</w:t>
      </w:r>
      <w:r w:rsidR="00EC5DF6" w:rsidRPr="00971D4C">
        <w:rPr>
          <w:lang w:val="en-US"/>
        </w:rPr>
        <w:t xml:space="preserve"> </w:t>
      </w:r>
      <w:r w:rsidR="00693973">
        <w:rPr>
          <w:lang w:val="en-US"/>
        </w:rPr>
        <w:t>rather than</w:t>
      </w:r>
      <w:r w:rsidR="00EC5DF6" w:rsidRPr="00971D4C">
        <w:rPr>
          <w:lang w:val="en-US"/>
        </w:rPr>
        <w:t xml:space="preserve"> </w:t>
      </w:r>
      <w:r w:rsidR="00540059">
        <w:rPr>
          <w:lang w:val="en-US"/>
        </w:rPr>
        <w:t>“</w:t>
      </w:r>
      <w:r w:rsidR="00EC5DF6" w:rsidRPr="004E2669">
        <w:rPr>
          <w:u w:val="single"/>
          <w:lang w:val="en-US"/>
        </w:rPr>
        <w:t>suppress</w:t>
      </w:r>
      <w:r w:rsidR="00540059">
        <w:rPr>
          <w:u w:val="single"/>
          <w:lang w:val="en-US"/>
        </w:rPr>
        <w:t>”</w:t>
      </w:r>
      <w:r w:rsidR="00EC5DF6" w:rsidRPr="00971D4C">
        <w:rPr>
          <w:lang w:val="en-US"/>
        </w:rPr>
        <w:t xml:space="preserve"> (Table A3.2.2) or </w:t>
      </w:r>
      <w:r w:rsidR="00540059">
        <w:rPr>
          <w:lang w:val="en-US"/>
        </w:rPr>
        <w:t>“r</w:t>
      </w:r>
      <w:r w:rsidR="00162961" w:rsidRPr="004E2669">
        <w:rPr>
          <w:u w:val="single"/>
          <w:lang w:val="en-US"/>
        </w:rPr>
        <w:t>educe or suppress</w:t>
      </w:r>
      <w:r w:rsidR="00540059">
        <w:rPr>
          <w:u w:val="single"/>
          <w:lang w:val="en-US"/>
        </w:rPr>
        <w:t>”</w:t>
      </w:r>
      <w:r w:rsidR="00162961" w:rsidRPr="00971D4C">
        <w:rPr>
          <w:lang w:val="en-US"/>
        </w:rPr>
        <w:t xml:space="preserve"> (Section 3)</w:t>
      </w:r>
      <w:r w:rsidR="00693973">
        <w:rPr>
          <w:lang w:val="en-US"/>
        </w:rPr>
        <w:t xml:space="preserve"> as the explosive properties</w:t>
      </w:r>
      <w:r w:rsidR="00044328">
        <w:rPr>
          <w:lang w:val="en-US"/>
        </w:rPr>
        <w:t>, though reduced,</w:t>
      </w:r>
      <w:r w:rsidR="00693973">
        <w:rPr>
          <w:lang w:val="en-US"/>
        </w:rPr>
        <w:t xml:space="preserve"> will remain</w:t>
      </w:r>
      <w:r w:rsidR="00044328">
        <w:rPr>
          <w:lang w:val="en-US"/>
        </w:rPr>
        <w:t xml:space="preserve"> for substances and mixtures in this hazard class</w:t>
      </w:r>
      <w:r w:rsidR="00162961" w:rsidRPr="00971D4C">
        <w:rPr>
          <w:lang w:val="en-US"/>
        </w:rPr>
        <w:t xml:space="preserve">. </w:t>
      </w:r>
    </w:p>
    <w:p w14:paraId="2B9ED0E5" w14:textId="77777777" w:rsidR="001340BE" w:rsidRDefault="001E0496" w:rsidP="00EF1F3F">
      <w:pPr>
        <w:pStyle w:val="SingleTxtG"/>
      </w:pPr>
      <w:r>
        <w:rPr>
          <w:lang w:val="en-US"/>
        </w:rPr>
        <w:t>14</w:t>
      </w:r>
      <w:r w:rsidR="00972660">
        <w:rPr>
          <w:lang w:val="en-US"/>
        </w:rPr>
        <w:t>.</w:t>
      </w:r>
      <w:r w:rsidR="00972660">
        <w:rPr>
          <w:lang w:val="en-US"/>
        </w:rPr>
        <w:tab/>
        <w:t>T</w:t>
      </w:r>
      <w:r w:rsidR="00495FA5">
        <w:rPr>
          <w:lang w:val="en-US"/>
        </w:rPr>
        <w:t>he group considered t</w:t>
      </w:r>
      <w:r w:rsidR="00BA176D">
        <w:rPr>
          <w:lang w:val="en-US"/>
        </w:rPr>
        <w:t>hat</w:t>
      </w:r>
      <w:r w:rsidR="008D2D0A">
        <w:rPr>
          <w:lang w:val="en-US"/>
        </w:rPr>
        <w:t xml:space="preserve"> </w:t>
      </w:r>
      <w:r w:rsidR="00972660">
        <w:rPr>
          <w:lang w:val="en-US"/>
        </w:rPr>
        <w:t>further</w:t>
      </w:r>
      <w:r w:rsidR="008D2D0A">
        <w:rPr>
          <w:lang w:val="en-US"/>
        </w:rPr>
        <w:t xml:space="preserve"> improved clarity </w:t>
      </w:r>
      <w:r w:rsidR="009A5EC3">
        <w:rPr>
          <w:lang w:val="en-US"/>
        </w:rPr>
        <w:t xml:space="preserve">could be </w:t>
      </w:r>
      <w:r w:rsidR="008D2D0A">
        <w:rPr>
          <w:lang w:val="en-US"/>
        </w:rPr>
        <w:t xml:space="preserve">achieved through the utilization of </w:t>
      </w:r>
      <w:r w:rsidR="002571AF">
        <w:rPr>
          <w:lang w:val="en-US"/>
        </w:rPr>
        <w:t>the</w:t>
      </w:r>
      <w:r w:rsidR="00C2716D">
        <w:rPr>
          <w:lang w:val="en-US"/>
        </w:rPr>
        <w:t xml:space="preserve"> </w:t>
      </w:r>
      <w:r w:rsidR="005811BA">
        <w:rPr>
          <w:lang w:val="en-US"/>
        </w:rPr>
        <w:t xml:space="preserve">wording provided in the </w:t>
      </w:r>
      <w:r w:rsidR="00154D2E" w:rsidRPr="001E0496">
        <w:rPr>
          <w:lang w:val="en-US"/>
        </w:rPr>
        <w:t>proposal</w:t>
      </w:r>
      <w:r w:rsidRPr="001E0496">
        <w:rPr>
          <w:rStyle w:val="FootnoteReference"/>
          <w:lang w:val="en-US"/>
        </w:rPr>
        <w:footnoteReference w:id="3"/>
      </w:r>
      <w:r w:rsidRPr="001E0496">
        <w:rPr>
          <w:lang w:val="en-US"/>
        </w:rPr>
        <w:t xml:space="preserve"> by</w:t>
      </w:r>
      <w:r>
        <w:rPr>
          <w:lang w:val="en-US"/>
        </w:rPr>
        <w:t xml:space="preserve"> the United States of America, the Institute of Makers of Explosives (IME) and the </w:t>
      </w:r>
      <w:r>
        <w:t xml:space="preserve">Sporting Arms and Ammunition Manufacturers’ Institute (SAAMI) </w:t>
      </w:r>
      <w:r w:rsidR="008D2D0A">
        <w:rPr>
          <w:lang w:val="en-US"/>
        </w:rPr>
        <w:t xml:space="preserve">(as a part of the on-going review of Chapter 2.1 (Explosives)) </w:t>
      </w:r>
      <w:r w:rsidR="00154D2E">
        <w:rPr>
          <w:lang w:val="en-US"/>
        </w:rPr>
        <w:t xml:space="preserve">to amend NOTE 2 in Section 2.1.2, </w:t>
      </w:r>
      <w:r w:rsidR="000C053E">
        <w:rPr>
          <w:lang w:val="en-US"/>
        </w:rPr>
        <w:t>without the words “Some” or “suppress or”</w:t>
      </w:r>
      <w:r w:rsidR="005811BA">
        <w:rPr>
          <w:lang w:val="en-US"/>
        </w:rPr>
        <w:t xml:space="preserve">. </w:t>
      </w:r>
      <w:r w:rsidR="007F3945">
        <w:rPr>
          <w:lang w:val="en-US"/>
        </w:rPr>
        <w:t xml:space="preserve">However, </w:t>
      </w:r>
      <w:bookmarkStart w:id="4" w:name="_Hlk17875020"/>
      <w:r w:rsidR="001340BE" w:rsidRPr="001E0496">
        <w:rPr>
          <w:lang w:val="en-US"/>
        </w:rPr>
        <w:t>it is not necessary to have identical wording</w:t>
      </w:r>
      <w:bookmarkEnd w:id="4"/>
      <w:r w:rsidR="00263CF9">
        <w:rPr>
          <w:lang w:val="en-US"/>
        </w:rPr>
        <w:t xml:space="preserve"> and</w:t>
      </w:r>
      <w:r w:rsidR="00972660" w:rsidRPr="001E0496">
        <w:rPr>
          <w:lang w:val="en-US"/>
        </w:rPr>
        <w:t xml:space="preserve"> the </w:t>
      </w:r>
      <w:r w:rsidR="00723074" w:rsidRPr="001E0496">
        <w:rPr>
          <w:lang w:val="en-US"/>
        </w:rPr>
        <w:t xml:space="preserve">informal working </w:t>
      </w:r>
      <w:r w:rsidR="00972660" w:rsidRPr="001E0496">
        <w:rPr>
          <w:lang w:val="en-US"/>
        </w:rPr>
        <w:t>group considered that the wording</w:t>
      </w:r>
      <w:r w:rsidR="00972660">
        <w:rPr>
          <w:lang w:val="en-US"/>
        </w:rPr>
        <w:t xml:space="preserve"> </w:t>
      </w:r>
      <w:r w:rsidR="00162961" w:rsidRPr="00971D4C">
        <w:rPr>
          <w:lang w:val="en-US"/>
        </w:rPr>
        <w:t xml:space="preserve">under </w:t>
      </w:r>
      <w:r w:rsidR="00162961" w:rsidRPr="002936E8">
        <w:t>“</w:t>
      </w:r>
      <w:r w:rsidR="00162961" w:rsidRPr="002936E8">
        <w:rPr>
          <w:i/>
        </w:rPr>
        <w:t>Conditions for use</w:t>
      </w:r>
      <w:r w:rsidR="00162961" w:rsidRPr="002936E8">
        <w:t>”</w:t>
      </w:r>
      <w:r w:rsidR="00162961" w:rsidRPr="00971D4C">
        <w:rPr>
          <w:lang w:val="en-US"/>
        </w:rPr>
        <w:t xml:space="preserve"> for the P230 entry for </w:t>
      </w:r>
      <w:r w:rsidR="00162961" w:rsidRPr="002936E8">
        <w:t xml:space="preserve">explosives (divisions 1.1, 1.2, 1.3 and 1.5) </w:t>
      </w:r>
      <w:r w:rsidR="000C5255">
        <w:t xml:space="preserve">in Table A3.2.2 and for the P230 entry </w:t>
      </w:r>
      <w:r w:rsidR="00191A94">
        <w:t xml:space="preserve">in the associated table in Section 3 </w:t>
      </w:r>
      <w:r w:rsidR="00723074">
        <w:t>sh</w:t>
      </w:r>
      <w:r w:rsidR="00723074" w:rsidRPr="002936E8">
        <w:t xml:space="preserve">ould </w:t>
      </w:r>
      <w:r w:rsidR="00162961" w:rsidRPr="002936E8">
        <w:t>be:</w:t>
      </w:r>
    </w:p>
    <w:p w14:paraId="06C0A920" w14:textId="77777777" w:rsidR="00162961" w:rsidRDefault="00E60E86" w:rsidP="001E0496">
      <w:pPr>
        <w:pStyle w:val="SingleTxtG"/>
        <w:ind w:left="1701" w:right="1417"/>
        <w:rPr>
          <w:i/>
        </w:rPr>
      </w:pPr>
      <w:r w:rsidRPr="00EF1F3F">
        <w:rPr>
          <w:i/>
          <w:iCs/>
        </w:rPr>
        <w:t xml:space="preserve">“- </w:t>
      </w:r>
      <w:r w:rsidR="00AF6718" w:rsidRPr="00EF1F3F">
        <w:rPr>
          <w:i/>
          <w:iCs/>
        </w:rPr>
        <w:t>f</w:t>
      </w:r>
      <w:r w:rsidR="0023376F" w:rsidRPr="00EF1F3F">
        <w:rPr>
          <w:i/>
          <w:iCs/>
        </w:rPr>
        <w:t xml:space="preserve">or explosive substances and mixtures that are diluted with solids or </w:t>
      </w:r>
      <w:r w:rsidR="00495FA5" w:rsidRPr="00EF1F3F">
        <w:rPr>
          <w:i/>
          <w:iCs/>
        </w:rPr>
        <w:t>liquids</w:t>
      </w:r>
      <w:r w:rsidR="002C398F" w:rsidRPr="00EF1F3F">
        <w:rPr>
          <w:i/>
          <w:iCs/>
        </w:rPr>
        <w:t>,</w:t>
      </w:r>
      <w:r w:rsidR="00495FA5" w:rsidRPr="00EF1F3F">
        <w:rPr>
          <w:i/>
          <w:iCs/>
        </w:rPr>
        <w:t xml:space="preserve"> or</w:t>
      </w:r>
      <w:r w:rsidR="0023376F" w:rsidRPr="00EF1F3F">
        <w:rPr>
          <w:i/>
          <w:iCs/>
        </w:rPr>
        <w:t xml:space="preserve"> wetted with</w:t>
      </w:r>
      <w:r w:rsidR="00F42B58">
        <w:rPr>
          <w:i/>
          <w:iCs/>
        </w:rPr>
        <w:t>,</w:t>
      </w:r>
      <w:r w:rsidR="0023376F" w:rsidRPr="00EF1F3F">
        <w:rPr>
          <w:i/>
          <w:iCs/>
        </w:rPr>
        <w:t xml:space="preserve"> dissolved or suspended in water or other liquid</w:t>
      </w:r>
      <w:r w:rsidR="00F42B58">
        <w:rPr>
          <w:i/>
          <w:iCs/>
        </w:rPr>
        <w:t>s</w:t>
      </w:r>
      <w:r w:rsidR="0023376F" w:rsidRPr="00EF1F3F">
        <w:rPr>
          <w:i/>
          <w:iCs/>
        </w:rPr>
        <w:t xml:space="preserve"> to reduce their explosives properties</w:t>
      </w:r>
      <w:r w:rsidR="00162961" w:rsidRPr="00EF1F3F">
        <w:t>…Manufacturer</w:t>
      </w:r>
      <w:r w:rsidR="00162961" w:rsidRPr="00DE3609">
        <w:t>/supplier or competent authority to specify appropriate material</w:t>
      </w:r>
      <w:r w:rsidR="00162961" w:rsidRPr="00C6311D">
        <w:rPr>
          <w:i/>
        </w:rPr>
        <w:t>.</w:t>
      </w:r>
      <w:r>
        <w:rPr>
          <w:i/>
        </w:rPr>
        <w:t>”</w:t>
      </w:r>
      <w:r w:rsidR="00540059">
        <w:rPr>
          <w:i/>
        </w:rPr>
        <w:t>.</w:t>
      </w:r>
    </w:p>
    <w:p w14:paraId="2824F27D" w14:textId="77777777" w:rsidR="00AC6ACE" w:rsidRDefault="001E0496" w:rsidP="009E377B">
      <w:pPr>
        <w:pStyle w:val="SingleTxtG"/>
      </w:pPr>
      <w:r>
        <w:t>15</w:t>
      </w:r>
      <w:r w:rsidR="003C7F14" w:rsidRPr="00C02DBF">
        <w:t>.</w:t>
      </w:r>
      <w:r w:rsidR="003C7F14" w:rsidRPr="00C02DBF">
        <w:tab/>
      </w:r>
      <w:r w:rsidR="00AC6ACE">
        <w:t>In addition</w:t>
      </w:r>
      <w:r w:rsidR="005455BB">
        <w:t>,</w:t>
      </w:r>
      <w:r w:rsidR="00AC6ACE">
        <w:t xml:space="preserve"> the informal working group </w:t>
      </w:r>
      <w:r w:rsidR="005455BB">
        <w:t>also reviewed</w:t>
      </w:r>
      <w:r w:rsidR="00AC6ACE">
        <w:t xml:space="preserve"> the P230 precautionary statement </w:t>
      </w:r>
      <w:r w:rsidR="00165509">
        <w:t>‘</w:t>
      </w:r>
      <w:r w:rsidR="00165509" w:rsidRPr="00165509">
        <w:rPr>
          <w:b/>
        </w:rPr>
        <w:t>Keep wetted with…</w:t>
      </w:r>
      <w:r w:rsidR="00165509">
        <w:t xml:space="preserve">’ </w:t>
      </w:r>
      <w:r w:rsidR="005455BB">
        <w:t xml:space="preserve">to ensure that it </w:t>
      </w:r>
      <w:r w:rsidR="0021238F">
        <w:t>accurately appli</w:t>
      </w:r>
      <w:r w:rsidR="00165509">
        <w:t>ed to</w:t>
      </w:r>
      <w:r w:rsidR="0021238F">
        <w:t xml:space="preserve"> both </w:t>
      </w:r>
      <w:r w:rsidR="0021238F" w:rsidRPr="002936E8">
        <w:t>explosives (divisions 1.1, 1.2, 1.3 and 1.5)</w:t>
      </w:r>
      <w:r w:rsidR="0021238F">
        <w:t xml:space="preserve"> and desensitised explosives.</w:t>
      </w:r>
    </w:p>
    <w:p w14:paraId="2C77724A" w14:textId="77777777" w:rsidR="00C02DBF" w:rsidRPr="00C02DBF" w:rsidRDefault="001E0496" w:rsidP="009E377B">
      <w:pPr>
        <w:pStyle w:val="SingleTxtG"/>
        <w:rPr>
          <w:rFonts w:eastAsia="Times New Roman"/>
        </w:rPr>
      </w:pPr>
      <w:r>
        <w:t>16</w:t>
      </w:r>
      <w:r w:rsidR="005455BB">
        <w:t>.</w:t>
      </w:r>
      <w:r w:rsidR="005455BB">
        <w:tab/>
      </w:r>
      <w:r w:rsidR="00C02DBF" w:rsidRPr="00C02DBF">
        <w:t xml:space="preserve">The term </w:t>
      </w:r>
      <w:r w:rsidR="00540059">
        <w:t>“</w:t>
      </w:r>
      <w:r w:rsidR="00C02DBF" w:rsidRPr="00C02DBF">
        <w:t>wetted</w:t>
      </w:r>
      <w:r w:rsidR="00540059">
        <w:t>”</w:t>
      </w:r>
      <w:r w:rsidR="00C02DBF" w:rsidRPr="00C02DBF">
        <w:t xml:space="preserve"> is generally used for a substance that is covered by a </w:t>
      </w:r>
      <w:r w:rsidR="0021238F">
        <w:t>specific</w:t>
      </w:r>
      <w:r w:rsidR="00C02DBF" w:rsidRPr="00C02DBF">
        <w:t xml:space="preserve"> liquid (e.g. sodium metal stored beneath kerosene) to reduce the risk of an adverse effect occurring, in a similar manner that </w:t>
      </w:r>
      <w:r w:rsidR="00C02DBF" w:rsidRPr="00C02DBF">
        <w:rPr>
          <w:rFonts w:eastAsia="Times New Roman"/>
        </w:rPr>
        <w:t xml:space="preserve">liquid and solid phlegmatizers are </w:t>
      </w:r>
      <w:r w:rsidR="00C02DBF" w:rsidRPr="00C02DBF">
        <w:rPr>
          <w:rStyle w:val="e24kjd"/>
        </w:rPr>
        <w:t>added to an explosive to make it less susceptible to detonation and thus more stable and safer to handle and transport</w:t>
      </w:r>
      <w:r w:rsidR="00C02DBF" w:rsidRPr="00C02DBF">
        <w:rPr>
          <w:rFonts w:eastAsia="Times New Roman"/>
        </w:rPr>
        <w:t xml:space="preserve">. However, in </w:t>
      </w:r>
      <w:r w:rsidR="00C02DBF" w:rsidRPr="00C02DBF">
        <w:t xml:space="preserve">the context of explosives the term </w:t>
      </w:r>
      <w:r w:rsidR="00540059">
        <w:t>“</w:t>
      </w:r>
      <w:r w:rsidR="00C02DBF" w:rsidRPr="00C02DBF">
        <w:t>diluted</w:t>
      </w:r>
      <w:r w:rsidR="00540059">
        <w:t>”</w:t>
      </w:r>
      <w:r w:rsidR="00C02DBF" w:rsidRPr="00C02DBF">
        <w:t xml:space="preserve"> </w:t>
      </w:r>
      <w:r w:rsidR="00C02DBF" w:rsidRPr="00C02DBF">
        <w:rPr>
          <w:rFonts w:eastAsia="Times New Roman"/>
        </w:rPr>
        <w:t>is the general wording that is used for liquid and solid phlegmatizers. Similarly, desensitized explosives are also diluted with liquids or solids to reduce their explosive properties.</w:t>
      </w:r>
    </w:p>
    <w:p w14:paraId="7D68424B" w14:textId="77777777" w:rsidR="00C02DBF" w:rsidRPr="00C02DBF" w:rsidRDefault="001E0496" w:rsidP="009E377B">
      <w:pPr>
        <w:pStyle w:val="SingleTxtG"/>
      </w:pPr>
      <w:r>
        <w:t>17</w:t>
      </w:r>
      <w:r w:rsidR="0021238F">
        <w:t>.</w:t>
      </w:r>
      <w:r w:rsidR="0021238F">
        <w:tab/>
      </w:r>
      <w:r w:rsidR="005455BB">
        <w:t>G</w:t>
      </w:r>
      <w:r w:rsidR="00C02DBF" w:rsidRPr="00C02DBF">
        <w:t xml:space="preserve">iven that both explosives and desensitized explosives can be diluted with solids, not just liquids, the use of the word </w:t>
      </w:r>
      <w:r w:rsidR="00540059">
        <w:t>“</w:t>
      </w:r>
      <w:r w:rsidR="00C02DBF" w:rsidRPr="00C02DBF">
        <w:t>wetted</w:t>
      </w:r>
      <w:r w:rsidR="00540059">
        <w:t>”</w:t>
      </w:r>
      <w:r w:rsidR="00C02DBF" w:rsidRPr="00C02DBF">
        <w:t xml:space="preserve"> in</w:t>
      </w:r>
      <w:r w:rsidR="00AC6ACE">
        <w:t xml:space="preserve"> the</w:t>
      </w:r>
      <w:r w:rsidR="00C02DBF" w:rsidRPr="00C02DBF">
        <w:t xml:space="preserve"> P230 </w:t>
      </w:r>
      <w:r w:rsidR="00AC6ACE">
        <w:t xml:space="preserve">precautionary statement </w:t>
      </w:r>
      <w:r w:rsidR="00C02DBF" w:rsidRPr="00C02DBF">
        <w:t xml:space="preserve">incorrectly implies that only liquids are used to reduce explosive properties for these hazard classes when solids are also used for this purpose. </w:t>
      </w:r>
    </w:p>
    <w:p w14:paraId="23C4270B" w14:textId="77777777" w:rsidR="003C7F14" w:rsidRPr="00C02DBF" w:rsidRDefault="001E0496" w:rsidP="009E377B">
      <w:pPr>
        <w:pStyle w:val="SingleTxtG"/>
      </w:pPr>
      <w:r>
        <w:t>18</w:t>
      </w:r>
      <w:r w:rsidR="0021238F">
        <w:t>.</w:t>
      </w:r>
      <w:r w:rsidR="0021238F">
        <w:tab/>
      </w:r>
      <w:r w:rsidR="005455BB">
        <w:t xml:space="preserve">Consequently, </w:t>
      </w:r>
      <w:r w:rsidR="00AC6ACE">
        <w:t>the group</w:t>
      </w:r>
      <w:r w:rsidR="00C02DBF" w:rsidRPr="00C02DBF">
        <w:t xml:space="preserve"> </w:t>
      </w:r>
      <w:r w:rsidR="00C02DBF" w:rsidRPr="009E377B">
        <w:t>considered</w:t>
      </w:r>
      <w:r w:rsidR="00C02DBF" w:rsidRPr="00C02DBF">
        <w:t xml:space="preserve"> </w:t>
      </w:r>
      <w:r w:rsidR="00AC6ACE">
        <w:t xml:space="preserve">that </w:t>
      </w:r>
      <w:r w:rsidR="005455BB" w:rsidRPr="00C02DBF">
        <w:t xml:space="preserve">for correctness </w:t>
      </w:r>
      <w:r w:rsidR="00AC6ACE">
        <w:t xml:space="preserve">it would be </w:t>
      </w:r>
      <w:r w:rsidR="00C02DBF" w:rsidRPr="00C02DBF">
        <w:t xml:space="preserve">appropriate to amend </w:t>
      </w:r>
      <w:r w:rsidR="00AC6ACE">
        <w:t xml:space="preserve">the </w:t>
      </w:r>
      <w:r w:rsidR="00C02DBF" w:rsidRPr="00C02DBF">
        <w:t>P230 precautionary statement to read</w:t>
      </w:r>
      <w:r w:rsidR="00AC6ACE">
        <w:t xml:space="preserve">: </w:t>
      </w:r>
      <w:r w:rsidR="00540059">
        <w:t>“</w:t>
      </w:r>
      <w:r w:rsidR="00C02DBF" w:rsidRPr="00C02DBF">
        <w:rPr>
          <w:b/>
        </w:rPr>
        <w:t>Keep diluted with</w:t>
      </w:r>
      <w:r w:rsidR="00540059">
        <w:rPr>
          <w:b/>
        </w:rPr>
        <w:t>..</w:t>
      </w:r>
      <w:r w:rsidR="00C02DBF" w:rsidRPr="00C02DBF">
        <w:rPr>
          <w:b/>
        </w:rPr>
        <w:t>.</w:t>
      </w:r>
      <w:r w:rsidR="00540059">
        <w:t>”</w:t>
      </w:r>
      <w:r w:rsidR="00AC6ACE">
        <w:t>.</w:t>
      </w:r>
    </w:p>
    <w:bookmarkEnd w:id="3"/>
    <w:p w14:paraId="371A84C6" w14:textId="77777777" w:rsidR="00B62E53" w:rsidRDefault="00B62E53" w:rsidP="003655FB">
      <w:pPr>
        <w:pStyle w:val="H23G"/>
        <w:tabs>
          <w:tab w:val="clear" w:pos="851"/>
        </w:tabs>
        <w:ind w:firstLine="0"/>
      </w:pPr>
      <w:r>
        <w:t xml:space="preserve">Proposed </w:t>
      </w:r>
      <w:r w:rsidR="001E0496">
        <w:t>amendments</w:t>
      </w:r>
    </w:p>
    <w:p w14:paraId="0F64671D" w14:textId="77777777" w:rsidR="003C7F14" w:rsidRPr="00BC2E42" w:rsidRDefault="001E0496" w:rsidP="009E377B">
      <w:pPr>
        <w:pStyle w:val="SingleTxtG"/>
      </w:pPr>
      <w:r>
        <w:t>19</w:t>
      </w:r>
      <w:r w:rsidR="00540059">
        <w:t>.</w:t>
      </w:r>
      <w:r w:rsidR="00540059">
        <w:tab/>
      </w:r>
      <w:r w:rsidR="00A565B2" w:rsidRPr="00BC2E42">
        <w:t>In Table A.3.2.2</w:t>
      </w:r>
      <w:r w:rsidR="00743285" w:rsidRPr="00BC2E42">
        <w:t>,</w:t>
      </w:r>
      <w:r w:rsidR="00D144A5" w:rsidRPr="00BC2E42">
        <w:t xml:space="preserve"> Section 2</w:t>
      </w:r>
      <w:r w:rsidR="00743285" w:rsidRPr="00BC2E42">
        <w:t>,</w:t>
      </w:r>
      <w:r w:rsidR="00D144A5" w:rsidRPr="00BC2E42">
        <w:t xml:space="preserve"> </w:t>
      </w:r>
      <w:r w:rsidR="00BC2E42">
        <w:t xml:space="preserve">for the </w:t>
      </w:r>
      <w:r w:rsidR="00AE0244" w:rsidRPr="00BC2E42">
        <w:t>P230</w:t>
      </w:r>
      <w:r w:rsidR="00564427" w:rsidRPr="00BC2E42">
        <w:t xml:space="preserve"> </w:t>
      </w:r>
      <w:r w:rsidR="00E54FAE" w:rsidRPr="00BC2E42">
        <w:t>entry:</w:t>
      </w:r>
    </w:p>
    <w:p w14:paraId="19D48C71" w14:textId="77777777" w:rsidR="00736CB6" w:rsidRPr="00AC6ACE" w:rsidRDefault="00987881" w:rsidP="00540059">
      <w:pPr>
        <w:pStyle w:val="SingleTxtG"/>
        <w:ind w:left="1701"/>
      </w:pPr>
      <w:r w:rsidRPr="00C02DBF">
        <w:t>Delete the precautionary statement</w:t>
      </w:r>
      <w:r w:rsidR="00E54FAE" w:rsidRPr="00C02DBF">
        <w:t xml:space="preserve">: </w:t>
      </w:r>
      <w:r w:rsidR="00540059">
        <w:t>“</w:t>
      </w:r>
      <w:r w:rsidR="00E54FAE" w:rsidRPr="007B35B2">
        <w:rPr>
          <w:b/>
        </w:rPr>
        <w:t>Keep wetted with…</w:t>
      </w:r>
      <w:r w:rsidR="00540059">
        <w:rPr>
          <w:b/>
        </w:rPr>
        <w:t>”</w:t>
      </w:r>
      <w:r w:rsidRPr="007B35B2">
        <w:t xml:space="preserve"> and replace it with the precautionary statement</w:t>
      </w:r>
      <w:r w:rsidR="00E54FAE" w:rsidRPr="007B35B2">
        <w:t xml:space="preserve">: </w:t>
      </w:r>
      <w:r w:rsidR="00540059">
        <w:t>“</w:t>
      </w:r>
      <w:r w:rsidR="00E54FAE" w:rsidRPr="007B35B2">
        <w:rPr>
          <w:b/>
        </w:rPr>
        <w:t>Keep diluted with</w:t>
      </w:r>
      <w:r w:rsidR="00E54FAE" w:rsidRPr="00AC6ACE">
        <w:rPr>
          <w:b/>
        </w:rPr>
        <w:t>…</w:t>
      </w:r>
      <w:r w:rsidR="00736CB6" w:rsidRPr="001E0496">
        <w:t>:</w:t>
      </w:r>
      <w:r w:rsidR="00540059">
        <w:t>”</w:t>
      </w:r>
    </w:p>
    <w:p w14:paraId="0A1C9AC7" w14:textId="77777777" w:rsidR="00AE0244" w:rsidRPr="00BC2E42" w:rsidRDefault="00E54FAE" w:rsidP="00540059">
      <w:pPr>
        <w:pStyle w:val="SingleTxtG"/>
        <w:tabs>
          <w:tab w:val="left" w:pos="1843"/>
        </w:tabs>
        <w:ind w:left="1701"/>
      </w:pPr>
      <w:r w:rsidRPr="00AC6ACE">
        <w:t>F</w:t>
      </w:r>
      <w:r w:rsidR="00A565B2" w:rsidRPr="00AC6ACE">
        <w:t>or the explosives hazard class (divisions 1.1, 1.2, 1.3 and 1.5)</w:t>
      </w:r>
      <w:r w:rsidR="00350DD2" w:rsidRPr="00AC6ACE">
        <w:t xml:space="preserve">, </w:t>
      </w:r>
      <w:r w:rsidR="00A565B2" w:rsidRPr="00AC6ACE">
        <w:t>under “</w:t>
      </w:r>
      <w:r w:rsidR="00A565B2" w:rsidRPr="005455BB">
        <w:rPr>
          <w:i/>
        </w:rPr>
        <w:t>Conditions for use</w:t>
      </w:r>
      <w:r w:rsidR="00A565B2" w:rsidRPr="00BC2E42">
        <w:t>”</w:t>
      </w:r>
      <w:r w:rsidR="00AE0244" w:rsidRPr="00BC2E42">
        <w:t>:</w:t>
      </w:r>
      <w:r w:rsidR="00B62E53" w:rsidRPr="00BC2E42">
        <w:t xml:space="preserve"> </w:t>
      </w:r>
      <w:r w:rsidR="00AE0244" w:rsidRPr="00BC2E42">
        <w:t xml:space="preserve"> </w:t>
      </w:r>
    </w:p>
    <w:p w14:paraId="066A81F6" w14:textId="77777777" w:rsidR="003655FB" w:rsidRPr="006A175F" w:rsidRDefault="00AE0244" w:rsidP="00540059">
      <w:pPr>
        <w:pStyle w:val="SingleTxtG"/>
        <w:ind w:left="1701"/>
        <w:rPr>
          <w:i/>
        </w:rPr>
      </w:pPr>
      <w:r w:rsidRPr="006A175F">
        <w:rPr>
          <w:i/>
        </w:rPr>
        <w:t>Delete:</w:t>
      </w:r>
    </w:p>
    <w:p w14:paraId="3F0880A6" w14:textId="77777777" w:rsidR="003655FB" w:rsidRPr="00BC2E42" w:rsidRDefault="00E60E86" w:rsidP="00540059">
      <w:pPr>
        <w:pStyle w:val="SingleTxtG"/>
        <w:ind w:left="1701" w:right="1417"/>
      </w:pPr>
      <w:r w:rsidRPr="00BC2E42">
        <w:rPr>
          <w:i/>
          <w:iCs/>
        </w:rPr>
        <w:lastRenderedPageBreak/>
        <w:t xml:space="preserve">“- </w:t>
      </w:r>
      <w:r w:rsidR="003655FB" w:rsidRPr="00BC2E42">
        <w:rPr>
          <w:i/>
          <w:iCs/>
        </w:rPr>
        <w:t xml:space="preserve">for substances and mixtures which are wetted, diluted, dissolved or suspended with a phlegmatizer in order to suppress their explosive properties </w:t>
      </w:r>
      <w:r w:rsidR="003655FB" w:rsidRPr="00BC2E42">
        <w:t>…Manufacturer/supplier or competent authority to specify appropriate material.</w:t>
      </w:r>
      <w:r w:rsidRPr="00BC2E42">
        <w:t>”</w:t>
      </w:r>
    </w:p>
    <w:p w14:paraId="443C48AE" w14:textId="77777777" w:rsidR="00E54FAE" w:rsidRPr="006A175F" w:rsidRDefault="00E54FAE" w:rsidP="009E7293">
      <w:pPr>
        <w:pStyle w:val="SingleTxtG"/>
        <w:keepNext/>
        <w:keepLines/>
        <w:ind w:left="1701"/>
        <w:rPr>
          <w:i/>
          <w:iCs/>
        </w:rPr>
      </w:pPr>
      <w:r w:rsidRPr="006A175F">
        <w:rPr>
          <w:i/>
          <w:iCs/>
        </w:rPr>
        <w:t>Insert:</w:t>
      </w:r>
    </w:p>
    <w:p w14:paraId="57BD1606" w14:textId="77777777" w:rsidR="0011141A" w:rsidRDefault="00E54FAE" w:rsidP="00540059">
      <w:pPr>
        <w:pStyle w:val="SingleTxtG"/>
        <w:ind w:left="1701"/>
        <w:rPr>
          <w:i/>
          <w:iCs/>
        </w:rPr>
      </w:pPr>
      <w:r w:rsidRPr="009E377B">
        <w:rPr>
          <w:i/>
          <w:iCs/>
        </w:rPr>
        <w:t>“- for explosive substances and mixtures that are diluted with solids or liquids, or wetted with, dissolved or suspended in water or other liquids to reduce their explosives properties</w:t>
      </w:r>
      <w:r w:rsidR="00C00FC2" w:rsidRPr="009E377B">
        <w:rPr>
          <w:i/>
          <w:iCs/>
        </w:rPr>
        <w:t>.</w:t>
      </w:r>
    </w:p>
    <w:p w14:paraId="0C02C3B7" w14:textId="77777777" w:rsidR="00E54FAE" w:rsidRPr="007B35B2" w:rsidRDefault="00E54FAE" w:rsidP="00540059">
      <w:pPr>
        <w:pStyle w:val="SingleTxtG"/>
        <w:ind w:left="1701"/>
        <w:rPr>
          <w:color w:val="1F497D"/>
        </w:rPr>
      </w:pPr>
      <w:r w:rsidRPr="007B35B2">
        <w:t>…Manufacturer/supplier or competent authority to specify appropriate material</w:t>
      </w:r>
      <w:r w:rsidRPr="007B35B2">
        <w:rPr>
          <w:i/>
        </w:rPr>
        <w:t>.”</w:t>
      </w:r>
    </w:p>
    <w:p w14:paraId="611B0DA8" w14:textId="77777777" w:rsidR="00B62E53" w:rsidRPr="00C00FC2" w:rsidRDefault="001E0496" w:rsidP="009E377B">
      <w:pPr>
        <w:pStyle w:val="SingleTxtG"/>
      </w:pPr>
      <w:r>
        <w:t>20</w:t>
      </w:r>
      <w:r w:rsidR="00540059">
        <w:t>.</w:t>
      </w:r>
      <w:r w:rsidR="00540059">
        <w:tab/>
      </w:r>
      <w:r w:rsidR="00743285" w:rsidRPr="00C00FC2">
        <w:t xml:space="preserve">In Section 3, </w:t>
      </w:r>
      <w:r w:rsidR="00A565B2" w:rsidRPr="00C00FC2">
        <w:t>f</w:t>
      </w:r>
      <w:r w:rsidR="003655FB" w:rsidRPr="00C00FC2">
        <w:t>or</w:t>
      </w:r>
      <w:r w:rsidR="00AE0244" w:rsidRPr="00C00FC2">
        <w:t xml:space="preserve"> </w:t>
      </w:r>
      <w:r w:rsidR="00743285" w:rsidRPr="00C00FC2">
        <w:t xml:space="preserve">the </w:t>
      </w:r>
      <w:r w:rsidR="00350DD2" w:rsidRPr="00C00FC2">
        <w:t xml:space="preserve">table ‘Explosives </w:t>
      </w:r>
      <w:r w:rsidR="00B62E53" w:rsidRPr="00C00FC2">
        <w:t>(divisions 1.1, 1.2, 1.3 and 1.5)</w:t>
      </w:r>
      <w:r w:rsidR="00350DD2" w:rsidRPr="00C00FC2">
        <w:t>’</w:t>
      </w:r>
      <w:r w:rsidR="00743285" w:rsidRPr="00C00FC2">
        <w:t>, u</w:t>
      </w:r>
      <w:r w:rsidR="003655FB" w:rsidRPr="00C00FC2">
        <w:t xml:space="preserve">nder </w:t>
      </w:r>
      <w:r w:rsidR="00BC2E42" w:rsidRPr="00C00FC2">
        <w:t xml:space="preserve">the </w:t>
      </w:r>
      <w:r w:rsidR="003655FB" w:rsidRPr="00C00FC2">
        <w:t>“Prevention”</w:t>
      </w:r>
      <w:r w:rsidR="00D144A5" w:rsidRPr="00C00FC2">
        <w:t xml:space="preserve"> </w:t>
      </w:r>
      <w:r w:rsidR="00BC2E42" w:rsidRPr="00C00FC2">
        <w:t xml:space="preserve">column </w:t>
      </w:r>
      <w:r w:rsidR="00D144A5" w:rsidRPr="00C00FC2">
        <w:t>for the P230 entry</w:t>
      </w:r>
      <w:r w:rsidR="003655FB" w:rsidRPr="00C00FC2">
        <w:t>:</w:t>
      </w:r>
    </w:p>
    <w:p w14:paraId="65E7DF7D" w14:textId="77777777" w:rsidR="00A565B2" w:rsidRPr="006A175F" w:rsidRDefault="00A565B2" w:rsidP="00540059">
      <w:pPr>
        <w:pStyle w:val="SingleTxtG"/>
        <w:ind w:left="1701"/>
        <w:rPr>
          <w:i/>
        </w:rPr>
      </w:pPr>
      <w:r w:rsidRPr="006A175F">
        <w:rPr>
          <w:i/>
        </w:rPr>
        <w:t>Delete:</w:t>
      </w:r>
    </w:p>
    <w:p w14:paraId="0B75A91D" w14:textId="77777777" w:rsidR="003C7F14" w:rsidRPr="006A175F" w:rsidRDefault="00E60E86" w:rsidP="00540059">
      <w:pPr>
        <w:pStyle w:val="SingleTxtG"/>
        <w:spacing w:after="80"/>
        <w:ind w:left="1701" w:right="1418"/>
        <w:rPr>
          <w:b/>
          <w:iCs/>
        </w:rPr>
      </w:pPr>
      <w:r w:rsidRPr="006A175F">
        <w:rPr>
          <w:iCs/>
        </w:rPr>
        <w:t>“</w:t>
      </w:r>
      <w:r w:rsidR="003C7F14" w:rsidRPr="006A175F">
        <w:rPr>
          <w:b/>
          <w:iCs/>
        </w:rPr>
        <w:t>Keep wetted with…</w:t>
      </w:r>
    </w:p>
    <w:p w14:paraId="3BE563D3" w14:textId="77777777" w:rsidR="00C00FC2" w:rsidRPr="006A175F" w:rsidRDefault="00E60E86" w:rsidP="00540059">
      <w:pPr>
        <w:pStyle w:val="SingleTxtG"/>
        <w:spacing w:after="0" w:line="240" w:lineRule="auto"/>
        <w:ind w:left="1701" w:right="1418"/>
        <w:rPr>
          <w:i/>
          <w:iCs/>
        </w:rPr>
      </w:pPr>
      <w:r w:rsidRPr="006A175F">
        <w:rPr>
          <w:i/>
          <w:iCs/>
        </w:rPr>
        <w:t xml:space="preserve">- </w:t>
      </w:r>
      <w:r w:rsidR="00A565B2" w:rsidRPr="006A175F">
        <w:rPr>
          <w:i/>
          <w:iCs/>
        </w:rPr>
        <w:t>for substances and mixtures which are wetted, diluted, dissolved or suspended with a phlegmatizer in order to reduce or suppress their explosive properties (desensitised explosives)</w:t>
      </w:r>
      <w:r w:rsidR="00C00FC2" w:rsidRPr="006A175F">
        <w:rPr>
          <w:i/>
          <w:iCs/>
        </w:rPr>
        <w:t>.</w:t>
      </w:r>
      <w:r w:rsidR="00A565B2" w:rsidRPr="006A175F">
        <w:rPr>
          <w:i/>
          <w:iCs/>
        </w:rPr>
        <w:t xml:space="preserve"> </w:t>
      </w:r>
    </w:p>
    <w:p w14:paraId="6A336885" w14:textId="77777777" w:rsidR="00A565B2" w:rsidRPr="00C00FC2" w:rsidRDefault="00A565B2" w:rsidP="00540059">
      <w:pPr>
        <w:pStyle w:val="SingleTxtG"/>
        <w:ind w:left="1701" w:right="1417"/>
        <w:rPr>
          <w:i/>
        </w:rPr>
      </w:pPr>
      <w:r w:rsidRPr="00C00FC2">
        <w:t>…Manufacturer/supplier or competent authority to specify appropriate material.</w:t>
      </w:r>
      <w:r w:rsidR="00E60E86" w:rsidRPr="00C00FC2">
        <w:t>”</w:t>
      </w:r>
    </w:p>
    <w:p w14:paraId="513DB279" w14:textId="77777777" w:rsidR="00A565B2" w:rsidRPr="006A175F" w:rsidRDefault="00A565B2" w:rsidP="00540059">
      <w:pPr>
        <w:pStyle w:val="SingleTxtG"/>
        <w:ind w:left="1701"/>
        <w:rPr>
          <w:i/>
        </w:rPr>
      </w:pPr>
      <w:r w:rsidRPr="006A175F">
        <w:rPr>
          <w:i/>
        </w:rPr>
        <w:t>Insert:</w:t>
      </w:r>
    </w:p>
    <w:p w14:paraId="46F4A4F9" w14:textId="77777777" w:rsidR="00BC2E42" w:rsidRPr="00C00FC2" w:rsidRDefault="00E60E86" w:rsidP="00540059">
      <w:pPr>
        <w:pStyle w:val="ListParagraph"/>
        <w:spacing w:after="80"/>
        <w:ind w:left="1701" w:right="1418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C00FC2">
        <w:rPr>
          <w:rFonts w:ascii="Times New Roman" w:hAnsi="Times New Roman" w:cs="Times New Roman"/>
          <w:i/>
          <w:iCs/>
          <w:sz w:val="20"/>
          <w:szCs w:val="20"/>
        </w:rPr>
        <w:t>“</w:t>
      </w:r>
      <w:r w:rsidR="00BC2E42" w:rsidRPr="00C00FC2">
        <w:rPr>
          <w:rFonts w:ascii="Times New Roman" w:hAnsi="Times New Roman" w:cs="Times New Roman"/>
          <w:b/>
          <w:iCs/>
          <w:sz w:val="20"/>
          <w:szCs w:val="20"/>
        </w:rPr>
        <w:t>Keep diluted with…</w:t>
      </w:r>
    </w:p>
    <w:p w14:paraId="3269B634" w14:textId="77777777" w:rsidR="00C00FC2" w:rsidRPr="00C00FC2" w:rsidRDefault="00E60E86" w:rsidP="00540059">
      <w:pPr>
        <w:pStyle w:val="ListParagraph"/>
        <w:ind w:left="1701" w:right="1417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C00FC2">
        <w:rPr>
          <w:rFonts w:ascii="Times New Roman" w:hAnsi="Times New Roman" w:cs="Times New Roman"/>
          <w:i/>
          <w:iCs/>
          <w:sz w:val="20"/>
          <w:szCs w:val="20"/>
        </w:rPr>
        <w:t xml:space="preserve">- </w:t>
      </w:r>
      <w:r w:rsidR="00AF6718" w:rsidRPr="00C00FC2">
        <w:rPr>
          <w:rFonts w:ascii="Times New Roman" w:hAnsi="Times New Roman" w:cs="Times New Roman"/>
          <w:i/>
          <w:iCs/>
          <w:sz w:val="20"/>
          <w:szCs w:val="20"/>
        </w:rPr>
        <w:t>f</w:t>
      </w:r>
      <w:r w:rsidR="0097668F" w:rsidRPr="00C00FC2">
        <w:rPr>
          <w:rFonts w:ascii="Times New Roman" w:hAnsi="Times New Roman" w:cs="Times New Roman"/>
          <w:i/>
          <w:iCs/>
          <w:sz w:val="20"/>
          <w:szCs w:val="20"/>
        </w:rPr>
        <w:t>or explosive substances and mixtures that are diluted with solids or liquids</w:t>
      </w:r>
      <w:r w:rsidR="002C398F" w:rsidRPr="00C00FC2">
        <w:rPr>
          <w:rFonts w:ascii="Times New Roman" w:hAnsi="Times New Roman" w:cs="Times New Roman"/>
          <w:i/>
          <w:iCs/>
          <w:sz w:val="20"/>
          <w:szCs w:val="20"/>
        </w:rPr>
        <w:t>,</w:t>
      </w:r>
      <w:r w:rsidR="0097668F" w:rsidRPr="00C00FC2">
        <w:rPr>
          <w:rFonts w:ascii="Times New Roman" w:hAnsi="Times New Roman" w:cs="Times New Roman"/>
          <w:i/>
          <w:iCs/>
          <w:sz w:val="20"/>
          <w:szCs w:val="20"/>
        </w:rPr>
        <w:t xml:space="preserve"> or wetted with</w:t>
      </w:r>
      <w:r w:rsidR="00F42B58" w:rsidRPr="00C00FC2">
        <w:rPr>
          <w:rFonts w:ascii="Times New Roman" w:hAnsi="Times New Roman" w:cs="Times New Roman"/>
          <w:i/>
          <w:iCs/>
          <w:sz w:val="20"/>
          <w:szCs w:val="20"/>
        </w:rPr>
        <w:t>,</w:t>
      </w:r>
      <w:r w:rsidR="0097668F" w:rsidRPr="00C00FC2">
        <w:rPr>
          <w:rFonts w:ascii="Times New Roman" w:hAnsi="Times New Roman" w:cs="Times New Roman"/>
          <w:i/>
          <w:iCs/>
          <w:sz w:val="20"/>
          <w:szCs w:val="20"/>
        </w:rPr>
        <w:t xml:space="preserve"> dissolved or suspended in water or other liquid</w:t>
      </w:r>
      <w:r w:rsidR="00F42B58" w:rsidRPr="00C00FC2">
        <w:rPr>
          <w:rFonts w:ascii="Times New Roman" w:hAnsi="Times New Roman" w:cs="Times New Roman"/>
          <w:i/>
          <w:iCs/>
          <w:sz w:val="20"/>
          <w:szCs w:val="20"/>
        </w:rPr>
        <w:t>s</w:t>
      </w:r>
      <w:r w:rsidR="0097668F" w:rsidRPr="00C00FC2">
        <w:rPr>
          <w:rFonts w:ascii="Times New Roman" w:hAnsi="Times New Roman" w:cs="Times New Roman"/>
          <w:i/>
          <w:iCs/>
          <w:sz w:val="20"/>
          <w:szCs w:val="20"/>
        </w:rPr>
        <w:t xml:space="preserve"> to reduce their explosives properties</w:t>
      </w:r>
      <w:r w:rsidR="00C00FC2" w:rsidRPr="00C00FC2">
        <w:rPr>
          <w:rFonts w:ascii="Times New Roman" w:hAnsi="Times New Roman" w:cs="Times New Roman"/>
          <w:i/>
          <w:iCs/>
          <w:sz w:val="20"/>
          <w:szCs w:val="20"/>
        </w:rPr>
        <w:t xml:space="preserve">. </w:t>
      </w:r>
    </w:p>
    <w:p w14:paraId="1C7FC940" w14:textId="77777777" w:rsidR="00A565B2" w:rsidRPr="00C00FC2" w:rsidRDefault="00A565B2" w:rsidP="00540059">
      <w:pPr>
        <w:pStyle w:val="ListParagraph"/>
        <w:ind w:left="1701" w:right="1417"/>
        <w:jc w:val="both"/>
        <w:rPr>
          <w:rFonts w:ascii="Times New Roman" w:hAnsi="Times New Roman" w:cs="Times New Roman"/>
          <w:color w:val="1F497D"/>
          <w:sz w:val="20"/>
          <w:szCs w:val="20"/>
        </w:rPr>
      </w:pPr>
      <w:r w:rsidRPr="00C00FC2">
        <w:rPr>
          <w:rFonts w:ascii="Times New Roman" w:hAnsi="Times New Roman" w:cs="Times New Roman"/>
          <w:sz w:val="20"/>
          <w:szCs w:val="20"/>
        </w:rPr>
        <w:t>…Manufacturer/supplier or competent authority to specify appropriate material</w:t>
      </w:r>
      <w:r w:rsidRPr="00C00FC2">
        <w:rPr>
          <w:rFonts w:ascii="Times New Roman" w:hAnsi="Times New Roman" w:cs="Times New Roman"/>
          <w:i/>
          <w:sz w:val="20"/>
          <w:szCs w:val="20"/>
        </w:rPr>
        <w:t>.</w:t>
      </w:r>
      <w:r w:rsidR="00E60E86" w:rsidRPr="00C00FC2">
        <w:rPr>
          <w:rFonts w:ascii="Times New Roman" w:hAnsi="Times New Roman" w:cs="Times New Roman"/>
          <w:i/>
          <w:sz w:val="20"/>
          <w:szCs w:val="20"/>
        </w:rPr>
        <w:t>”</w:t>
      </w:r>
    </w:p>
    <w:p w14:paraId="6D58665A" w14:textId="77777777" w:rsidR="00C20816" w:rsidRPr="00C00FC2" w:rsidRDefault="00C20816" w:rsidP="00C20816">
      <w:pPr>
        <w:pStyle w:val="H23G"/>
      </w:pPr>
      <w:r w:rsidRPr="00C00FC2">
        <w:tab/>
      </w:r>
      <w:r w:rsidRPr="00C00FC2">
        <w:tab/>
        <w:t>Action requested</w:t>
      </w:r>
    </w:p>
    <w:p w14:paraId="735B7D2F" w14:textId="77777777" w:rsidR="009E377B" w:rsidRDefault="001E0496" w:rsidP="00723074">
      <w:pPr>
        <w:pStyle w:val="SingleTxtG"/>
      </w:pPr>
      <w:r>
        <w:t>21</w:t>
      </w:r>
      <w:r w:rsidR="00C20816">
        <w:t>.</w:t>
      </w:r>
      <w:r w:rsidR="00C20816">
        <w:tab/>
      </w:r>
      <w:r w:rsidR="00C20816" w:rsidRPr="00C20816">
        <w:t xml:space="preserve">The Sub-Committee is invited to </w:t>
      </w:r>
      <w:r w:rsidR="006653DC" w:rsidRPr="006653DC">
        <w:t xml:space="preserve">agree </w:t>
      </w:r>
      <w:r>
        <w:t xml:space="preserve">to </w:t>
      </w:r>
      <w:r w:rsidR="006653DC" w:rsidRPr="006653DC">
        <w:t xml:space="preserve">the proposed changes to Serious Eye Damage/Eye irritation; P230; and P231 in Sections 2 and 3 of Annex 3 </w:t>
      </w:r>
      <w:r w:rsidR="006653DC">
        <w:t xml:space="preserve">of the GHS </w:t>
      </w:r>
      <w:r w:rsidR="006653DC" w:rsidRPr="006653DC">
        <w:t>as set out in this document.</w:t>
      </w:r>
    </w:p>
    <w:p w14:paraId="17DE62E5" w14:textId="77777777" w:rsidR="009E377B" w:rsidRPr="009E377B" w:rsidRDefault="009E377B" w:rsidP="009E377B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984B78B" w14:textId="77777777" w:rsidR="00C20816" w:rsidRPr="00023765" w:rsidRDefault="00C20816" w:rsidP="00723074">
      <w:pPr>
        <w:pStyle w:val="SingleTxtG"/>
        <w:rPr>
          <w:u w:val="single"/>
        </w:rPr>
      </w:pPr>
    </w:p>
    <w:sectPr w:rsidR="00C20816" w:rsidRPr="00023765" w:rsidSect="00A1099A">
      <w:headerReference w:type="even" r:id="rId9"/>
      <w:headerReference w:type="default" r:id="rId10"/>
      <w:footerReference w:type="even" r:id="rId11"/>
      <w:footerReference w:type="default" r:id="rId12"/>
      <w:endnotePr>
        <w:numFmt w:val="decimal"/>
      </w:endnotePr>
      <w:pgSz w:w="11907" w:h="16840" w:code="9"/>
      <w:pgMar w:top="1417" w:right="1134" w:bottom="1134" w:left="1134" w:header="85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096B36" w14:textId="77777777" w:rsidR="00FB710B" w:rsidRPr="00C47B2E" w:rsidRDefault="00FB710B" w:rsidP="00C47B2E">
      <w:pPr>
        <w:pStyle w:val="Footer"/>
      </w:pPr>
    </w:p>
  </w:endnote>
  <w:endnote w:type="continuationSeparator" w:id="0">
    <w:p w14:paraId="78BD86CB" w14:textId="77777777" w:rsidR="00FB710B" w:rsidRPr="00C47B2E" w:rsidRDefault="00FB710B" w:rsidP="00C47B2E">
      <w:pPr>
        <w:pStyle w:val="Footer"/>
      </w:pPr>
    </w:p>
  </w:endnote>
  <w:endnote w:type="continuationNotice" w:id="1">
    <w:p w14:paraId="1EB4EFAE" w14:textId="77777777" w:rsidR="00FB710B" w:rsidRPr="00C47B2E" w:rsidRDefault="00FB710B" w:rsidP="00C47B2E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6739CD" w14:textId="77777777" w:rsidR="00D94B05" w:rsidRPr="00A1099A" w:rsidRDefault="00A1099A" w:rsidP="00A1099A">
    <w:pPr>
      <w:pStyle w:val="Footer"/>
      <w:tabs>
        <w:tab w:val="right" w:pos="9598"/>
        <w:tab w:val="right" w:pos="9638"/>
      </w:tabs>
      <w:rPr>
        <w:sz w:val="18"/>
      </w:rPr>
    </w:pPr>
    <w:r w:rsidRPr="00A1099A">
      <w:rPr>
        <w:b/>
        <w:sz w:val="18"/>
      </w:rPr>
      <w:fldChar w:fldCharType="begin"/>
    </w:r>
    <w:r w:rsidRPr="00A1099A">
      <w:rPr>
        <w:b/>
        <w:sz w:val="18"/>
      </w:rPr>
      <w:instrText xml:space="preserve"> PAGE  \* MERGEFORMAT </w:instrText>
    </w:r>
    <w:r w:rsidRPr="00A1099A">
      <w:rPr>
        <w:b/>
        <w:sz w:val="18"/>
      </w:rPr>
      <w:fldChar w:fldCharType="separate"/>
    </w:r>
    <w:r w:rsidR="00A641B3">
      <w:rPr>
        <w:b/>
        <w:noProof/>
        <w:sz w:val="18"/>
      </w:rPr>
      <w:t>4</w:t>
    </w:r>
    <w:r w:rsidRPr="00A1099A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34DD28" w14:textId="77777777" w:rsidR="00D94B05" w:rsidRPr="00DA7FE1" w:rsidRDefault="00A1099A" w:rsidP="00DA7FE1">
    <w:pPr>
      <w:pStyle w:val="Footer"/>
      <w:tabs>
        <w:tab w:val="left" w:pos="5775"/>
        <w:tab w:val="right" w:pos="9598"/>
        <w:tab w:val="right" w:pos="9638"/>
      </w:tabs>
      <w:jc w:val="right"/>
      <w:rPr>
        <w:b/>
        <w:bCs/>
        <w:sz w:val="18"/>
      </w:rPr>
    </w:pPr>
    <w:r>
      <w:rPr>
        <w:b/>
        <w:sz w:val="18"/>
      </w:rPr>
      <w:tab/>
    </w:r>
    <w:r w:rsidRPr="00DA7FE1">
      <w:rPr>
        <w:b/>
        <w:bCs/>
        <w:sz w:val="18"/>
      </w:rPr>
      <w:fldChar w:fldCharType="begin"/>
    </w:r>
    <w:r w:rsidRPr="00DA7FE1">
      <w:rPr>
        <w:b/>
        <w:bCs/>
        <w:sz w:val="18"/>
      </w:rPr>
      <w:instrText xml:space="preserve"> PAGE  \* MERGEFORMAT </w:instrText>
    </w:r>
    <w:r w:rsidRPr="00DA7FE1">
      <w:rPr>
        <w:b/>
        <w:bCs/>
        <w:sz w:val="18"/>
      </w:rPr>
      <w:fldChar w:fldCharType="separate"/>
    </w:r>
    <w:r w:rsidR="00A641B3" w:rsidRPr="00DA7FE1">
      <w:rPr>
        <w:b/>
        <w:bCs/>
        <w:noProof/>
        <w:sz w:val="18"/>
      </w:rPr>
      <w:t>3</w:t>
    </w:r>
    <w:r w:rsidRPr="00DA7FE1">
      <w:rPr>
        <w:b/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E7F3CF" w14:textId="77777777" w:rsidR="00FB710B" w:rsidRPr="00C47B2E" w:rsidRDefault="00FB710B" w:rsidP="00C47B2E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type="continuationSeparator" w:id="0">
    <w:p w14:paraId="6C748A18" w14:textId="77777777" w:rsidR="00FB710B" w:rsidRPr="00C47B2E" w:rsidRDefault="00FB710B" w:rsidP="005E716E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type="continuationNotice" w:id="1">
    <w:p w14:paraId="0A91EADE" w14:textId="77777777" w:rsidR="00FB710B" w:rsidRPr="00C47B2E" w:rsidRDefault="00FB710B" w:rsidP="00C47B2E">
      <w:pPr>
        <w:pStyle w:val="Footer"/>
      </w:pPr>
    </w:p>
  </w:footnote>
  <w:footnote w:id="2">
    <w:p w14:paraId="14510D74" w14:textId="77777777" w:rsidR="003A4DD4" w:rsidRPr="003A4DD4" w:rsidRDefault="003A4DD4" w:rsidP="009D0CC4">
      <w:pPr>
        <w:pStyle w:val="FootnoteText"/>
        <w:tabs>
          <w:tab w:val="clear" w:pos="1021"/>
          <w:tab w:val="right" w:pos="1418"/>
          <w:tab w:val="left" w:pos="1701"/>
        </w:tabs>
        <w:ind w:left="993" w:hanging="283"/>
        <w:rPr>
          <w:lang w:val="fr-CH"/>
        </w:rPr>
      </w:pPr>
      <w:r w:rsidRPr="003A4DD4">
        <w:rPr>
          <w:rStyle w:val="FootnoteReference"/>
          <w:sz w:val="20"/>
          <w:vertAlign w:val="baseline"/>
        </w:rPr>
        <w:t>*</w:t>
      </w:r>
      <w:r w:rsidR="00292875">
        <w:rPr>
          <w:rStyle w:val="FootnoteReference"/>
          <w:sz w:val="20"/>
          <w:vertAlign w:val="baseline"/>
        </w:rPr>
        <w:tab/>
      </w:r>
      <w:bookmarkStart w:id="1" w:name="_Hlk16767764"/>
      <w:r w:rsidR="00292875">
        <w:rPr>
          <w:lang w:val="en-US"/>
        </w:rPr>
        <w:t xml:space="preserve">In accordance with </w:t>
      </w:r>
      <w:r w:rsidR="00292875">
        <w:t>the programme</w:t>
      </w:r>
      <w:r w:rsidR="00292875">
        <w:rPr>
          <w:lang w:val="en-US"/>
        </w:rPr>
        <w:t xml:space="preserve"> of work of the Sub-Committee for 2019-2020 approved by the Committee at its ninth session (see ST/SG/AC.10/46, paragraph 14</w:t>
      </w:r>
      <w:r w:rsidR="0099652A" w:rsidRPr="0099652A">
        <w:rPr>
          <w:lang w:val="en-US"/>
        </w:rPr>
        <w:t xml:space="preserve"> </w:t>
      </w:r>
      <w:r w:rsidR="0099652A">
        <w:rPr>
          <w:lang w:val="en-US"/>
        </w:rPr>
        <w:t xml:space="preserve">and ST/SG/AC.10/C.4/72, </w:t>
      </w:r>
      <w:r w:rsidR="00AE71C3">
        <w:rPr>
          <w:lang w:val="en-US"/>
        </w:rPr>
        <w:t>Annex</w:t>
      </w:r>
      <w:r w:rsidR="009D0CC4">
        <w:rPr>
          <w:lang w:val="en-US"/>
        </w:rPr>
        <w:t> </w:t>
      </w:r>
      <w:r w:rsidR="00AE71C3">
        <w:rPr>
          <w:lang w:val="en-US"/>
        </w:rPr>
        <w:t>II</w:t>
      </w:r>
      <w:r w:rsidR="00292875">
        <w:rPr>
          <w:lang w:val="en-US"/>
        </w:rPr>
        <w:t>)</w:t>
      </w:r>
      <w:bookmarkEnd w:id="1"/>
      <w:r w:rsidR="00292875">
        <w:rPr>
          <w:lang w:val="en-US"/>
        </w:rPr>
        <w:t>.</w:t>
      </w:r>
    </w:p>
  </w:footnote>
  <w:footnote w:id="3">
    <w:p w14:paraId="047DCC99" w14:textId="77777777" w:rsidR="001E0496" w:rsidRDefault="001E0496" w:rsidP="001E0496">
      <w:pPr>
        <w:pStyle w:val="FootnoteText"/>
        <w:tabs>
          <w:tab w:val="clear" w:pos="1021"/>
          <w:tab w:val="left" w:pos="1134"/>
        </w:tabs>
        <w:ind w:left="709" w:right="567" w:firstLine="1"/>
      </w:pPr>
      <w:r>
        <w:rPr>
          <w:rStyle w:val="FootnoteReference"/>
        </w:rPr>
        <w:footnoteRef/>
      </w:r>
      <w:r>
        <w:t xml:space="preserve"> </w:t>
      </w:r>
      <w:r>
        <w:tab/>
        <w:t>See informal document</w:t>
      </w:r>
      <w:r w:rsidR="00010DAA">
        <w:t>s</w:t>
      </w:r>
      <w:r>
        <w:t xml:space="preserve"> </w:t>
      </w:r>
      <w:r w:rsidRPr="00432B32">
        <w:t>INF</w:t>
      </w:r>
      <w:r>
        <w:t>.</w:t>
      </w:r>
      <w:r w:rsidRPr="00432B32">
        <w:t>8</w:t>
      </w:r>
      <w:r w:rsidR="00010DAA">
        <w:t>, INF.21 and INF.24</w:t>
      </w:r>
      <w:r>
        <w:t xml:space="preserve"> (GHS Sub-Committee, thirty-seventh session).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1DDB5C" w14:textId="77777777" w:rsidR="009E377B" w:rsidRPr="009E377B" w:rsidRDefault="009E377B">
    <w:pPr>
      <w:pStyle w:val="Header"/>
      <w:rPr>
        <w:lang w:val="fr-CH"/>
      </w:rPr>
    </w:pPr>
    <w:r>
      <w:rPr>
        <w:lang w:val="fr-CH"/>
      </w:rPr>
      <w:t>ST/SG/AC.10/C.4/2019/15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07FDAF" w14:textId="77777777" w:rsidR="00D94B05" w:rsidRPr="009E377B" w:rsidRDefault="009E377B" w:rsidP="00A1099A">
    <w:pPr>
      <w:pStyle w:val="Header"/>
      <w:jc w:val="right"/>
      <w:rPr>
        <w:lang w:val="fr-CH"/>
      </w:rPr>
    </w:pPr>
    <w:r>
      <w:rPr>
        <w:lang w:val="fr-CH"/>
      </w:rPr>
      <w:t>ST/SG/AC.10/C.4/2019/15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DD657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E60727"/>
    <w:multiLevelType w:val="hybridMultilevel"/>
    <w:tmpl w:val="7A2E9332"/>
    <w:lvl w:ilvl="0" w:tplc="5DF853D4">
      <w:start w:val="7"/>
      <w:numFmt w:val="bullet"/>
      <w:lvlText w:val="-"/>
      <w:lvlJc w:val="left"/>
      <w:pPr>
        <w:ind w:left="2061" w:hanging="360"/>
      </w:pPr>
      <w:rPr>
        <w:rFonts w:ascii="Times New Roman" w:eastAsia="SimSun" w:hAnsi="Times New Roman" w:cs="Times New Roman" w:hint="default"/>
        <w:sz w:val="18"/>
      </w:rPr>
    </w:lvl>
    <w:lvl w:ilvl="1" w:tplc="08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7" w15:restartNumberingAfterBreak="0">
    <w:nsid w:val="45B32140"/>
    <w:multiLevelType w:val="hybridMultilevel"/>
    <w:tmpl w:val="9A44AB52"/>
    <w:lvl w:ilvl="0" w:tplc="0BDAEC44">
      <w:start w:val="7"/>
      <w:numFmt w:val="bullet"/>
      <w:lvlText w:val="-"/>
      <w:lvlJc w:val="left"/>
      <w:pPr>
        <w:ind w:left="2061" w:hanging="360"/>
      </w:pPr>
      <w:rPr>
        <w:rFonts w:ascii="Times New Roman" w:eastAsia="SimSun" w:hAnsi="Times New Roman" w:cs="Times New Roman" w:hint="default"/>
        <w:sz w:val="18"/>
      </w:rPr>
    </w:lvl>
    <w:lvl w:ilvl="1" w:tplc="08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8" w15:restartNumberingAfterBreak="0">
    <w:nsid w:val="50965627"/>
    <w:multiLevelType w:val="hybridMultilevel"/>
    <w:tmpl w:val="8C44B94C"/>
    <w:lvl w:ilvl="0" w:tplc="E2FEC4D4">
      <w:start w:val="7"/>
      <w:numFmt w:val="bullet"/>
      <w:lvlText w:val="-"/>
      <w:lvlJc w:val="left"/>
      <w:pPr>
        <w:ind w:left="2061" w:hanging="360"/>
      </w:pPr>
      <w:rPr>
        <w:rFonts w:ascii="Times New Roman" w:eastAsia="SimSun" w:hAnsi="Times New Roman" w:cs="Times New Roman" w:hint="default"/>
        <w:i/>
        <w:sz w:val="18"/>
      </w:rPr>
    </w:lvl>
    <w:lvl w:ilvl="1" w:tplc="08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9" w15:restartNumberingAfterBreak="0">
    <w:nsid w:val="5E41230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9C6C59"/>
    <w:multiLevelType w:val="hybridMultilevel"/>
    <w:tmpl w:val="65CEF3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703AB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9"/>
  </w:num>
  <w:num w:numId="5">
    <w:abstractNumId w:val="10"/>
  </w:num>
  <w:num w:numId="6">
    <w:abstractNumId w:val="13"/>
  </w:num>
  <w:num w:numId="7">
    <w:abstractNumId w:val="3"/>
  </w:num>
  <w:num w:numId="8">
    <w:abstractNumId w:val="1"/>
  </w:num>
  <w:num w:numId="9">
    <w:abstractNumId w:val="11"/>
  </w:num>
  <w:num w:numId="10">
    <w:abstractNumId w:val="1"/>
  </w:num>
  <w:num w:numId="11">
    <w:abstractNumId w:val="11"/>
  </w:num>
  <w:num w:numId="12">
    <w:abstractNumId w:val="2"/>
  </w:num>
  <w:num w:numId="13">
    <w:abstractNumId w:val="2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6"/>
  </w:num>
  <w:num w:numId="17">
    <w:abstractNumId w:val="7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attachedTemplate r:id="rId1"/>
  <w:defaultTabStop w:val="567"/>
  <w:hyphenationZone w:val="425"/>
  <w:evenAndOddHeaders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099A"/>
    <w:rsid w:val="000010C0"/>
    <w:rsid w:val="000065A0"/>
    <w:rsid w:val="00010DAA"/>
    <w:rsid w:val="00023765"/>
    <w:rsid w:val="0002734F"/>
    <w:rsid w:val="00030E81"/>
    <w:rsid w:val="000439C8"/>
    <w:rsid w:val="00044328"/>
    <w:rsid w:val="00046E92"/>
    <w:rsid w:val="00047D18"/>
    <w:rsid w:val="00063C90"/>
    <w:rsid w:val="000B2A8B"/>
    <w:rsid w:val="000C053E"/>
    <w:rsid w:val="000C5255"/>
    <w:rsid w:val="000D1495"/>
    <w:rsid w:val="00101B98"/>
    <w:rsid w:val="00106410"/>
    <w:rsid w:val="0011141A"/>
    <w:rsid w:val="00113DF4"/>
    <w:rsid w:val="001340BE"/>
    <w:rsid w:val="001514D1"/>
    <w:rsid w:val="00154D2E"/>
    <w:rsid w:val="00162961"/>
    <w:rsid w:val="00165509"/>
    <w:rsid w:val="00191A94"/>
    <w:rsid w:val="001E0496"/>
    <w:rsid w:val="0021238F"/>
    <w:rsid w:val="0023376F"/>
    <w:rsid w:val="002419ED"/>
    <w:rsid w:val="00247E2C"/>
    <w:rsid w:val="002571AF"/>
    <w:rsid w:val="00263CF9"/>
    <w:rsid w:val="00292875"/>
    <w:rsid w:val="002936E8"/>
    <w:rsid w:val="002A32CB"/>
    <w:rsid w:val="002C398F"/>
    <w:rsid w:val="002D415B"/>
    <w:rsid w:val="002D5B2C"/>
    <w:rsid w:val="002D6C53"/>
    <w:rsid w:val="002F5595"/>
    <w:rsid w:val="00320EB7"/>
    <w:rsid w:val="00334F6A"/>
    <w:rsid w:val="00337912"/>
    <w:rsid w:val="0034176A"/>
    <w:rsid w:val="003419D5"/>
    <w:rsid w:val="00342AC8"/>
    <w:rsid w:val="00343302"/>
    <w:rsid w:val="00350DD2"/>
    <w:rsid w:val="003655FB"/>
    <w:rsid w:val="00375EFE"/>
    <w:rsid w:val="003979DE"/>
    <w:rsid w:val="003A4DD4"/>
    <w:rsid w:val="003B4550"/>
    <w:rsid w:val="003C7F14"/>
    <w:rsid w:val="003D2A18"/>
    <w:rsid w:val="00404542"/>
    <w:rsid w:val="00413386"/>
    <w:rsid w:val="00432B32"/>
    <w:rsid w:val="00436F56"/>
    <w:rsid w:val="00437247"/>
    <w:rsid w:val="0044698A"/>
    <w:rsid w:val="00461253"/>
    <w:rsid w:val="004858F5"/>
    <w:rsid w:val="00495FA5"/>
    <w:rsid w:val="004A2814"/>
    <w:rsid w:val="004C0622"/>
    <w:rsid w:val="004E2669"/>
    <w:rsid w:val="005042C2"/>
    <w:rsid w:val="00524558"/>
    <w:rsid w:val="00540059"/>
    <w:rsid w:val="005455BB"/>
    <w:rsid w:val="00564427"/>
    <w:rsid w:val="005811BA"/>
    <w:rsid w:val="005C2E0D"/>
    <w:rsid w:val="005D7DB9"/>
    <w:rsid w:val="005E716E"/>
    <w:rsid w:val="0061050D"/>
    <w:rsid w:val="00646285"/>
    <w:rsid w:val="006476E1"/>
    <w:rsid w:val="006604DF"/>
    <w:rsid w:val="00662FBD"/>
    <w:rsid w:val="006653DC"/>
    <w:rsid w:val="00671529"/>
    <w:rsid w:val="00693973"/>
    <w:rsid w:val="006A175F"/>
    <w:rsid w:val="006F640C"/>
    <w:rsid w:val="0070489D"/>
    <w:rsid w:val="00723074"/>
    <w:rsid w:val="007268F9"/>
    <w:rsid w:val="00736CB6"/>
    <w:rsid w:val="0074322F"/>
    <w:rsid w:val="00743285"/>
    <w:rsid w:val="00750282"/>
    <w:rsid w:val="00756661"/>
    <w:rsid w:val="00764440"/>
    <w:rsid w:val="0077101B"/>
    <w:rsid w:val="007A20A5"/>
    <w:rsid w:val="007B35B2"/>
    <w:rsid w:val="007C0763"/>
    <w:rsid w:val="007C52B0"/>
    <w:rsid w:val="007C6033"/>
    <w:rsid w:val="007F3945"/>
    <w:rsid w:val="00801005"/>
    <w:rsid w:val="008147C8"/>
    <w:rsid w:val="0081753A"/>
    <w:rsid w:val="00857D23"/>
    <w:rsid w:val="00873150"/>
    <w:rsid w:val="008D1091"/>
    <w:rsid w:val="008D2D0A"/>
    <w:rsid w:val="009411B4"/>
    <w:rsid w:val="00946F1D"/>
    <w:rsid w:val="00971D4C"/>
    <w:rsid w:val="00972660"/>
    <w:rsid w:val="00975B3F"/>
    <w:rsid w:val="0097668F"/>
    <w:rsid w:val="00987881"/>
    <w:rsid w:val="0099652A"/>
    <w:rsid w:val="009A5EC3"/>
    <w:rsid w:val="009D0139"/>
    <w:rsid w:val="009D0CC4"/>
    <w:rsid w:val="009D0F10"/>
    <w:rsid w:val="009D4A5E"/>
    <w:rsid w:val="009D717D"/>
    <w:rsid w:val="009D7CD8"/>
    <w:rsid w:val="009E377B"/>
    <w:rsid w:val="009E7293"/>
    <w:rsid w:val="009F5CDC"/>
    <w:rsid w:val="00A072D7"/>
    <w:rsid w:val="00A1099A"/>
    <w:rsid w:val="00A2623C"/>
    <w:rsid w:val="00A565B2"/>
    <w:rsid w:val="00A641B3"/>
    <w:rsid w:val="00A775CF"/>
    <w:rsid w:val="00A8403B"/>
    <w:rsid w:val="00A9745C"/>
    <w:rsid w:val="00AB50B0"/>
    <w:rsid w:val="00AC05A2"/>
    <w:rsid w:val="00AC6ACE"/>
    <w:rsid w:val="00AD1A9C"/>
    <w:rsid w:val="00AE0244"/>
    <w:rsid w:val="00AE2097"/>
    <w:rsid w:val="00AE71C3"/>
    <w:rsid w:val="00AF5DE1"/>
    <w:rsid w:val="00AF6718"/>
    <w:rsid w:val="00B06045"/>
    <w:rsid w:val="00B06B03"/>
    <w:rsid w:val="00B206DD"/>
    <w:rsid w:val="00B23858"/>
    <w:rsid w:val="00B26757"/>
    <w:rsid w:val="00B52EF4"/>
    <w:rsid w:val="00B62E53"/>
    <w:rsid w:val="00B777AD"/>
    <w:rsid w:val="00BA176D"/>
    <w:rsid w:val="00BA779A"/>
    <w:rsid w:val="00BC2E42"/>
    <w:rsid w:val="00BD1264"/>
    <w:rsid w:val="00BF4B65"/>
    <w:rsid w:val="00C00FC2"/>
    <w:rsid w:val="00C02DBF"/>
    <w:rsid w:val="00C03015"/>
    <w:rsid w:val="00C0358D"/>
    <w:rsid w:val="00C20816"/>
    <w:rsid w:val="00C25CFB"/>
    <w:rsid w:val="00C2716D"/>
    <w:rsid w:val="00C35A27"/>
    <w:rsid w:val="00C47B2E"/>
    <w:rsid w:val="00C57FA6"/>
    <w:rsid w:val="00C8562E"/>
    <w:rsid w:val="00CA3BE0"/>
    <w:rsid w:val="00CF0BE8"/>
    <w:rsid w:val="00D144A5"/>
    <w:rsid w:val="00D47D7F"/>
    <w:rsid w:val="00D63CD2"/>
    <w:rsid w:val="00D83E96"/>
    <w:rsid w:val="00D87445"/>
    <w:rsid w:val="00D87DC2"/>
    <w:rsid w:val="00D94B05"/>
    <w:rsid w:val="00DA7FE1"/>
    <w:rsid w:val="00DD2933"/>
    <w:rsid w:val="00DD5A79"/>
    <w:rsid w:val="00DE3609"/>
    <w:rsid w:val="00E02C2B"/>
    <w:rsid w:val="00E21C27"/>
    <w:rsid w:val="00E26BCF"/>
    <w:rsid w:val="00E52109"/>
    <w:rsid w:val="00E54FAE"/>
    <w:rsid w:val="00E60E86"/>
    <w:rsid w:val="00E64254"/>
    <w:rsid w:val="00E75317"/>
    <w:rsid w:val="00E87FE7"/>
    <w:rsid w:val="00E9680B"/>
    <w:rsid w:val="00EC0CE6"/>
    <w:rsid w:val="00EC5CC2"/>
    <w:rsid w:val="00EC5DF6"/>
    <w:rsid w:val="00EC7C1D"/>
    <w:rsid w:val="00ED545A"/>
    <w:rsid w:val="00ED6C48"/>
    <w:rsid w:val="00EE3045"/>
    <w:rsid w:val="00EF1F3F"/>
    <w:rsid w:val="00F037EE"/>
    <w:rsid w:val="00F10F37"/>
    <w:rsid w:val="00F40A36"/>
    <w:rsid w:val="00F42B58"/>
    <w:rsid w:val="00F65F5D"/>
    <w:rsid w:val="00F86A3A"/>
    <w:rsid w:val="00FB710B"/>
    <w:rsid w:val="00FE5CAC"/>
    <w:rsid w:val="00FF7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113B3F37"/>
  <w15:docId w15:val="{9571B3E3-B2BC-4A2E-84A9-EFC055C4B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iPriority="0" w:unhideWhenUsed="1" w:qFormat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0CE6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</w:style>
  <w:style w:type="paragraph" w:styleId="Heading1">
    <w:name w:val="heading 1"/>
    <w:aliases w:val="Table_G"/>
    <w:basedOn w:val="SingleTxtG"/>
    <w:next w:val="SingleTxtG"/>
    <w:link w:val="Heading1Char"/>
    <w:qFormat/>
    <w:rsid w:val="004A281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rsid w:val="004A2814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semiHidden/>
    <w:rsid w:val="004A2814"/>
    <w:p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semiHidden/>
    <w:rsid w:val="004A2814"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semiHidden/>
    <w:rsid w:val="004A2814"/>
    <w:p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semiHidden/>
    <w:rsid w:val="004A2814"/>
    <w:p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semiHidden/>
    <w:rsid w:val="004A2814"/>
    <w:p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semiHidden/>
    <w:rsid w:val="004A2814"/>
    <w:p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semiHidden/>
    <w:rsid w:val="004A281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qFormat/>
    <w:rsid w:val="004A281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3B4550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link w:val="FooterChar"/>
    <w:qFormat/>
    <w:rsid w:val="004A2814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247E2C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4A281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4A281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4A2814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4A281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4A28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4A281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4A28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4A2814"/>
    <w:pPr>
      <w:numPr>
        <w:numId w:val="10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4A2814"/>
    <w:pPr>
      <w:numPr>
        <w:numId w:val="11"/>
      </w:numPr>
      <w:spacing w:after="120"/>
      <w:ind w:right="1134"/>
      <w:jc w:val="both"/>
    </w:pPr>
  </w:style>
  <w:style w:type="paragraph" w:customStyle="1" w:styleId="ParNoG">
    <w:name w:val="_ParNo_G"/>
    <w:basedOn w:val="SingleTxtG"/>
    <w:qFormat/>
    <w:rsid w:val="00B206DD"/>
    <w:pPr>
      <w:numPr>
        <w:numId w:val="13"/>
      </w:numPr>
      <w:suppressAutoHyphens w:val="0"/>
      <w:kinsoku/>
      <w:overflowPunct/>
      <w:autoSpaceDE/>
      <w:autoSpaceDN/>
      <w:adjustRightInd/>
      <w:snapToGrid/>
    </w:pPr>
    <w:rPr>
      <w:rFonts w:eastAsia="Times New Roman"/>
    </w:rPr>
  </w:style>
  <w:style w:type="numbering" w:styleId="111111">
    <w:name w:val="Outline List 2"/>
    <w:basedOn w:val="NoList"/>
    <w:semiHidden/>
    <w:rsid w:val="007268F9"/>
    <w:pPr>
      <w:numPr>
        <w:numId w:val="5"/>
      </w:numPr>
    </w:pPr>
  </w:style>
  <w:style w:type="numbering" w:styleId="1ai">
    <w:name w:val="Outline List 1"/>
    <w:basedOn w:val="NoList"/>
    <w:semiHidden/>
    <w:rsid w:val="007268F9"/>
    <w:pPr>
      <w:numPr>
        <w:numId w:val="6"/>
      </w:numPr>
    </w:pPr>
  </w:style>
  <w:style w:type="character" w:styleId="EndnoteReference">
    <w:name w:val="endnote reference"/>
    <w:aliases w:val="1_G"/>
    <w:qFormat/>
    <w:rsid w:val="004A281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uiPriority w:val="99"/>
    <w:qFormat/>
    <w:rsid w:val="004A281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uiPriority w:val="99"/>
    <w:rsid w:val="007268F9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4A2814"/>
  </w:style>
  <w:style w:type="character" w:customStyle="1" w:styleId="EndnoteTextChar">
    <w:name w:val="Endnote Text Char"/>
    <w:aliases w:val="2_G Char"/>
    <w:basedOn w:val="DefaultParagraphFont"/>
    <w:link w:val="EndnoteText"/>
    <w:rsid w:val="007268F9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FootnoteReference">
    <w:name w:val="footnote reference"/>
    <w:aliases w:val="4_G"/>
    <w:uiPriority w:val="99"/>
    <w:qFormat/>
    <w:rsid w:val="004A2814"/>
    <w:rPr>
      <w:rFonts w:ascii="Times New Roman" w:hAnsi="Times New Roman"/>
      <w:sz w:val="18"/>
      <w:vertAlign w:val="superscript"/>
    </w:rPr>
  </w:style>
  <w:style w:type="character" w:customStyle="1" w:styleId="Heading1Char">
    <w:name w:val="Heading 1 Char"/>
    <w:aliases w:val="Table_G Char"/>
    <w:basedOn w:val="DefaultParagraphFont"/>
    <w:link w:val="Heading1"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styleId="PageNumber">
    <w:name w:val="page number"/>
    <w:aliases w:val="7_G"/>
    <w:rsid w:val="004A2814"/>
    <w:rPr>
      <w:rFonts w:ascii="Times New Roman" w:hAnsi="Times New Roman"/>
      <w:b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21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109"/>
    <w:rPr>
      <w:rFonts w:ascii="Tahoma" w:eastAsia="Times New Roman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rsid w:val="00EC0CE6"/>
    <w:rPr>
      <w:color w:val="0000FF"/>
      <w:u w:val="none"/>
    </w:rPr>
  </w:style>
  <w:style w:type="character" w:styleId="FollowedHyperlink">
    <w:name w:val="FollowedHyperlink"/>
    <w:basedOn w:val="DefaultParagraphFont"/>
    <w:rsid w:val="00EC0CE6"/>
    <w:rPr>
      <w:color w:val="0000FF"/>
      <w:u w:val="none"/>
    </w:rPr>
  </w:style>
  <w:style w:type="table" w:styleId="TableGrid">
    <w:name w:val="Table Grid"/>
    <w:basedOn w:val="TableNormal"/>
    <w:rsid w:val="004A2814"/>
    <w:pPr>
      <w:suppressAutoHyphens/>
      <w:spacing w:after="0" w:line="240" w:lineRule="atLeast"/>
    </w:pPr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CA3BE0"/>
    <w:pPr>
      <w:suppressAutoHyphens w:val="0"/>
      <w:kinsoku/>
      <w:overflowPunct/>
      <w:autoSpaceDE/>
      <w:autoSpaceDN/>
      <w:adjustRightInd/>
      <w:snapToGrid/>
      <w:spacing w:line="240" w:lineRule="auto"/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StyleBold">
    <w:name w:val="Style Bold"/>
    <w:semiHidden/>
    <w:rsid w:val="00CA3BE0"/>
    <w:rPr>
      <w:rFonts w:ascii="Times New Roman" w:hAnsi="Times New Roman" w:cs="Times New Roman" w:hint="default"/>
      <w:b/>
      <w:bCs/>
    </w:rPr>
  </w:style>
  <w:style w:type="character" w:customStyle="1" w:styleId="StyleItalic">
    <w:name w:val="Style Italic"/>
    <w:semiHidden/>
    <w:rsid w:val="00023765"/>
    <w:rPr>
      <w:rFonts w:ascii="Times New Roman" w:hAnsi="Times New Roman"/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AB50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50B0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50B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50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50B0"/>
    <w:rPr>
      <w:b/>
      <w:bCs/>
    </w:rPr>
  </w:style>
  <w:style w:type="character" w:customStyle="1" w:styleId="e24kjd">
    <w:name w:val="e24kjd"/>
    <w:basedOn w:val="DefaultParagraphFont"/>
    <w:rsid w:val="00C02D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2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Templates\UN-Docs2017\Templates\ST\SGAC10_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9AFF81-E936-4AB1-A7BA-F4CD9A268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SGAC10_E.dotm</Template>
  <TotalTime>45</TotalTime>
  <Pages>4</Pages>
  <Words>1464</Words>
  <Characters>8160</Characters>
  <Application>Microsoft Office Word</Application>
  <DocSecurity>0</DocSecurity>
  <Lines>163</Lines>
  <Paragraphs>70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ST/SG/AC.10/C.4/2019/xx</vt:lpstr>
      <vt:lpstr>ST/SG/AC.10/C.4/2019/xx</vt:lpstr>
      <vt:lpstr/>
    </vt:vector>
  </TitlesOfParts>
  <Company/>
  <LinksUpToDate>false</LinksUpToDate>
  <CharactersWithSpaces>9589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ST/SG/AC.10/C.4/2019/xx</dc:title>
  <dc:subject/>
  <dc:creator>Editorial</dc:creator>
  <cp:lastModifiedBy>Laurence Berthet</cp:lastModifiedBy>
  <cp:revision>15</cp:revision>
  <cp:lastPrinted>2019-09-24T13:42:00Z</cp:lastPrinted>
  <dcterms:created xsi:type="dcterms:W3CDTF">2019-09-19T08:40:00Z</dcterms:created>
  <dcterms:modified xsi:type="dcterms:W3CDTF">2019-09-24T13:42:00Z</dcterms:modified>
</cp:coreProperties>
</file>