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5D721A2C" w:rsidR="0095385C" w:rsidRPr="003E7127" w:rsidRDefault="0095385C" w:rsidP="00E86659">
            <w:pPr>
              <w:jc w:val="right"/>
              <w:rPr>
                <w:highlight w:val="yellow"/>
              </w:rPr>
            </w:pPr>
            <w:r w:rsidRPr="00D6238C">
              <w:rPr>
                <w:sz w:val="40"/>
              </w:rPr>
              <w:t>ST</w:t>
            </w:r>
            <w:r w:rsidRPr="00D6238C">
              <w:t>/SG/AC.10/C.4/</w:t>
            </w:r>
            <w:r w:rsidR="00145659" w:rsidRPr="00D6238C">
              <w:t>201</w:t>
            </w:r>
            <w:r w:rsidR="00145659">
              <w:t>9</w:t>
            </w:r>
            <w:r w:rsidRPr="00D6238C">
              <w:t>/</w:t>
            </w:r>
            <w:r w:rsidR="00D62E7E">
              <w:t>7</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07D7CDE8" w:rsidR="0095385C" w:rsidRPr="006730CA" w:rsidRDefault="006730CA" w:rsidP="0095385C">
            <w:pPr>
              <w:spacing w:line="240" w:lineRule="exact"/>
              <w:rPr>
                <w:bCs/>
              </w:rPr>
            </w:pPr>
            <w:r w:rsidRPr="006730CA">
              <w:rPr>
                <w:bCs/>
              </w:rPr>
              <w:t>1</w:t>
            </w:r>
            <w:r w:rsidR="005B6412">
              <w:rPr>
                <w:bCs/>
              </w:rPr>
              <w:t>6</w:t>
            </w:r>
            <w:r w:rsidR="00AF37EF" w:rsidRPr="006730CA">
              <w:rPr>
                <w:bCs/>
              </w:rPr>
              <w:t xml:space="preserve"> April</w:t>
            </w:r>
            <w:r w:rsidR="00145659" w:rsidRPr="006730CA">
              <w:rPr>
                <w:bCs/>
              </w:rPr>
              <w:t xml:space="preserve"> 2019</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11C256AB" w14:textId="77777777" w:rsidR="00FC5E7C" w:rsidRPr="009F0F06" w:rsidRDefault="00FC5E7C" w:rsidP="00FC5E7C">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78386F4" w14:textId="77777777" w:rsidR="00FC5E7C" w:rsidRPr="009F0F06" w:rsidRDefault="00FC5E7C" w:rsidP="00BA58F0">
      <w:pPr>
        <w:spacing w:before="120" w:after="24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Style w:val="TableGrid"/>
        <w:tblW w:w="18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21"/>
        <w:gridCol w:w="2665"/>
        <w:gridCol w:w="4593"/>
        <w:gridCol w:w="5046"/>
      </w:tblGrid>
      <w:tr w:rsidR="00BA58F0" w14:paraId="57E194B1" w14:textId="77777777" w:rsidTr="003D4171">
        <w:tc>
          <w:tcPr>
            <w:tcW w:w="6521" w:type="dxa"/>
            <w:shd w:val="clear" w:color="auto" w:fill="auto"/>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BA58F0" w:rsidRPr="003B5F49" w14:paraId="79DB38FC" w14:textId="77777777" w:rsidTr="00CD6568">
              <w:tc>
                <w:tcPr>
                  <w:tcW w:w="9639" w:type="dxa"/>
                </w:tcPr>
                <w:p w14:paraId="05DC920A" w14:textId="22897338" w:rsidR="00BA58F0" w:rsidRPr="003B5F49" w:rsidRDefault="00BA58F0" w:rsidP="00BA58F0">
                  <w:pPr>
                    <w:rPr>
                      <w:b/>
                    </w:rPr>
                  </w:pPr>
                  <w:r w:rsidRPr="003B5F49">
                    <w:rPr>
                      <w:b/>
                    </w:rPr>
                    <w:t>Thirty-</w:t>
                  </w:r>
                  <w:r w:rsidR="00241D30">
                    <w:rPr>
                      <w:b/>
                    </w:rPr>
                    <w:t>seventh</w:t>
                  </w:r>
                  <w:r w:rsidRPr="003B5F49">
                    <w:rPr>
                      <w:b/>
                    </w:rPr>
                    <w:t xml:space="preserve"> session</w:t>
                  </w:r>
                </w:p>
              </w:tc>
            </w:tr>
            <w:tr w:rsidR="00BA58F0" w:rsidRPr="003B5F49" w14:paraId="251F9B28" w14:textId="77777777" w:rsidTr="00CD6568">
              <w:trPr>
                <w:trHeight w:val="1016"/>
              </w:trPr>
              <w:tc>
                <w:tcPr>
                  <w:tcW w:w="9639" w:type="dxa"/>
                </w:tcPr>
                <w:p w14:paraId="6A2613F4" w14:textId="6C50A4D8" w:rsidR="00BA58F0" w:rsidRPr="003B5F49" w:rsidRDefault="00BA58F0" w:rsidP="00BA58F0">
                  <w:r w:rsidRPr="003B5F49">
                    <w:t>Geneva,</w:t>
                  </w:r>
                  <w:r w:rsidR="00241D30" w:rsidRPr="00283442">
                    <w:t xml:space="preserve"> </w:t>
                  </w:r>
                  <w:r w:rsidR="00241D30">
                    <w:t>8-10 July 2019</w:t>
                  </w:r>
                </w:p>
                <w:p w14:paraId="51D873F2" w14:textId="16EED505" w:rsidR="00BA58F0" w:rsidRPr="003B5F49" w:rsidRDefault="00BA58F0" w:rsidP="00BA58F0">
                  <w:r>
                    <w:t xml:space="preserve">Item </w:t>
                  </w:r>
                  <w:r w:rsidR="00D62E7E">
                    <w:t>2</w:t>
                  </w:r>
                  <w:r w:rsidR="006730CA">
                    <w:t xml:space="preserve"> </w:t>
                  </w:r>
                  <w:r w:rsidR="00B64BD7">
                    <w:t>(</w:t>
                  </w:r>
                  <w:r w:rsidR="00D62E7E">
                    <w:t>b</w:t>
                  </w:r>
                  <w:r w:rsidR="00B64BD7">
                    <w:t>)</w:t>
                  </w:r>
                  <w:r w:rsidR="00B64BD7" w:rsidRPr="003B5F49">
                    <w:t xml:space="preserve"> </w:t>
                  </w:r>
                  <w:r w:rsidRPr="003B5F49">
                    <w:t>of the provisional agenda</w:t>
                  </w:r>
                </w:p>
                <w:p w14:paraId="77E4F1DD" w14:textId="747BE6DF" w:rsidR="00AF37EF" w:rsidRPr="00D62E7E" w:rsidRDefault="00D62E7E" w:rsidP="00BA58F0">
                  <w:pPr>
                    <w:rPr>
                      <w:b/>
                      <w:bCs/>
                    </w:rPr>
                  </w:pPr>
                  <w:r w:rsidRPr="00D62E7E">
                    <w:rPr>
                      <w:b/>
                      <w:bCs/>
                    </w:rPr>
                    <w:t>Classification criteria and related hazard communication:</w:t>
                  </w:r>
                  <w:r w:rsidRPr="00D62E7E">
                    <w:rPr>
                      <w:b/>
                      <w:bCs/>
                    </w:rPr>
                    <w:br/>
                    <w:t>review of Chapter 2.1</w:t>
                  </w:r>
                </w:p>
              </w:tc>
            </w:tr>
          </w:tbl>
          <w:p w14:paraId="2751A9ED" w14:textId="0F994444" w:rsidR="00BA58F0" w:rsidRPr="003D4171" w:rsidRDefault="00BA58F0" w:rsidP="00BA58F0">
            <w:pPr>
              <w:rPr>
                <w:b/>
                <w:bCs/>
              </w:rPr>
            </w:pPr>
          </w:p>
        </w:tc>
        <w:tc>
          <w:tcPr>
            <w:tcW w:w="2665" w:type="dxa"/>
            <w:shd w:val="clear" w:color="auto" w:fill="auto"/>
          </w:tcPr>
          <w:p w14:paraId="36FABBA4" w14:textId="7A6A1AE1" w:rsidR="00BA58F0" w:rsidRPr="00CA0680" w:rsidRDefault="00BA58F0" w:rsidP="00BA58F0">
            <w:pPr>
              <w:rPr>
                <w:b/>
              </w:rPr>
            </w:pPr>
          </w:p>
        </w:tc>
        <w:tc>
          <w:tcPr>
            <w:tcW w:w="4593" w:type="dxa"/>
            <w:shd w:val="clear" w:color="auto" w:fill="auto"/>
          </w:tcPr>
          <w:p w14:paraId="0AEB21A6" w14:textId="6C2A89F0" w:rsidR="00BA58F0" w:rsidRPr="00CA0680" w:rsidRDefault="00BA58F0" w:rsidP="00BA58F0">
            <w:pPr>
              <w:rPr>
                <w:b/>
              </w:rPr>
            </w:pPr>
          </w:p>
        </w:tc>
        <w:tc>
          <w:tcPr>
            <w:tcW w:w="5046" w:type="dxa"/>
            <w:tcBorders>
              <w:left w:val="nil"/>
            </w:tcBorders>
            <w:shd w:val="clear" w:color="auto" w:fill="auto"/>
          </w:tcPr>
          <w:p w14:paraId="7976A695" w14:textId="3AD01FC4" w:rsidR="00BA58F0" w:rsidRDefault="00BA58F0" w:rsidP="00BA58F0">
            <w:pPr>
              <w:rPr>
                <w:b/>
              </w:rPr>
            </w:pPr>
          </w:p>
        </w:tc>
      </w:tr>
    </w:tbl>
    <w:p w14:paraId="4477E046" w14:textId="5956F0DA" w:rsidR="005B6412" w:rsidRDefault="005B6412" w:rsidP="005B6412">
      <w:pPr>
        <w:pStyle w:val="HChG"/>
      </w:pPr>
      <w:r>
        <w:tab/>
      </w:r>
      <w:r>
        <w:tab/>
        <w:t xml:space="preserve">Clarifications to the </w:t>
      </w:r>
      <w:r w:rsidR="00E5766A">
        <w:t>s</w:t>
      </w:r>
      <w:r>
        <w:t xml:space="preserve">cope of the </w:t>
      </w:r>
      <w:r w:rsidR="00E5766A">
        <w:t>c</w:t>
      </w:r>
      <w:r>
        <w:t xml:space="preserve">lass of </w:t>
      </w:r>
      <w:r w:rsidR="00E5766A">
        <w:t>e</w:t>
      </w:r>
      <w:r>
        <w:t>xplosives</w:t>
      </w:r>
    </w:p>
    <w:p w14:paraId="45E3A895" w14:textId="77777777" w:rsidR="005B6412" w:rsidRDefault="005B6412" w:rsidP="005B6412">
      <w:pPr>
        <w:pStyle w:val="H1G"/>
      </w:pPr>
      <w:r>
        <w:tab/>
      </w:r>
      <w:r>
        <w:tab/>
        <w:t>Transmitted by the Sporting Arms &amp; Ammunition Manufacturers’ Institute (SAAMI)</w:t>
      </w:r>
      <w:r>
        <w:rPr>
          <w:rStyle w:val="FootnoteReference"/>
        </w:rPr>
        <w:footnoteReference w:customMarkFollows="1" w:id="2"/>
        <w:t>*</w:t>
      </w:r>
    </w:p>
    <w:p w14:paraId="49C73D16" w14:textId="77777777" w:rsidR="005B6412" w:rsidRDefault="005B6412" w:rsidP="005B6412">
      <w:pPr>
        <w:pStyle w:val="HChG"/>
        <w:rPr>
          <w:szCs w:val="28"/>
        </w:rPr>
      </w:pPr>
      <w:r>
        <w:tab/>
      </w:r>
      <w:r>
        <w:tab/>
        <w:t>Background</w:t>
      </w:r>
    </w:p>
    <w:p w14:paraId="7B7F507A" w14:textId="4A4AAD19" w:rsidR="005B6412" w:rsidRDefault="005B6412" w:rsidP="005B6412">
      <w:pPr>
        <w:pStyle w:val="SingleTxtG"/>
        <w:tabs>
          <w:tab w:val="left" w:pos="1701"/>
        </w:tabs>
        <w:rPr>
          <w:szCs w:val="24"/>
        </w:rPr>
      </w:pPr>
      <w:r>
        <w:t>1.</w:t>
      </w:r>
      <w:r>
        <w:tab/>
        <w:t>During the work on revising Chapter 2.1 for Explosives in the GHS, SAAMI has noticed that there could be benefits to clarifying paragraph 2.1.1.2 of the GHS on the scope of the class of explosives. As this text closely approximates the text defining the scope of Class 1 in the Model Regulations in 2.1.1.1, any change would also necessitate review of the Model Regulations for consequential amendments. It is for this reason that SAAMI submits a separate proposal from the work on revising Chapter 2.1.</w:t>
      </w:r>
    </w:p>
    <w:p w14:paraId="5E3F5034" w14:textId="557D4935" w:rsidR="005B6412" w:rsidRDefault="005B6412" w:rsidP="005B6412">
      <w:pPr>
        <w:pStyle w:val="SingleTxtG"/>
        <w:tabs>
          <w:tab w:val="left" w:pos="1701"/>
        </w:tabs>
      </w:pPr>
      <w:r>
        <w:t>2.</w:t>
      </w:r>
      <w:r>
        <w:tab/>
        <w:t xml:space="preserve">SAAMI believes that the text in 2.1.1 of the GHS (the scope of the class, augmented by the definitions) does not accurately summarize the detailed classification logic in 2.1.2 of the GHS. It also does not correlate with Box 2 of Figure 10.2 of the Manual of Tests and Criteria.  If applied literally, this high-level text could result in an unintended expansion of the class to include fuels which properly belong in other classes. </w:t>
      </w:r>
    </w:p>
    <w:p w14:paraId="3DF4CCB5" w14:textId="77777777" w:rsidR="005B6412" w:rsidRDefault="005B6412" w:rsidP="005B6412">
      <w:pPr>
        <w:pStyle w:val="SingleTxtG"/>
        <w:tabs>
          <w:tab w:val="left" w:pos="1701"/>
        </w:tabs>
      </w:pPr>
      <w:r>
        <w:t>3.</w:t>
      </w:r>
      <w:r>
        <w:tab/>
        <w:t>Relevant observations have also been made by Sweden, most recently in ST/SG/AC.10/C.3/2018/81 - ST/SG/AC.10/C.4/2018/19. This is an issue of ongoing concern in both the GHS and the Model Regulations.</w:t>
      </w:r>
    </w:p>
    <w:p w14:paraId="735E1238" w14:textId="2078D28F" w:rsidR="005B6412" w:rsidRDefault="005B6412" w:rsidP="005B6412">
      <w:pPr>
        <w:pStyle w:val="HChG"/>
        <w:rPr>
          <w:szCs w:val="28"/>
        </w:rPr>
      </w:pPr>
      <w:r>
        <w:lastRenderedPageBreak/>
        <w:tab/>
      </w:r>
      <w:r>
        <w:tab/>
        <w:t>Description of the issue</w:t>
      </w:r>
    </w:p>
    <w:p w14:paraId="7AEDDFB5" w14:textId="41CDCF90" w:rsidR="005B6412" w:rsidRDefault="005B6412" w:rsidP="005B6412">
      <w:pPr>
        <w:pStyle w:val="SingleTxtG"/>
        <w:rPr>
          <w:szCs w:val="24"/>
        </w:rPr>
      </w:pPr>
      <w:r>
        <w:t>4.</w:t>
      </w:r>
      <w:r>
        <w:tab/>
        <w:t>In the GHS the current text of 2.1.1.2 and the definition of an explosive substance in 2.1.1.1, is:</w:t>
      </w:r>
    </w:p>
    <w:p w14:paraId="12AC1C37" w14:textId="77777777" w:rsidR="005B6412" w:rsidRDefault="005B6412" w:rsidP="005B6412">
      <w:pPr>
        <w:pStyle w:val="SingleTxtG"/>
        <w:ind w:left="1701"/>
      </w:pPr>
      <w:r>
        <w:t>“2.1.1.2 The class of explosives comprises:</w:t>
      </w:r>
    </w:p>
    <w:p w14:paraId="6FC32E63" w14:textId="4E0DB63B" w:rsidR="005B6412" w:rsidRDefault="005B6412" w:rsidP="005B6412">
      <w:pPr>
        <w:pStyle w:val="SingleTxtG"/>
        <w:ind w:left="1701"/>
      </w:pPr>
      <w:r>
        <w:t xml:space="preserve">(a) </w:t>
      </w:r>
      <w:r>
        <w:tab/>
        <w:t>Explosive substances and mixtures;</w:t>
      </w:r>
    </w:p>
    <w:p w14:paraId="2DD785F3" w14:textId="7F14CD2C" w:rsidR="005B6412" w:rsidRDefault="005B6412" w:rsidP="005B6412">
      <w:pPr>
        <w:pStyle w:val="SingleTxtG"/>
        <w:ind w:left="1701"/>
      </w:pPr>
      <w:r>
        <w:t xml:space="preserve">(b) </w:t>
      </w:r>
      <w: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403A8A07" w14:textId="5C1005B9" w:rsidR="005B6412" w:rsidRDefault="005B6412" w:rsidP="005B6412">
      <w:pPr>
        <w:pStyle w:val="SingleTxtG"/>
        <w:ind w:left="1701"/>
      </w:pPr>
      <w:r>
        <w:t xml:space="preserve">(c) </w:t>
      </w:r>
      <w:r>
        <w:tab/>
        <w:t>Substances, mixtures and articles not mentioned under (a) and (b) above which are manufactured with the view to producing a practical explosive or pyrotechnic effect.”</w:t>
      </w:r>
    </w:p>
    <w:p w14:paraId="1A978F9D" w14:textId="098B53DF" w:rsidR="005B6412" w:rsidRDefault="005B6412" w:rsidP="005B6412">
      <w:pPr>
        <w:pStyle w:val="SingleTxtG"/>
        <w:ind w:left="1701"/>
      </w:pPr>
      <w:r>
        <w:t xml:space="preserve">“2.1.1.1 An explosive substance (or mixture) is a solid or liquid substance (or mixture of substances) which is </w:t>
      </w:r>
      <w:proofErr w:type="gramStart"/>
      <w:r>
        <w:t>in itself capable</w:t>
      </w:r>
      <w:proofErr w:type="gramEnd"/>
      <w:r>
        <w:t xml:space="preserve"> by chemical reaction of producing gas at such a temperature and pressure and at such a speed as to cause damage to the surroundings. Pyrotechnic substances are included even when they do not evolve gases.”.</w:t>
      </w:r>
    </w:p>
    <w:p w14:paraId="436D372D" w14:textId="77777777" w:rsidR="005B6412" w:rsidRDefault="005B6412" w:rsidP="005B6412">
      <w:pPr>
        <w:pStyle w:val="p1"/>
      </w:pPr>
    </w:p>
    <w:p w14:paraId="4FEA9B94" w14:textId="061718B5" w:rsidR="005B6412" w:rsidRDefault="005B6412" w:rsidP="005B6412">
      <w:pPr>
        <w:pStyle w:val="SingleTxtG"/>
        <w:tabs>
          <w:tab w:val="left" w:pos="1701"/>
        </w:tabs>
      </w:pPr>
      <w:r>
        <w:t>5.</w:t>
      </w:r>
      <w:r>
        <w:tab/>
        <w:t>SAAMI asks what the purpose is of 2.1.1.2(c), i.e. what are substances, mixtures and explosive articles not mentioned in 2.1.1.2 (a) and (b)?  The first two paragraphs (a) and (b) are comprised of explosives that are “capable by chemical reaction of producing gas at such a temperature and pressure and at such a speed as to cause damage to the surroundings.” This includes both intentional and unintentional explosives. A literal reading of (c) could include fuels of any type, especially since explosives are excluded. When fuels burn, they produce heat, light, smoke and gases, and these effects could be interpreted as “a practical explosive or pyrotechnical effect”. With this logic, all fuels potentially fall within the class of explosives, which is not the intent of the GHS.</w:t>
      </w:r>
    </w:p>
    <w:p w14:paraId="765F5B9F" w14:textId="7E501E53" w:rsidR="005B6412" w:rsidRDefault="005B6412" w:rsidP="005B6412">
      <w:pPr>
        <w:pStyle w:val="SingleTxtG"/>
        <w:tabs>
          <w:tab w:val="left" w:pos="1701"/>
        </w:tabs>
      </w:pPr>
      <w:r>
        <w:t>6.</w:t>
      </w:r>
      <w:r>
        <w:tab/>
        <w:t>We can compare the scope of the class to the corresponding flow chart in the Manual of Tests and Criteria (the Manual), Figure 10.2. Box 2 asks the question “Is the substance manufactured with the view to producing a practical explosive or pyrotechnic effect?” Candidates are directed into one of two paths - if the answer is no, to Test Series 1, 2 or 8 if applicable to verify exclusion from the class, or if the answer is yes, to applicable test series for the determination of a division. The text in 2.1.1.2 of the GHS does not correlate with this classification step of the Manual.</w:t>
      </w:r>
    </w:p>
    <w:p w14:paraId="434AE151" w14:textId="6FB7EAC9" w:rsidR="005B6412" w:rsidRDefault="005B6412" w:rsidP="005B6412">
      <w:pPr>
        <w:pStyle w:val="HChG"/>
        <w:ind w:left="2250"/>
      </w:pPr>
      <w:r>
        <w:t>Possible solution in the GHS</w:t>
      </w:r>
    </w:p>
    <w:p w14:paraId="2AB2B253" w14:textId="07611859" w:rsidR="005B6412" w:rsidRDefault="005B6412" w:rsidP="005B6412">
      <w:pPr>
        <w:pStyle w:val="SingleTxtG"/>
        <w:tabs>
          <w:tab w:val="left" w:pos="1701"/>
        </w:tabs>
      </w:pPr>
      <w:r>
        <w:t>7.</w:t>
      </w:r>
      <w:r>
        <w:tab/>
        <w:t>Representatives of the United States of America Task Force showed the following amendments at the recent meeting of the IGUS EPP, (the International Group of Experts on the Explosion Risks of Unstable Substances, Explosives, Propellants and Pyrotechnics working group):</w:t>
      </w:r>
    </w:p>
    <w:p w14:paraId="246FE216" w14:textId="315E45B8" w:rsidR="005B6412" w:rsidRDefault="005B6412" w:rsidP="005B6412">
      <w:pPr>
        <w:pStyle w:val="SingleTxtG"/>
        <w:ind w:left="1701"/>
        <w:rPr>
          <w:color w:val="7030A0"/>
        </w:rPr>
      </w:pPr>
      <w:r>
        <w:t>(a)</w:t>
      </w:r>
      <w:r>
        <w:tab/>
        <w:t xml:space="preserve">Explosive substances and mixtures </w:t>
      </w:r>
      <w:r w:rsidRPr="005B6412">
        <w:rPr>
          <w:u w:val="single"/>
        </w:rPr>
        <w:t>manufactured with the view to producing an explosive or pyrotechnic effect;</w:t>
      </w:r>
    </w:p>
    <w:p w14:paraId="23B7B8C6" w14:textId="77777777" w:rsidR="005B6412" w:rsidRDefault="005B6412" w:rsidP="005B6412">
      <w:pPr>
        <w:pStyle w:val="SingleTxtG"/>
        <w:ind w:left="1701"/>
      </w:pPr>
      <w:r>
        <w:t>(b)</w:t>
      </w:r>
      <w:r>
        <w:tab/>
        <w:t xml:space="preserve">Explosive articles </w:t>
      </w:r>
      <w:r w:rsidRPr="005B6412">
        <w:rPr>
          <w:u w:val="single"/>
        </w:rPr>
        <w:t>manufactured with the view to producing an explosive or pyrotechnic effect</w:t>
      </w:r>
      <w:r>
        <w:t>,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25A2C970" w14:textId="51E246D9" w:rsidR="005B6412" w:rsidRDefault="005B6412" w:rsidP="005B6412">
      <w:pPr>
        <w:pStyle w:val="SingleTxtG"/>
        <w:ind w:left="1701"/>
      </w:pPr>
      <w:r>
        <w:lastRenderedPageBreak/>
        <w:t>(c)</w:t>
      </w:r>
      <w:r>
        <w:tab/>
        <w:t xml:space="preserve">Substances and mixtures </w:t>
      </w:r>
      <w:r>
        <w:rPr>
          <w:strike/>
        </w:rPr>
        <w:t>and articles</w:t>
      </w:r>
      <w:r>
        <w:t xml:space="preserve"> not mentioned under (a) and (b) above which </w:t>
      </w:r>
      <w:r>
        <w:rPr>
          <w:strike/>
        </w:rPr>
        <w:t>are manufactured with the view to producing a practical explosive or pyrotechnic effect</w:t>
      </w:r>
      <w:r>
        <w:t xml:space="preserve"> have regulated explosive properties (i.e., fail Test Series 2 of the Manual of Tests and Criteria).</w:t>
      </w:r>
    </w:p>
    <w:p w14:paraId="71168F3F" w14:textId="4398959D" w:rsidR="005B6412" w:rsidRDefault="005B6412" w:rsidP="005B6412">
      <w:pPr>
        <w:pStyle w:val="SingleTxtG"/>
        <w:tabs>
          <w:tab w:val="left" w:pos="1701"/>
        </w:tabs>
        <w:rPr>
          <w:lang w:val="en-US"/>
        </w:rPr>
      </w:pPr>
      <w:r>
        <w:t>8.</w:t>
      </w:r>
      <w:r>
        <w:tab/>
        <w:t xml:space="preserve">Since the IGUS meeting we have thought further about this text and offer the following new text to replace existing paragraphs 2.1.1.2 (a) </w:t>
      </w:r>
      <w:r w:rsidR="00E5766A">
        <w:t>to</w:t>
      </w:r>
      <w:r>
        <w:t xml:space="preserve"> (c):</w:t>
      </w:r>
    </w:p>
    <w:p w14:paraId="0982619F" w14:textId="2BE8D3D3" w:rsidR="005B6412" w:rsidRPr="005B6412" w:rsidRDefault="005B6412" w:rsidP="005B6412">
      <w:pPr>
        <w:pStyle w:val="SingleTxtG"/>
        <w:ind w:left="1701"/>
        <w:rPr>
          <w:u w:val="single"/>
        </w:rPr>
      </w:pPr>
      <w:r w:rsidRPr="005B6412">
        <w:rPr>
          <w:u w:val="single"/>
        </w:rPr>
        <w:t>“2.1.1.2.1</w:t>
      </w:r>
      <w:r w:rsidRPr="005B6412">
        <w:rPr>
          <w:u w:val="single"/>
        </w:rPr>
        <w:tab/>
        <w:t>Explosive substances and mixtures which:</w:t>
      </w:r>
    </w:p>
    <w:p w14:paraId="69E7BC71" w14:textId="10C7514B" w:rsidR="005B6412" w:rsidRPr="005B6412" w:rsidRDefault="005B6412" w:rsidP="005B6412">
      <w:pPr>
        <w:pStyle w:val="SingleTxtG"/>
        <w:ind w:left="1701"/>
        <w:rPr>
          <w:u w:val="single"/>
        </w:rPr>
      </w:pPr>
      <w:r w:rsidRPr="005B6412">
        <w:rPr>
          <w:u w:val="single"/>
        </w:rPr>
        <w:t xml:space="preserve">(a) </w:t>
      </w:r>
      <w:r>
        <w:rPr>
          <w:u w:val="single"/>
        </w:rPr>
        <w:tab/>
      </w:r>
      <w:r w:rsidRPr="005B6412">
        <w:rPr>
          <w:u w:val="single"/>
        </w:rPr>
        <w:t>are manufactured with the view to producing an explosive or pyrotechnic effect; or</w:t>
      </w:r>
    </w:p>
    <w:p w14:paraId="7A353747" w14:textId="736DFD00" w:rsidR="005B6412" w:rsidRPr="005B6412" w:rsidRDefault="005B6412" w:rsidP="005B6412">
      <w:pPr>
        <w:pStyle w:val="SingleTxtG"/>
        <w:ind w:left="1701"/>
        <w:rPr>
          <w:u w:val="single"/>
        </w:rPr>
      </w:pPr>
      <w:r w:rsidRPr="005B6412">
        <w:rPr>
          <w:u w:val="single"/>
        </w:rPr>
        <w:t xml:space="preserve">(b) </w:t>
      </w:r>
      <w:r>
        <w:rPr>
          <w:u w:val="single"/>
        </w:rPr>
        <w:tab/>
      </w:r>
      <w:r w:rsidRPr="005B6412">
        <w:rPr>
          <w:u w:val="single"/>
        </w:rPr>
        <w:t>have regulated explosive properties (e.g., fail Test Series 1 of the Manual of Tests and Criteria).</w:t>
      </w:r>
    </w:p>
    <w:p w14:paraId="6696A523" w14:textId="77777777" w:rsidR="005B6412" w:rsidRPr="005B6412" w:rsidRDefault="005B6412" w:rsidP="005B6412">
      <w:pPr>
        <w:pStyle w:val="SingleTxtG"/>
        <w:ind w:left="1701"/>
        <w:rPr>
          <w:u w:val="single"/>
        </w:rPr>
      </w:pPr>
      <w:r w:rsidRPr="005B6412">
        <w:rPr>
          <w:u w:val="single"/>
        </w:rPr>
        <w:t>2.1.1.2.2</w:t>
      </w:r>
      <w:r w:rsidRPr="005B6412">
        <w:rPr>
          <w:u w:val="single"/>
        </w:rPr>
        <w:tab/>
        <w:t xml:space="preserve">Explosive articles, except devices containing explosive substances or mixtures in such quantity or of such a character that their inadvertent or accidental ignition or initiation shall not cause any effect external to the device either by projection, fire, smoke, heat or loud noise. </w:t>
      </w:r>
    </w:p>
    <w:p w14:paraId="3C4A23C8" w14:textId="71F2C417" w:rsidR="005B6412" w:rsidRPr="005B6412" w:rsidRDefault="005B6412" w:rsidP="005B6412">
      <w:pPr>
        <w:pStyle w:val="SingleTxtG"/>
      </w:pPr>
      <w:r w:rsidRPr="005B6412">
        <w:t>9.</w:t>
      </w:r>
      <w:r w:rsidRPr="005B6412">
        <w:tab/>
        <w:t xml:space="preserve">In this text we re-number to the standard GHS hierarchy when writing text at the </w:t>
      </w:r>
      <w:r>
        <w:t>fifth</w:t>
      </w:r>
      <w:r w:rsidRPr="005B6412">
        <w:t xml:space="preserve"> and </w:t>
      </w:r>
      <w:r>
        <w:t>sixth</w:t>
      </w:r>
      <w:r w:rsidRPr="005B6412">
        <w:t xml:space="preserve"> levels, e.g. 2.1.1.2</w:t>
      </w:r>
      <w:r w:rsidR="00E5766A">
        <w:t xml:space="preserve"> </w:t>
      </w:r>
      <w:r w:rsidRPr="005B6412">
        <w:t xml:space="preserve">(a) at the </w:t>
      </w:r>
      <w:r>
        <w:t>fifth</w:t>
      </w:r>
      <w:r w:rsidRPr="005B6412">
        <w:t xml:space="preserve"> level becomes 2.1.1.2.1 and the </w:t>
      </w:r>
      <w:r>
        <w:t>sixth</w:t>
      </w:r>
      <w:r w:rsidRPr="005B6412">
        <w:t xml:space="preserve"> level becomes 2.1.1.2.1</w:t>
      </w:r>
      <w:r w:rsidR="00E5766A">
        <w:t xml:space="preserve"> </w:t>
      </w:r>
      <w:r w:rsidRPr="005B6412">
        <w:t>(a). The existing (a) and (c) are combined under 2.1.1.2.1 into (a) and (b), as they both deal with substances and mixtures, rather than articles. The existing (b) becomes 2.1.1.2.2.</w:t>
      </w:r>
    </w:p>
    <w:p w14:paraId="034B70FF" w14:textId="095999E6" w:rsidR="005B6412" w:rsidRPr="005B6412" w:rsidRDefault="005B6412" w:rsidP="005B6412">
      <w:pPr>
        <w:pStyle w:val="SingleTxtG"/>
      </w:pPr>
      <w:r w:rsidRPr="005B6412">
        <w:t>10.</w:t>
      </w:r>
      <w:r w:rsidRPr="005B6412">
        <w:tab/>
        <w:t xml:space="preserve">In the new 2.1.1.2.1 we deal with the question of whether there are intentional explosive effects or </w:t>
      </w:r>
      <w:proofErr w:type="gramStart"/>
      <w:r w:rsidRPr="005B6412">
        <w:t>not, and</w:t>
      </w:r>
      <w:proofErr w:type="gramEnd"/>
      <w:r w:rsidRPr="005B6412">
        <w:t xml:space="preserve"> split these into (a) and (b). </w:t>
      </w:r>
      <w:proofErr w:type="gramStart"/>
      <w:r w:rsidRPr="005B6412">
        <w:t>Taking into account</w:t>
      </w:r>
      <w:proofErr w:type="gramEnd"/>
      <w:r w:rsidRPr="005B6412">
        <w:t xml:space="preserve"> the preliminary nature of this paper, in 2.1.1.2.1</w:t>
      </w:r>
      <w:r w:rsidR="00E5766A">
        <w:t xml:space="preserve"> </w:t>
      </w:r>
      <w:r w:rsidRPr="005B6412">
        <w:t xml:space="preserve">(b) we propose an example of Test Series 1, which might be a new appropriate threshold for Category 1 in the work on </w:t>
      </w:r>
      <w:r>
        <w:t>the review of Chapter 2.1 of the GHS</w:t>
      </w:r>
      <w:r w:rsidRPr="005B6412">
        <w:t xml:space="preserve">. Category 2 would retain a threshold of </w:t>
      </w:r>
      <w:r>
        <w:t xml:space="preserve">Test series </w:t>
      </w:r>
      <w:r w:rsidRPr="005B6412">
        <w:t>2.</w:t>
      </w:r>
    </w:p>
    <w:p w14:paraId="003AA91A" w14:textId="4D71C3A0" w:rsidR="005B6412" w:rsidRDefault="005B6412" w:rsidP="005B6412">
      <w:pPr>
        <w:pStyle w:val="SingleTxtG"/>
        <w:tabs>
          <w:tab w:val="left" w:pos="1701"/>
        </w:tabs>
      </w:pPr>
      <w:r>
        <w:t xml:space="preserve">11. </w:t>
      </w:r>
      <w:r>
        <w:tab/>
        <w:t>In 2.1.1.2.2 we revert to the existing text of 2.1.1.2</w:t>
      </w:r>
      <w:r w:rsidR="00E5766A">
        <w:t xml:space="preserve"> </w:t>
      </w:r>
      <w:r>
        <w:t>(b) verbatim. This has the advantage of avoiding whether there is an intentional effect. Experts generally agree that there are no unintentional explosives articles. However relative to the exclusion for devices we are aware that in a complex device there can be confusion that an explosive article is overarched by an inert device which obscures the effects of the explosive article, and this text avoids the possibilities of incorrect interpretations.</w:t>
      </w:r>
    </w:p>
    <w:p w14:paraId="65760258" w14:textId="0B69076E" w:rsidR="005B6412" w:rsidRDefault="005B6412" w:rsidP="005B6412">
      <w:pPr>
        <w:pStyle w:val="SingleTxtG"/>
        <w:tabs>
          <w:tab w:val="left" w:pos="1701"/>
        </w:tabs>
      </w:pPr>
      <w:r>
        <w:t xml:space="preserve">12. </w:t>
      </w:r>
      <w:r w:rsidR="00F13CE1">
        <w:tab/>
      </w:r>
      <w:r>
        <w:t xml:space="preserve">This text correlates directly to the Figure 10.2 </w:t>
      </w:r>
      <w:r w:rsidR="00F13CE1">
        <w:t xml:space="preserve">of the Manual </w:t>
      </w:r>
      <w:r>
        <w:t>(see Annex).  Section 2.1.1.2.1</w:t>
      </w:r>
      <w:r w:rsidR="00E5766A">
        <w:t xml:space="preserve"> </w:t>
      </w:r>
      <w:r>
        <w:t xml:space="preserve">(a) enables an answer of </w:t>
      </w:r>
      <w:r w:rsidR="00F13CE1">
        <w:t>“</w:t>
      </w:r>
      <w:r>
        <w:t>Yes</w:t>
      </w:r>
      <w:r w:rsidR="00F13CE1">
        <w:t>”</w:t>
      </w:r>
      <w:r>
        <w:t xml:space="preserve"> to </w:t>
      </w:r>
      <w:r w:rsidR="00E5766A">
        <w:t>b</w:t>
      </w:r>
      <w:r>
        <w:t>ox 2. Following 2.1.1.2.1</w:t>
      </w:r>
      <w:r w:rsidR="00E5766A">
        <w:t xml:space="preserve"> </w:t>
      </w:r>
      <w:r>
        <w:t xml:space="preserve">(b) correlates to an answer of </w:t>
      </w:r>
      <w:r w:rsidR="00F13CE1">
        <w:t>“</w:t>
      </w:r>
      <w:r>
        <w:t>No</w:t>
      </w:r>
      <w:r w:rsidR="00F13CE1">
        <w:t>”</w:t>
      </w:r>
      <w:r>
        <w:t xml:space="preserve"> to </w:t>
      </w:r>
      <w:r w:rsidR="00E5766A">
        <w:t>b</w:t>
      </w:r>
      <w:r>
        <w:t>ox 2.  Following 2.1.1.2.2 leads to Box 18 for the classification of explosive articles.</w:t>
      </w:r>
    </w:p>
    <w:p w14:paraId="7B44C7C5" w14:textId="146B4494" w:rsidR="005B6412" w:rsidRDefault="00F13CE1" w:rsidP="00F13CE1">
      <w:pPr>
        <w:pStyle w:val="HChG"/>
      </w:pPr>
      <w:r>
        <w:tab/>
      </w:r>
      <w:r>
        <w:tab/>
      </w:r>
      <w:r w:rsidR="005B6412" w:rsidRPr="00F13CE1">
        <w:t>Proposal</w:t>
      </w:r>
    </w:p>
    <w:p w14:paraId="18B0D066" w14:textId="47875216" w:rsidR="005B6412" w:rsidRDefault="005B6412" w:rsidP="005B6412">
      <w:pPr>
        <w:pStyle w:val="SingleTxtG"/>
        <w:tabs>
          <w:tab w:val="left" w:pos="1701"/>
        </w:tabs>
      </w:pPr>
      <w:r>
        <w:t>13.</w:t>
      </w:r>
      <w:r>
        <w:tab/>
        <w:t>SAAMI’s proposal is for the Working Group</w:t>
      </w:r>
      <w:r w:rsidR="00F13CE1">
        <w:t xml:space="preserve"> on Explosives</w:t>
      </w:r>
      <w:r w:rsidR="00E5766A">
        <w:t xml:space="preserve"> of the Sub-Committee of Experts on the Transport of Dangerous Goods</w:t>
      </w:r>
      <w:bookmarkStart w:id="0" w:name="_GoBack"/>
      <w:bookmarkEnd w:id="0"/>
      <w:r>
        <w:t xml:space="preserve">, as the focal point, to consider the text tentatively proposed above, and have a discussion of the principles on their own merit extending beyond the limitations of the scope of work for </w:t>
      </w:r>
      <w:r w:rsidR="00F13CE1">
        <w:t>the review of Chapter 2.1 of the GHS</w:t>
      </w:r>
      <w:r>
        <w:t>.</w:t>
      </w:r>
    </w:p>
    <w:p w14:paraId="52378809" w14:textId="2E80E35A" w:rsidR="005B6412" w:rsidRDefault="005B6412" w:rsidP="005B6412">
      <w:pPr>
        <w:spacing w:before="240"/>
        <w:jc w:val="center"/>
        <w:rPr>
          <w:u w:val="single"/>
        </w:rPr>
      </w:pPr>
    </w:p>
    <w:p w14:paraId="376A96D7" w14:textId="77777777" w:rsidR="005B6412" w:rsidRDefault="005B6412" w:rsidP="005B6412">
      <w:pPr>
        <w:rPr>
          <w:u w:val="single"/>
        </w:rPr>
      </w:pPr>
      <w:r>
        <w:rPr>
          <w:u w:val="single"/>
        </w:rPr>
        <w:br w:type="page"/>
      </w:r>
    </w:p>
    <w:p w14:paraId="0F297A38" w14:textId="77777777" w:rsidR="005B6412" w:rsidRDefault="005B6412" w:rsidP="00F13CE1">
      <w:pPr>
        <w:pStyle w:val="HChG"/>
      </w:pPr>
      <w:r>
        <w:lastRenderedPageBreak/>
        <w:t>Annex</w:t>
      </w:r>
    </w:p>
    <w:p w14:paraId="20864797" w14:textId="77777777" w:rsidR="005B6412" w:rsidRDefault="005B6412" w:rsidP="00F32522">
      <w:pPr>
        <w:keepNext/>
        <w:numPr>
          <w:ilvl w:val="12"/>
          <w:numId w:val="0"/>
        </w:numPr>
        <w:tabs>
          <w:tab w:val="left" w:pos="849"/>
          <w:tab w:val="left" w:pos="1473"/>
          <w:tab w:val="left" w:pos="1700"/>
          <w:tab w:val="left" w:pos="2266"/>
          <w:tab w:val="left" w:leader="dot" w:pos="8956"/>
          <w:tab w:val="center" w:pos="9410"/>
        </w:tabs>
        <w:spacing w:after="120"/>
        <w:ind w:left="1134"/>
        <w:jc w:val="both"/>
        <w:rPr>
          <w:b/>
          <w:bCs/>
          <w:szCs w:val="22"/>
        </w:rPr>
      </w:pPr>
      <w:r>
        <w:rPr>
          <w:szCs w:val="22"/>
        </w:rPr>
        <w:t>"</w:t>
      </w:r>
      <w:r>
        <w:rPr>
          <w:b/>
          <w:bCs/>
          <w:szCs w:val="22"/>
        </w:rPr>
        <w:t>Figure 10.2:  Procedure for provisional acceptance of a substance or article in the class of explosives</w:t>
      </w:r>
    </w:p>
    <w:p w14:paraId="5A754086" w14:textId="2BF83981" w:rsidR="005B6412" w:rsidRDefault="005B6412" w:rsidP="005B6412">
      <w:pPr>
        <w:pStyle w:val="SingleTxtG"/>
        <w:rPr>
          <w:szCs w:val="24"/>
        </w:rPr>
      </w:pPr>
      <w:r>
        <w:rPr>
          <w:noProof/>
          <w:szCs w:val="24"/>
        </w:rPr>
        <mc:AlternateContent>
          <mc:Choice Requires="wps">
            <w:drawing>
              <wp:anchor distT="0" distB="0" distL="114300" distR="114300" simplePos="0" relativeHeight="251659264" behindDoc="0" locked="0" layoutInCell="1" allowOverlap="1" wp14:anchorId="5DA0EEF3" wp14:editId="5247EA66">
                <wp:simplePos x="0" y="0"/>
                <wp:positionH relativeFrom="column">
                  <wp:posOffset>588010</wp:posOffset>
                </wp:positionH>
                <wp:positionV relativeFrom="paragraph">
                  <wp:posOffset>1728470</wp:posOffset>
                </wp:positionV>
                <wp:extent cx="102235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29335" cy="276225"/>
                        </a:xfrm>
                        <a:prstGeom prst="rect">
                          <a:avLst/>
                        </a:prstGeom>
                        <a:solidFill>
                          <a:schemeClr val="lt1"/>
                        </a:solidFill>
                        <a:ln w="6350">
                          <a:noFill/>
                        </a:ln>
                      </wps:spPr>
                      <wps:txbx>
                        <w:txbxContent>
                          <w:p w14:paraId="523C60E7" w14:textId="77777777" w:rsidR="005B6412" w:rsidRDefault="005B6412" w:rsidP="005B6412">
                            <w:pPr>
                              <w:rPr>
                                <w:b/>
                                <w:color w:val="C00000"/>
                                <w:sz w:val="28"/>
                              </w:rPr>
                            </w:pPr>
                            <w:r>
                              <w:rPr>
                                <w:b/>
                                <w:color w:val="C00000"/>
                                <w:sz w:val="28"/>
                              </w:rPr>
                              <w:t>2.1.1.2.1(b)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A0EEF3" id="_x0000_t202" coordsize="21600,21600" o:spt="202" path="m,l,21600r21600,l21600,xe">
                <v:stroke joinstyle="miter"/>
                <v:path gradientshapeok="t" o:connecttype="rect"/>
              </v:shapetype>
              <v:shape id="Text Box 5" o:spid="_x0000_s1026" type="#_x0000_t202" style="position:absolute;left:0;text-align:left;margin-left:46.3pt;margin-top:136.1pt;width:80.5pt;height:2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" fillcolor="white [3201]" stroked="f" strokeweight=".5pt">
                <v:textbox>
                  <w:txbxContent>
                    <w:p w14:paraId="523C60E7" w14:textId="77777777" w:rsidR="005B6412" w:rsidRDefault="005B6412" w:rsidP="005B6412">
                      <w:pPr>
                        <w:rPr>
                          <w:b/>
                          <w:color w:val="C00000"/>
                          <w:sz w:val="28"/>
                        </w:rPr>
                      </w:pPr>
                      <w:r>
                        <w:rPr>
                          <w:b/>
                          <w:color w:val="C00000"/>
                          <w:sz w:val="28"/>
                        </w:rPr>
                        <w:t>2.1.1.2.1(b)</w:t>
                      </w:r>
                    </w:p>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14:anchorId="01FBB8B2" wp14:editId="36E802B4">
                <wp:simplePos x="0" y="0"/>
                <wp:positionH relativeFrom="column">
                  <wp:posOffset>2877185</wp:posOffset>
                </wp:positionH>
                <wp:positionV relativeFrom="paragraph">
                  <wp:posOffset>505460</wp:posOffset>
                </wp:positionV>
                <wp:extent cx="1012190"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lt1"/>
                        </a:solidFill>
                        <a:ln w="6350">
                          <a:noFill/>
                        </a:ln>
                      </wps:spPr>
                      <wps:txbx>
                        <w:txbxContent>
                          <w:p w14:paraId="4A11CDE4" w14:textId="77777777" w:rsidR="005B6412" w:rsidRDefault="005B6412" w:rsidP="005B6412">
                            <w:pPr>
                              <w:rPr>
                                <w:b/>
                                <w:color w:val="C00000"/>
                                <w:sz w:val="28"/>
                              </w:rPr>
                            </w:pPr>
                            <w:r>
                              <w:rPr>
                                <w:b/>
                                <w:color w:val="C00000"/>
                                <w:sz w:val="28"/>
                              </w:rPr>
                              <w:t>2.1.1.2.1(a)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FBB8B2" id="Text Box 4" o:spid="_x0000_s1027" type="#_x0000_t202" style="position:absolute;left:0;text-align:left;margin-left:226.55pt;margin-top:39.8pt;width:79.7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" fillcolor="white [3201]" stroked="f" strokeweight=".5pt">
                <v:textbox>
                  <w:txbxContent>
                    <w:p w14:paraId="4A11CDE4" w14:textId="77777777" w:rsidR="005B6412" w:rsidRDefault="005B6412" w:rsidP="005B6412">
                      <w:pPr>
                        <w:rPr>
                          <w:b/>
                          <w:color w:val="C00000"/>
                          <w:sz w:val="28"/>
                        </w:rPr>
                      </w:pPr>
                      <w:r>
                        <w:rPr>
                          <w:b/>
                          <w:color w:val="C00000"/>
                          <w:sz w:val="28"/>
                        </w:rPr>
                        <w:t>2.1.1.2.1(a)</w:t>
                      </w:r>
                    </w:p>
                  </w:txbxContent>
                </v:textbox>
              </v:shape>
            </w:pict>
          </mc:Fallback>
        </mc:AlternateContent>
      </w:r>
      <w:r>
        <w:rPr>
          <w:noProof/>
          <w:szCs w:val="24"/>
        </w:rPr>
        <mc:AlternateContent>
          <mc:Choice Requires="wps">
            <w:drawing>
              <wp:anchor distT="0" distB="0" distL="114300" distR="114300" simplePos="0" relativeHeight="251661312" behindDoc="0" locked="0" layoutInCell="1" allowOverlap="1" wp14:anchorId="30E94507" wp14:editId="066EA1B3">
                <wp:simplePos x="0" y="0"/>
                <wp:positionH relativeFrom="column">
                  <wp:posOffset>3095625</wp:posOffset>
                </wp:positionH>
                <wp:positionV relativeFrom="paragraph">
                  <wp:posOffset>44450</wp:posOffset>
                </wp:positionV>
                <wp:extent cx="805180" cy="276225"/>
                <wp:effectExtent l="0" t="0" r="6985" b="9525"/>
                <wp:wrapNone/>
                <wp:docPr id="8" name="Text Box 8"/>
                <wp:cNvGraphicFramePr/>
                <a:graphic xmlns:a="http://schemas.openxmlformats.org/drawingml/2006/main">
                  <a:graphicData uri="http://schemas.microsoft.com/office/word/2010/wordprocessingShape">
                    <wps:wsp>
                      <wps:cNvSpPr txBox="1"/>
                      <wps:spPr>
                        <a:xfrm>
                          <a:off x="0" y="0"/>
                          <a:ext cx="812165" cy="276225"/>
                        </a:xfrm>
                        <a:prstGeom prst="rect">
                          <a:avLst/>
                        </a:prstGeom>
                        <a:solidFill>
                          <a:schemeClr val="lt1"/>
                        </a:solidFill>
                        <a:ln w="6350">
                          <a:noFill/>
                        </a:ln>
                      </wps:spPr>
                      <wps:txbx>
                        <w:txbxContent>
                          <w:p w14:paraId="367ECB46" w14:textId="77777777" w:rsidR="005B6412" w:rsidRDefault="005B6412" w:rsidP="005B6412">
                            <w:pPr>
                              <w:rPr>
                                <w:b/>
                                <w:color w:val="C00000"/>
                                <w:sz w:val="28"/>
                              </w:rPr>
                            </w:pPr>
                            <w:r>
                              <w:rPr>
                                <w:b/>
                                <w:color w:val="C00000"/>
                                <w:sz w:val="28"/>
                              </w:rPr>
                              <w:t>2.1.1.2.2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E94507" id="Text Box 8" o:spid="_x0000_s1028" type="#_x0000_t202" style="position:absolute;left:0;text-align:left;margin-left:243.75pt;margin-top:3.5pt;width:63.4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" fillcolor="white [3201]" stroked="f" strokeweight=".5pt">
                <v:textbox>
                  <w:txbxContent>
                    <w:p w14:paraId="367ECB46" w14:textId="77777777" w:rsidR="005B6412" w:rsidRDefault="005B6412" w:rsidP="005B6412">
                      <w:pPr>
                        <w:rPr>
                          <w:b/>
                          <w:color w:val="C00000"/>
                          <w:sz w:val="28"/>
                        </w:rPr>
                      </w:pPr>
                      <w:r>
                        <w:rPr>
                          <w:b/>
                          <w:color w:val="C00000"/>
                          <w:sz w:val="28"/>
                        </w:rPr>
                        <w:t>2.1.1.2.2</w:t>
                      </w:r>
                    </w:p>
                  </w:txbxContent>
                </v:textbox>
              </v:shape>
            </w:pict>
          </mc:Fallback>
        </mc:AlternateContent>
      </w:r>
      <w:r>
        <w:rPr>
          <w:noProof/>
          <w:szCs w:val="24"/>
        </w:rPr>
        <mc:AlternateContent>
          <mc:Choice Requires="wps">
            <w:drawing>
              <wp:anchor distT="0" distB="0" distL="114300" distR="114300" simplePos="0" relativeHeight="251662336" behindDoc="0" locked="0" layoutInCell="1" allowOverlap="1" wp14:anchorId="0009F883" wp14:editId="140E2CB7">
                <wp:simplePos x="0" y="0"/>
                <wp:positionH relativeFrom="column">
                  <wp:posOffset>3900170</wp:posOffset>
                </wp:positionH>
                <wp:positionV relativeFrom="paragraph">
                  <wp:posOffset>86995</wp:posOffset>
                </wp:positionV>
                <wp:extent cx="638175" cy="179705"/>
                <wp:effectExtent l="0" t="19050" r="47625" b="29845"/>
                <wp:wrapNone/>
                <wp:docPr id="7" name="Arrow: Right 7"/>
                <wp:cNvGraphicFramePr/>
                <a:graphic xmlns:a="http://schemas.openxmlformats.org/drawingml/2006/main">
                  <a:graphicData uri="http://schemas.microsoft.com/office/word/2010/wordprocessingShape">
                    <wps:wsp>
                      <wps:cNvSpPr/>
                      <wps:spPr>
                        <a:xfrm>
                          <a:off x="0" y="0"/>
                          <a:ext cx="638175" cy="1797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7D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307.1pt;margin-top:6.85pt;width:50.2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" adj="18559" fillcolor="#c00000" strokecolor="#c00000" strokeweight="2pt"/>
            </w:pict>
          </mc:Fallback>
        </mc:AlternateContent>
      </w:r>
      <w:r>
        <w:rPr>
          <w:sz w:val="24"/>
          <w:szCs w:val="24"/>
          <w:lang w:val="en-US"/>
        </w:rPr>
        <w:object w:dxaOrig="8520" w:dyaOrig="11100" w14:anchorId="0D535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pt;height:555.05pt" o:ole="">
            <v:imagedata r:id="rId9" o:title=""/>
          </v:shape>
          <o:OLEObject Type="Embed" ProgID="Visio.Drawing.15" ShapeID="_x0000_i1025" DrawAspect="Content" ObjectID="_1616917454" r:id="rId10"/>
        </w:object>
      </w:r>
      <w:r>
        <w:rPr>
          <w:noProof/>
          <w:szCs w:val="24"/>
        </w:rPr>
        <mc:AlternateContent>
          <mc:Choice Requires="wps">
            <w:drawing>
              <wp:anchor distT="0" distB="0" distL="114300" distR="114300" simplePos="0" relativeHeight="251663360" behindDoc="0" locked="0" layoutInCell="1" allowOverlap="1" wp14:anchorId="198F7157" wp14:editId="4C4DB10E">
                <wp:simplePos x="0" y="0"/>
                <wp:positionH relativeFrom="column">
                  <wp:posOffset>3108960</wp:posOffset>
                </wp:positionH>
                <wp:positionV relativeFrom="paragraph">
                  <wp:posOffset>814070</wp:posOffset>
                </wp:positionV>
                <wp:extent cx="638175" cy="179705"/>
                <wp:effectExtent l="0" t="19050" r="47625" b="29845"/>
                <wp:wrapNone/>
                <wp:docPr id="6" name="Arrow: Right 6"/>
                <wp:cNvGraphicFramePr/>
                <a:graphic xmlns:a="http://schemas.openxmlformats.org/drawingml/2006/main">
                  <a:graphicData uri="http://schemas.microsoft.com/office/word/2010/wordprocessingShape">
                    <wps:wsp>
                      <wps:cNvSpPr/>
                      <wps:spPr>
                        <a:xfrm>
                          <a:off x="0" y="0"/>
                          <a:ext cx="638175" cy="1797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B9D8" id="Arrow: Right 6" o:spid="_x0000_s1026" type="#_x0000_t13" style="position:absolute;margin-left:244.8pt;margin-top:64.1pt;width:50.2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" adj="18559" fillcolor="#c00000" strokecolor="#c00000" strokeweight="2pt"/>
            </w:pict>
          </mc:Fallback>
        </mc:AlternateContent>
      </w:r>
      <w:r>
        <w:rPr>
          <w:noProof/>
          <w:szCs w:val="24"/>
        </w:rPr>
        <mc:AlternateContent>
          <mc:Choice Requires="wps">
            <w:drawing>
              <wp:anchor distT="0" distB="0" distL="114300" distR="114300" simplePos="0" relativeHeight="251664384" behindDoc="0" locked="0" layoutInCell="1" allowOverlap="1" wp14:anchorId="2EFBCF7B" wp14:editId="2AC9ABF9">
                <wp:simplePos x="0" y="0"/>
                <wp:positionH relativeFrom="column">
                  <wp:posOffset>1432560</wp:posOffset>
                </wp:positionH>
                <wp:positionV relativeFrom="paragraph">
                  <wp:posOffset>1833245</wp:posOffset>
                </wp:positionV>
                <wp:extent cx="638175" cy="179705"/>
                <wp:effectExtent l="635" t="0" r="10160" b="29210"/>
                <wp:wrapNone/>
                <wp:docPr id="3" name="Arrow: Right 3"/>
                <wp:cNvGraphicFramePr/>
                <a:graphic xmlns:a="http://schemas.openxmlformats.org/drawingml/2006/main">
                  <a:graphicData uri="http://schemas.microsoft.com/office/word/2010/wordprocessingShape">
                    <wps:wsp>
                      <wps:cNvSpPr/>
                      <wps:spPr>
                        <a:xfrm rot="5400000">
                          <a:off x="0" y="0"/>
                          <a:ext cx="638175" cy="17970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FB30" id="Arrow: Right 3" o:spid="_x0000_s1026" type="#_x0000_t13" style="position:absolute;margin-left:112.8pt;margin-top:144.35pt;width:50.25pt;height:14.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" adj="18559" fillcolor="#c00000" strokecolor="#c00000" strokeweight="2pt"/>
            </w:pict>
          </mc:Fallback>
        </mc:AlternateContent>
      </w:r>
    </w:p>
    <w:p w14:paraId="12D78FCD" w14:textId="219EC538" w:rsidR="005B6412" w:rsidRPr="00F13CE1" w:rsidRDefault="00F13CE1" w:rsidP="00F13CE1">
      <w:pPr>
        <w:spacing w:before="240"/>
        <w:jc w:val="center"/>
        <w:rPr>
          <w:u w:val="single"/>
          <w:lang w:val="en-US"/>
        </w:rPr>
      </w:pPr>
      <w:r>
        <w:rPr>
          <w:u w:val="single"/>
          <w:lang w:val="en-US"/>
        </w:rPr>
        <w:tab/>
      </w:r>
      <w:r>
        <w:rPr>
          <w:u w:val="single"/>
          <w:lang w:val="en-US"/>
        </w:rPr>
        <w:tab/>
      </w:r>
      <w:r>
        <w:rPr>
          <w:u w:val="single"/>
          <w:lang w:val="en-US"/>
        </w:rPr>
        <w:tab/>
      </w:r>
    </w:p>
    <w:sectPr w:rsidR="005B6412" w:rsidRPr="00F13CE1" w:rsidSect="00313D6B">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B3A2" w14:textId="77777777" w:rsidR="00E45F79" w:rsidRDefault="00E45F79"/>
  </w:endnote>
  <w:endnote w:type="continuationSeparator" w:id="0">
    <w:p w14:paraId="1B06D9F0" w14:textId="77777777" w:rsidR="00E45F79" w:rsidRDefault="00E45F79"/>
  </w:endnote>
  <w:endnote w:type="continuationNotice" w:id="1">
    <w:p w14:paraId="665723E1" w14:textId="77777777" w:rsidR="00E45F79" w:rsidRDefault="00E4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203445100"/>
      <w:docPartObj>
        <w:docPartGallery w:val="Page Numbers (Bottom of Page)"/>
        <w:docPartUnique/>
      </w:docPartObj>
    </w:sdtPr>
    <w:sdtEndPr>
      <w:rPr>
        <w:noProof/>
      </w:rPr>
    </w:sdtEndPr>
    <w:sdtContent>
      <w:p w14:paraId="60464479" w14:textId="453E520D" w:rsidR="006730CA" w:rsidRPr="006730CA" w:rsidRDefault="006730CA">
        <w:pPr>
          <w:pStyle w:val="Footer"/>
          <w:rPr>
            <w:b/>
            <w:bCs/>
          </w:rPr>
        </w:pPr>
        <w:r w:rsidRPr="006730CA">
          <w:rPr>
            <w:b/>
            <w:bCs/>
          </w:rPr>
          <w:fldChar w:fldCharType="begin"/>
        </w:r>
        <w:r w:rsidRPr="006730CA">
          <w:rPr>
            <w:b/>
            <w:bCs/>
          </w:rPr>
          <w:instrText xml:space="preserve"> PAGE   \* MERGEFORMAT </w:instrText>
        </w:r>
        <w:r w:rsidRPr="006730CA">
          <w:rPr>
            <w:b/>
            <w:bCs/>
          </w:rPr>
          <w:fldChar w:fldCharType="separate"/>
        </w:r>
        <w:r w:rsidRPr="006730CA">
          <w:rPr>
            <w:b/>
            <w:bCs/>
            <w:noProof/>
          </w:rPr>
          <w:t>2</w:t>
        </w:r>
        <w:r w:rsidRPr="006730CA">
          <w:rPr>
            <w:b/>
            <w:bCs/>
            <w:noProof/>
          </w:rPr>
          <w:fldChar w:fldCharType="end"/>
        </w:r>
      </w:p>
    </w:sdtContent>
  </w:sdt>
  <w:p w14:paraId="614603DE" w14:textId="77777777" w:rsidR="006730CA" w:rsidRDefault="00673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482192955"/>
      <w:docPartObj>
        <w:docPartGallery w:val="Page Numbers (Bottom of Page)"/>
        <w:docPartUnique/>
      </w:docPartObj>
    </w:sdtPr>
    <w:sdtEndPr>
      <w:rPr>
        <w:noProof/>
      </w:rPr>
    </w:sdtEndPr>
    <w:sdtContent>
      <w:p w14:paraId="36C25E6D" w14:textId="68E484AB" w:rsidR="00F13CE1" w:rsidRPr="00F13CE1" w:rsidRDefault="00F13CE1">
        <w:pPr>
          <w:pStyle w:val="Footer"/>
          <w:jc w:val="right"/>
          <w:rPr>
            <w:b/>
            <w:bCs/>
          </w:rPr>
        </w:pPr>
        <w:r w:rsidRPr="00F13CE1">
          <w:rPr>
            <w:b/>
            <w:bCs/>
          </w:rPr>
          <w:fldChar w:fldCharType="begin"/>
        </w:r>
        <w:r w:rsidRPr="00F13CE1">
          <w:rPr>
            <w:b/>
            <w:bCs/>
          </w:rPr>
          <w:instrText xml:space="preserve"> PAGE   \* MERGEFORMAT </w:instrText>
        </w:r>
        <w:r w:rsidRPr="00F13CE1">
          <w:rPr>
            <w:b/>
            <w:bCs/>
          </w:rPr>
          <w:fldChar w:fldCharType="separate"/>
        </w:r>
        <w:r w:rsidRPr="00F13CE1">
          <w:rPr>
            <w:b/>
            <w:bCs/>
            <w:noProof/>
          </w:rPr>
          <w:t>2</w:t>
        </w:r>
        <w:r w:rsidRPr="00F13CE1">
          <w:rPr>
            <w:b/>
            <w:bCs/>
            <w:noProof/>
          </w:rPr>
          <w:fldChar w:fldCharType="end"/>
        </w:r>
      </w:p>
    </w:sdtContent>
  </w:sdt>
  <w:p w14:paraId="2EF12894" w14:textId="77777777" w:rsidR="00F13CE1" w:rsidRDefault="00F1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BCF1" w14:textId="77777777" w:rsidR="00E45F79" w:rsidRPr="000B175B" w:rsidRDefault="00E45F79" w:rsidP="000B175B">
      <w:pPr>
        <w:tabs>
          <w:tab w:val="right" w:pos="2155"/>
        </w:tabs>
        <w:spacing w:after="80"/>
        <w:ind w:left="680"/>
        <w:rPr>
          <w:u w:val="single"/>
        </w:rPr>
      </w:pPr>
      <w:r>
        <w:rPr>
          <w:u w:val="single"/>
        </w:rPr>
        <w:tab/>
      </w:r>
    </w:p>
  </w:footnote>
  <w:footnote w:type="continuationSeparator" w:id="0">
    <w:p w14:paraId="696320EA" w14:textId="77777777" w:rsidR="00E45F79" w:rsidRPr="00FC68B7" w:rsidRDefault="00E45F79" w:rsidP="00FC68B7">
      <w:pPr>
        <w:tabs>
          <w:tab w:val="left" w:pos="2155"/>
        </w:tabs>
        <w:spacing w:after="80"/>
        <w:ind w:left="680"/>
        <w:rPr>
          <w:u w:val="single"/>
        </w:rPr>
      </w:pPr>
      <w:r>
        <w:rPr>
          <w:u w:val="single"/>
        </w:rPr>
        <w:tab/>
      </w:r>
    </w:p>
  </w:footnote>
  <w:footnote w:type="continuationNotice" w:id="1">
    <w:p w14:paraId="6B9F151F" w14:textId="77777777" w:rsidR="00E45F79" w:rsidRDefault="00E45F79"/>
  </w:footnote>
  <w:footnote w:id="2">
    <w:p w14:paraId="5F393842" w14:textId="77777777" w:rsidR="005B6412" w:rsidRDefault="005B6412" w:rsidP="005B6412">
      <w:pPr>
        <w:pStyle w:val="FootnoteText"/>
        <w:tabs>
          <w:tab w:val="left" w:pos="1701"/>
        </w:tabs>
        <w:ind w:firstLine="0"/>
        <w:rPr>
          <w:lang w:val="fr-CH"/>
        </w:rPr>
      </w:pPr>
      <w:r>
        <w:rPr>
          <w:rStyle w:val="FootnoteReference"/>
        </w:rPr>
        <w:t>*</w:t>
      </w:r>
      <w:r>
        <w:t xml:space="preserve"> </w:t>
      </w:r>
      <w:r>
        <w:tab/>
        <w:t>In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AFA1" w14:textId="4F1CD931" w:rsidR="00D731F3" w:rsidRDefault="00D731F3" w:rsidP="00D731F3">
    <w:pPr>
      <w:pStyle w:val="Header"/>
    </w:pPr>
    <w:r>
      <w:t>ST/SG/AC.10/C.4/201</w:t>
    </w:r>
    <w:r w:rsidR="001D01B2">
      <w:t>9</w:t>
    </w:r>
    <w:r>
      <w:t>/</w:t>
    </w:r>
    <w:r w:rsidR="00D62E7E">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C37" w14:textId="14DFBF09" w:rsidR="007A24EE" w:rsidRPr="00313D6B" w:rsidRDefault="007A24EE" w:rsidP="00313D6B">
    <w:pPr>
      <w:pBdr>
        <w:bottom w:val="single" w:sz="4" w:space="1" w:color="auto"/>
      </w:pBdr>
      <w:rPr>
        <w:b/>
        <w:bCs/>
        <w:sz w:val="18"/>
        <w:szCs w:val="18"/>
      </w:rPr>
    </w:pPr>
    <w:r w:rsidRPr="00313D6B">
      <w:rPr>
        <w:b/>
        <w:bCs/>
        <w:noProof/>
        <w:sz w:val="18"/>
        <w:szCs w:val="18"/>
        <w:lang w:val="en-US"/>
      </w:rPr>
      <mc:AlternateContent>
        <mc:Choice Requires="wps">
          <w:drawing>
            <wp:anchor distT="0" distB="0" distL="114300" distR="114300" simplePos="0" relativeHeight="251657216" behindDoc="0" locked="0" layoutInCell="1" allowOverlap="1" wp14:anchorId="3BA2D5A6" wp14:editId="3E3BD19F">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CF91C7D" w14:textId="6249A0E7" w:rsidR="007A24EE" w:rsidRPr="0095385C" w:rsidRDefault="007A24EE" w:rsidP="007A24EE">
                          <w:pPr>
                            <w:pStyle w:val="Header"/>
                            <w:jc w:val="right"/>
                          </w:pPr>
                          <w:r>
                            <w:t>ST/SG/AC.10/C.4/2018/</w:t>
                          </w:r>
                          <w:r w:rsidR="00E86659">
                            <w:t>XX</w:t>
                          </w:r>
                        </w:p>
                        <w:p w14:paraId="13912787" w14:textId="77777777" w:rsidR="007A24EE" w:rsidRDefault="007A24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2D5A6" id="_x0000_t202" coordsize="21600,21600" o:spt="202" path="m,l,21600r21600,l21600,xe">
              <v:stroke joinstyle="miter"/>
              <v:path gradientshapeok="t" o:connecttype="rect"/>
            </v:shapetype>
            <v:shape id="Text Box 1" o:spid="_x0000_s1029" type="#_x0000_t202" style="position:absolute;margin-left:771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" fillcolor="white [3212]" stroked="f">
              <v:stroke joinstyle="round"/>
              <v:textbox style="layout-flow:vertical" inset="0,0,0,0">
                <w:txbxContent>
                  <w:p w14:paraId="0CF91C7D" w14:textId="6249A0E7" w:rsidR="007A24EE" w:rsidRPr="0095385C" w:rsidRDefault="007A24EE" w:rsidP="007A24EE">
                    <w:pPr>
                      <w:pStyle w:val="Header"/>
                      <w:jc w:val="right"/>
                    </w:pPr>
                    <w:r>
                      <w:t>ST/SG/AC.10/C.4/2018/</w:t>
                    </w:r>
                    <w:r w:rsidR="00E86659">
                      <w:t>XX</w:t>
                    </w:r>
                  </w:p>
                  <w:p w14:paraId="13912787" w14:textId="77777777" w:rsidR="007A24EE" w:rsidRDefault="007A24EE"/>
                </w:txbxContent>
              </v:textbox>
              <w10:wrap anchorx="page" anchory="margin"/>
            </v:shape>
          </w:pict>
        </mc:Fallback>
      </mc:AlternateContent>
    </w:r>
    <w:r w:rsidR="00313D6B" w:rsidRPr="00313D6B">
      <w:rPr>
        <w:b/>
        <w:bCs/>
        <w:sz w:val="18"/>
        <w:szCs w:val="18"/>
      </w:rPr>
      <w:t>ST/SG/AC.10/C.4/201</w:t>
    </w:r>
    <w:r w:rsidR="00D62E7E">
      <w:rPr>
        <w:b/>
        <w:bCs/>
        <w:sz w:val="18"/>
        <w:szCs w:val="18"/>
      </w:rPr>
      <w:t>9</w:t>
    </w:r>
    <w:r w:rsidR="00313D6B" w:rsidRPr="00313D6B">
      <w:rPr>
        <w:b/>
        <w:bCs/>
        <w:sz w:val="18"/>
        <w:szCs w:val="18"/>
      </w:rPr>
      <w:t>/</w:t>
    </w:r>
    <w:r w:rsidR="00D62E7E">
      <w:rPr>
        <w:b/>
        <w:bCs/>
        <w:sz w:val="18"/>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FE0C" w14:textId="77777777" w:rsidR="007A24EE" w:rsidRDefault="007A24EE" w:rsidP="00F860F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CA1487"/>
    <w:multiLevelType w:val="hybridMultilevel"/>
    <w:tmpl w:val="89305698"/>
    <w:lvl w:ilvl="0" w:tplc="08090001">
      <w:start w:val="1"/>
      <w:numFmt w:val="bullet"/>
      <w:lvlText w:val=""/>
      <w:lvlJc w:val="left"/>
      <w:pPr>
        <w:ind w:left="1902" w:hanging="360"/>
      </w:pPr>
      <w:rPr>
        <w:rFonts w:ascii="Symbol" w:hAnsi="Symbol" w:hint="default"/>
      </w:rPr>
    </w:lvl>
    <w:lvl w:ilvl="1" w:tplc="08090003">
      <w:start w:val="1"/>
      <w:numFmt w:val="bullet"/>
      <w:lvlText w:val="o"/>
      <w:lvlJc w:val="left"/>
      <w:pPr>
        <w:ind w:left="2622" w:hanging="360"/>
      </w:pPr>
      <w:rPr>
        <w:rFonts w:ascii="Courier New" w:hAnsi="Courier New" w:cs="Courier New"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Courier New"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Courier New" w:hint="default"/>
      </w:rPr>
    </w:lvl>
    <w:lvl w:ilvl="8" w:tplc="08090005" w:tentative="1">
      <w:start w:val="1"/>
      <w:numFmt w:val="bullet"/>
      <w:lvlText w:val=""/>
      <w:lvlJc w:val="left"/>
      <w:pPr>
        <w:ind w:left="7662"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72995"/>
    <w:multiLevelType w:val="hybridMultilevel"/>
    <w:tmpl w:val="C64E2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C"/>
    <w:rsid w:val="000005BF"/>
    <w:rsid w:val="00002487"/>
    <w:rsid w:val="000037BA"/>
    <w:rsid w:val="00005982"/>
    <w:rsid w:val="00006490"/>
    <w:rsid w:val="00015DD3"/>
    <w:rsid w:val="000222F9"/>
    <w:rsid w:val="00023DBC"/>
    <w:rsid w:val="0003212D"/>
    <w:rsid w:val="000335D1"/>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B10BB"/>
    <w:rsid w:val="000B158D"/>
    <w:rsid w:val="000B175B"/>
    <w:rsid w:val="000B1B3B"/>
    <w:rsid w:val="000B1C6B"/>
    <w:rsid w:val="000B28A5"/>
    <w:rsid w:val="000B2FC0"/>
    <w:rsid w:val="000B374C"/>
    <w:rsid w:val="000B3A0F"/>
    <w:rsid w:val="000B602C"/>
    <w:rsid w:val="000B6CB0"/>
    <w:rsid w:val="000C5E7A"/>
    <w:rsid w:val="000D0A97"/>
    <w:rsid w:val="000D3E84"/>
    <w:rsid w:val="000D5982"/>
    <w:rsid w:val="000D6B4A"/>
    <w:rsid w:val="000D6C67"/>
    <w:rsid w:val="000E0415"/>
    <w:rsid w:val="000E1B5B"/>
    <w:rsid w:val="000F0347"/>
    <w:rsid w:val="000F13FB"/>
    <w:rsid w:val="00100EE6"/>
    <w:rsid w:val="001033CA"/>
    <w:rsid w:val="00103BFC"/>
    <w:rsid w:val="001050B6"/>
    <w:rsid w:val="001102E5"/>
    <w:rsid w:val="00111978"/>
    <w:rsid w:val="00115E7C"/>
    <w:rsid w:val="00117787"/>
    <w:rsid w:val="00117BD4"/>
    <w:rsid w:val="00120C46"/>
    <w:rsid w:val="00122EBB"/>
    <w:rsid w:val="00131D42"/>
    <w:rsid w:val="00132C57"/>
    <w:rsid w:val="001339B8"/>
    <w:rsid w:val="001344B8"/>
    <w:rsid w:val="001348A5"/>
    <w:rsid w:val="00141242"/>
    <w:rsid w:val="00144EAC"/>
    <w:rsid w:val="00145659"/>
    <w:rsid w:val="00151717"/>
    <w:rsid w:val="00151F5B"/>
    <w:rsid w:val="00156502"/>
    <w:rsid w:val="00157C89"/>
    <w:rsid w:val="00161772"/>
    <w:rsid w:val="00162164"/>
    <w:rsid w:val="00162F4A"/>
    <w:rsid w:val="001633FB"/>
    <w:rsid w:val="001635C1"/>
    <w:rsid w:val="00165AD2"/>
    <w:rsid w:val="00167293"/>
    <w:rsid w:val="00167786"/>
    <w:rsid w:val="001757C5"/>
    <w:rsid w:val="00175C80"/>
    <w:rsid w:val="001777FD"/>
    <w:rsid w:val="00184821"/>
    <w:rsid w:val="00184FCD"/>
    <w:rsid w:val="00187190"/>
    <w:rsid w:val="0019154F"/>
    <w:rsid w:val="00191DE4"/>
    <w:rsid w:val="00193CE3"/>
    <w:rsid w:val="00195244"/>
    <w:rsid w:val="00196E35"/>
    <w:rsid w:val="0019773C"/>
    <w:rsid w:val="001A3561"/>
    <w:rsid w:val="001A5D90"/>
    <w:rsid w:val="001A7069"/>
    <w:rsid w:val="001B1BF5"/>
    <w:rsid w:val="001B372A"/>
    <w:rsid w:val="001B4B04"/>
    <w:rsid w:val="001B4EAB"/>
    <w:rsid w:val="001B56F0"/>
    <w:rsid w:val="001C106A"/>
    <w:rsid w:val="001C3170"/>
    <w:rsid w:val="001C3D65"/>
    <w:rsid w:val="001C4159"/>
    <w:rsid w:val="001C6663"/>
    <w:rsid w:val="001C6C85"/>
    <w:rsid w:val="001C7895"/>
    <w:rsid w:val="001D01B2"/>
    <w:rsid w:val="001D1A40"/>
    <w:rsid w:val="001D23B4"/>
    <w:rsid w:val="001D26DF"/>
    <w:rsid w:val="001D2FDC"/>
    <w:rsid w:val="001D33CA"/>
    <w:rsid w:val="001D50B0"/>
    <w:rsid w:val="001E0C9B"/>
    <w:rsid w:val="001E0F45"/>
    <w:rsid w:val="001E4475"/>
    <w:rsid w:val="001E5D60"/>
    <w:rsid w:val="001F0FE4"/>
    <w:rsid w:val="001F2D76"/>
    <w:rsid w:val="001F6726"/>
    <w:rsid w:val="001F7CF4"/>
    <w:rsid w:val="00202134"/>
    <w:rsid w:val="002024E2"/>
    <w:rsid w:val="00211DE3"/>
    <w:rsid w:val="00211E0B"/>
    <w:rsid w:val="00212394"/>
    <w:rsid w:val="0021321D"/>
    <w:rsid w:val="00213641"/>
    <w:rsid w:val="0021553B"/>
    <w:rsid w:val="00216609"/>
    <w:rsid w:val="00220264"/>
    <w:rsid w:val="00221C03"/>
    <w:rsid w:val="00222515"/>
    <w:rsid w:val="002228EB"/>
    <w:rsid w:val="00224C36"/>
    <w:rsid w:val="002256F2"/>
    <w:rsid w:val="002309A7"/>
    <w:rsid w:val="00230C9D"/>
    <w:rsid w:val="00237406"/>
    <w:rsid w:val="00237785"/>
    <w:rsid w:val="002401BD"/>
    <w:rsid w:val="00241466"/>
    <w:rsid w:val="00241D30"/>
    <w:rsid w:val="00252AF4"/>
    <w:rsid w:val="0025304C"/>
    <w:rsid w:val="0025405A"/>
    <w:rsid w:val="00255D32"/>
    <w:rsid w:val="00256E52"/>
    <w:rsid w:val="00257360"/>
    <w:rsid w:val="00262447"/>
    <w:rsid w:val="00264A94"/>
    <w:rsid w:val="00265E8D"/>
    <w:rsid w:val="00267017"/>
    <w:rsid w:val="00267C9C"/>
    <w:rsid w:val="00270B8F"/>
    <w:rsid w:val="002725CA"/>
    <w:rsid w:val="0027389E"/>
    <w:rsid w:val="00273A38"/>
    <w:rsid w:val="00275C6E"/>
    <w:rsid w:val="00276326"/>
    <w:rsid w:val="00280EB7"/>
    <w:rsid w:val="00284946"/>
    <w:rsid w:val="002857FE"/>
    <w:rsid w:val="00291986"/>
    <w:rsid w:val="00291A8F"/>
    <w:rsid w:val="00294148"/>
    <w:rsid w:val="00297A67"/>
    <w:rsid w:val="002A1B21"/>
    <w:rsid w:val="002A3CA8"/>
    <w:rsid w:val="002A3EEC"/>
    <w:rsid w:val="002A46AC"/>
    <w:rsid w:val="002A591C"/>
    <w:rsid w:val="002B0A21"/>
    <w:rsid w:val="002B10FC"/>
    <w:rsid w:val="002B1CDA"/>
    <w:rsid w:val="002B3EC6"/>
    <w:rsid w:val="002B4976"/>
    <w:rsid w:val="002B66A3"/>
    <w:rsid w:val="002B6C3E"/>
    <w:rsid w:val="002B7EF4"/>
    <w:rsid w:val="002C54FE"/>
    <w:rsid w:val="002C5B87"/>
    <w:rsid w:val="002C65AC"/>
    <w:rsid w:val="002C67F8"/>
    <w:rsid w:val="002C7E8A"/>
    <w:rsid w:val="002D0039"/>
    <w:rsid w:val="002D21BA"/>
    <w:rsid w:val="002E03C8"/>
    <w:rsid w:val="002E53E7"/>
    <w:rsid w:val="002E5A53"/>
    <w:rsid w:val="002E743A"/>
    <w:rsid w:val="002E7D51"/>
    <w:rsid w:val="002F1422"/>
    <w:rsid w:val="002F16E1"/>
    <w:rsid w:val="002F6DF4"/>
    <w:rsid w:val="00300566"/>
    <w:rsid w:val="00304718"/>
    <w:rsid w:val="00305238"/>
    <w:rsid w:val="003107FA"/>
    <w:rsid w:val="00313D6B"/>
    <w:rsid w:val="00314FCD"/>
    <w:rsid w:val="003176F1"/>
    <w:rsid w:val="003229D8"/>
    <w:rsid w:val="00324304"/>
    <w:rsid w:val="0033029B"/>
    <w:rsid w:val="00335D44"/>
    <w:rsid w:val="00335F76"/>
    <w:rsid w:val="00337674"/>
    <w:rsid w:val="00337FD0"/>
    <w:rsid w:val="00345F2F"/>
    <w:rsid w:val="00347907"/>
    <w:rsid w:val="00353582"/>
    <w:rsid w:val="00367BD9"/>
    <w:rsid w:val="00367D01"/>
    <w:rsid w:val="0037333E"/>
    <w:rsid w:val="00374677"/>
    <w:rsid w:val="00374FAA"/>
    <w:rsid w:val="00375F43"/>
    <w:rsid w:val="00382820"/>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C7FD9"/>
    <w:rsid w:val="003D4171"/>
    <w:rsid w:val="003D4B23"/>
    <w:rsid w:val="003D60F7"/>
    <w:rsid w:val="003D61D2"/>
    <w:rsid w:val="003E2E5D"/>
    <w:rsid w:val="003E6CCC"/>
    <w:rsid w:val="003E7127"/>
    <w:rsid w:val="003F167F"/>
    <w:rsid w:val="003F4FED"/>
    <w:rsid w:val="003F5B82"/>
    <w:rsid w:val="003F5E8A"/>
    <w:rsid w:val="004041D0"/>
    <w:rsid w:val="004054D8"/>
    <w:rsid w:val="004057FC"/>
    <w:rsid w:val="00414B5E"/>
    <w:rsid w:val="00417C54"/>
    <w:rsid w:val="00421A95"/>
    <w:rsid w:val="00422B40"/>
    <w:rsid w:val="00425F9F"/>
    <w:rsid w:val="004267D3"/>
    <w:rsid w:val="00432447"/>
    <w:rsid w:val="004325CB"/>
    <w:rsid w:val="00433841"/>
    <w:rsid w:val="00435AB4"/>
    <w:rsid w:val="00437846"/>
    <w:rsid w:val="00437CA8"/>
    <w:rsid w:val="00437F3F"/>
    <w:rsid w:val="00443CBA"/>
    <w:rsid w:val="00444EA3"/>
    <w:rsid w:val="0044537B"/>
    <w:rsid w:val="00445F6F"/>
    <w:rsid w:val="00446DE4"/>
    <w:rsid w:val="0044764B"/>
    <w:rsid w:val="004513F0"/>
    <w:rsid w:val="0045304D"/>
    <w:rsid w:val="00454036"/>
    <w:rsid w:val="00454F71"/>
    <w:rsid w:val="00455F63"/>
    <w:rsid w:val="004570D1"/>
    <w:rsid w:val="0046672F"/>
    <w:rsid w:val="004729D1"/>
    <w:rsid w:val="004820A6"/>
    <w:rsid w:val="00482339"/>
    <w:rsid w:val="00484509"/>
    <w:rsid w:val="00490A7A"/>
    <w:rsid w:val="00492614"/>
    <w:rsid w:val="004929B2"/>
    <w:rsid w:val="00493F79"/>
    <w:rsid w:val="004960E6"/>
    <w:rsid w:val="004A077A"/>
    <w:rsid w:val="004A3E68"/>
    <w:rsid w:val="004A641A"/>
    <w:rsid w:val="004A7228"/>
    <w:rsid w:val="004B05A7"/>
    <w:rsid w:val="004B1D9C"/>
    <w:rsid w:val="004B2C9D"/>
    <w:rsid w:val="004B7395"/>
    <w:rsid w:val="004C05DA"/>
    <w:rsid w:val="004C1ADF"/>
    <w:rsid w:val="004C306D"/>
    <w:rsid w:val="004C5A26"/>
    <w:rsid w:val="004C6109"/>
    <w:rsid w:val="004C6B89"/>
    <w:rsid w:val="004C71D5"/>
    <w:rsid w:val="004D15D3"/>
    <w:rsid w:val="004D1FA6"/>
    <w:rsid w:val="004D22F3"/>
    <w:rsid w:val="004D244B"/>
    <w:rsid w:val="004D6346"/>
    <w:rsid w:val="004D676A"/>
    <w:rsid w:val="004E394C"/>
    <w:rsid w:val="004E75F5"/>
    <w:rsid w:val="004F3FCB"/>
    <w:rsid w:val="004F7DCE"/>
    <w:rsid w:val="005044B6"/>
    <w:rsid w:val="0051448B"/>
    <w:rsid w:val="005160F8"/>
    <w:rsid w:val="00520ED9"/>
    <w:rsid w:val="00522115"/>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758F6"/>
    <w:rsid w:val="0058023E"/>
    <w:rsid w:val="00582E93"/>
    <w:rsid w:val="00584654"/>
    <w:rsid w:val="0058471D"/>
    <w:rsid w:val="00590144"/>
    <w:rsid w:val="005916A8"/>
    <w:rsid w:val="005A770B"/>
    <w:rsid w:val="005B3DB3"/>
    <w:rsid w:val="005B621F"/>
    <w:rsid w:val="005B6412"/>
    <w:rsid w:val="005C149F"/>
    <w:rsid w:val="005C2F3E"/>
    <w:rsid w:val="005D0641"/>
    <w:rsid w:val="005E504F"/>
    <w:rsid w:val="005F1E8A"/>
    <w:rsid w:val="005F5804"/>
    <w:rsid w:val="0060091E"/>
    <w:rsid w:val="006017C9"/>
    <w:rsid w:val="00602652"/>
    <w:rsid w:val="00606441"/>
    <w:rsid w:val="0060700C"/>
    <w:rsid w:val="0061020D"/>
    <w:rsid w:val="00611ACB"/>
    <w:rsid w:val="00611FC4"/>
    <w:rsid w:val="00612524"/>
    <w:rsid w:val="00615113"/>
    <w:rsid w:val="006176FB"/>
    <w:rsid w:val="00624A0E"/>
    <w:rsid w:val="00626968"/>
    <w:rsid w:val="006324AC"/>
    <w:rsid w:val="00633405"/>
    <w:rsid w:val="0063419C"/>
    <w:rsid w:val="00634C2F"/>
    <w:rsid w:val="00635CF4"/>
    <w:rsid w:val="00636367"/>
    <w:rsid w:val="00640B26"/>
    <w:rsid w:val="006418B9"/>
    <w:rsid w:val="00641FA0"/>
    <w:rsid w:val="00642431"/>
    <w:rsid w:val="0064265A"/>
    <w:rsid w:val="00644CC0"/>
    <w:rsid w:val="006500BA"/>
    <w:rsid w:val="00650C47"/>
    <w:rsid w:val="00657F62"/>
    <w:rsid w:val="0066279A"/>
    <w:rsid w:val="00663EFB"/>
    <w:rsid w:val="00664979"/>
    <w:rsid w:val="006659C1"/>
    <w:rsid w:val="00670E29"/>
    <w:rsid w:val="0067269B"/>
    <w:rsid w:val="00672767"/>
    <w:rsid w:val="006730CA"/>
    <w:rsid w:val="006737C7"/>
    <w:rsid w:val="00673D04"/>
    <w:rsid w:val="006744B2"/>
    <w:rsid w:val="006758DA"/>
    <w:rsid w:val="00684879"/>
    <w:rsid w:val="00685D57"/>
    <w:rsid w:val="00690D46"/>
    <w:rsid w:val="00694C02"/>
    <w:rsid w:val="006A025B"/>
    <w:rsid w:val="006A389C"/>
    <w:rsid w:val="006A7392"/>
    <w:rsid w:val="006A7B01"/>
    <w:rsid w:val="006B029B"/>
    <w:rsid w:val="006B04F7"/>
    <w:rsid w:val="006B1156"/>
    <w:rsid w:val="006B157F"/>
    <w:rsid w:val="006B2882"/>
    <w:rsid w:val="006B38D1"/>
    <w:rsid w:val="006B46FE"/>
    <w:rsid w:val="006B66F7"/>
    <w:rsid w:val="006C0D34"/>
    <w:rsid w:val="006C329D"/>
    <w:rsid w:val="006C6056"/>
    <w:rsid w:val="006C662A"/>
    <w:rsid w:val="006C6884"/>
    <w:rsid w:val="006C771D"/>
    <w:rsid w:val="006D12D5"/>
    <w:rsid w:val="006D295D"/>
    <w:rsid w:val="006D3366"/>
    <w:rsid w:val="006D5225"/>
    <w:rsid w:val="006E0E52"/>
    <w:rsid w:val="006E42A8"/>
    <w:rsid w:val="006E4493"/>
    <w:rsid w:val="006E564B"/>
    <w:rsid w:val="006E5C33"/>
    <w:rsid w:val="006E6B29"/>
    <w:rsid w:val="006E7AFD"/>
    <w:rsid w:val="006F24A5"/>
    <w:rsid w:val="006F2724"/>
    <w:rsid w:val="006F3576"/>
    <w:rsid w:val="006F71FB"/>
    <w:rsid w:val="006F72DE"/>
    <w:rsid w:val="007002F0"/>
    <w:rsid w:val="00702B60"/>
    <w:rsid w:val="00704DBF"/>
    <w:rsid w:val="007078C6"/>
    <w:rsid w:val="00710B9C"/>
    <w:rsid w:val="00710C79"/>
    <w:rsid w:val="00712144"/>
    <w:rsid w:val="00717393"/>
    <w:rsid w:val="0071739D"/>
    <w:rsid w:val="00721CA8"/>
    <w:rsid w:val="00725476"/>
    <w:rsid w:val="0072593B"/>
    <w:rsid w:val="0072632A"/>
    <w:rsid w:val="00734256"/>
    <w:rsid w:val="00735B34"/>
    <w:rsid w:val="007367D6"/>
    <w:rsid w:val="00737EF7"/>
    <w:rsid w:val="00740935"/>
    <w:rsid w:val="00741191"/>
    <w:rsid w:val="00741499"/>
    <w:rsid w:val="00743A82"/>
    <w:rsid w:val="00745209"/>
    <w:rsid w:val="00753114"/>
    <w:rsid w:val="00755427"/>
    <w:rsid w:val="007575F5"/>
    <w:rsid w:val="00762523"/>
    <w:rsid w:val="00762901"/>
    <w:rsid w:val="00762F2A"/>
    <w:rsid w:val="00763522"/>
    <w:rsid w:val="00763C09"/>
    <w:rsid w:val="0076405E"/>
    <w:rsid w:val="00764E9E"/>
    <w:rsid w:val="00765DDF"/>
    <w:rsid w:val="00766298"/>
    <w:rsid w:val="00770E6F"/>
    <w:rsid w:val="00771C45"/>
    <w:rsid w:val="007745C8"/>
    <w:rsid w:val="007759E8"/>
    <w:rsid w:val="00776BB6"/>
    <w:rsid w:val="00776D6C"/>
    <w:rsid w:val="007778B4"/>
    <w:rsid w:val="00780507"/>
    <w:rsid w:val="00783387"/>
    <w:rsid w:val="007875A4"/>
    <w:rsid w:val="00790791"/>
    <w:rsid w:val="00797D11"/>
    <w:rsid w:val="007A2446"/>
    <w:rsid w:val="007A24EE"/>
    <w:rsid w:val="007A3072"/>
    <w:rsid w:val="007A5B7B"/>
    <w:rsid w:val="007A5E85"/>
    <w:rsid w:val="007A6FFA"/>
    <w:rsid w:val="007B1A7E"/>
    <w:rsid w:val="007B342D"/>
    <w:rsid w:val="007B6BA5"/>
    <w:rsid w:val="007C3390"/>
    <w:rsid w:val="007C38EB"/>
    <w:rsid w:val="007C4F4B"/>
    <w:rsid w:val="007C745B"/>
    <w:rsid w:val="007C77F8"/>
    <w:rsid w:val="007D2AB7"/>
    <w:rsid w:val="007D43B1"/>
    <w:rsid w:val="007D53E0"/>
    <w:rsid w:val="007D565F"/>
    <w:rsid w:val="007E1454"/>
    <w:rsid w:val="007E2962"/>
    <w:rsid w:val="007E4FD4"/>
    <w:rsid w:val="007E5A31"/>
    <w:rsid w:val="007F0FB3"/>
    <w:rsid w:val="007F13EB"/>
    <w:rsid w:val="007F1C6D"/>
    <w:rsid w:val="007F2058"/>
    <w:rsid w:val="007F22B0"/>
    <w:rsid w:val="007F35B8"/>
    <w:rsid w:val="007F438A"/>
    <w:rsid w:val="007F5B49"/>
    <w:rsid w:val="007F6611"/>
    <w:rsid w:val="00800E15"/>
    <w:rsid w:val="00800F48"/>
    <w:rsid w:val="00801182"/>
    <w:rsid w:val="00806024"/>
    <w:rsid w:val="00811FF1"/>
    <w:rsid w:val="00812C0A"/>
    <w:rsid w:val="00815A2F"/>
    <w:rsid w:val="00815FD5"/>
    <w:rsid w:val="00816C52"/>
    <w:rsid w:val="008175E9"/>
    <w:rsid w:val="00821459"/>
    <w:rsid w:val="00821672"/>
    <w:rsid w:val="00821A3E"/>
    <w:rsid w:val="008242D7"/>
    <w:rsid w:val="0082677B"/>
    <w:rsid w:val="008315FD"/>
    <w:rsid w:val="00833414"/>
    <w:rsid w:val="00834AC8"/>
    <w:rsid w:val="0083561E"/>
    <w:rsid w:val="00837F38"/>
    <w:rsid w:val="00841236"/>
    <w:rsid w:val="00842149"/>
    <w:rsid w:val="008424A8"/>
    <w:rsid w:val="00842518"/>
    <w:rsid w:val="008454BF"/>
    <w:rsid w:val="008474D0"/>
    <w:rsid w:val="00847E99"/>
    <w:rsid w:val="008540B7"/>
    <w:rsid w:val="00856A26"/>
    <w:rsid w:val="0085759F"/>
    <w:rsid w:val="0086261F"/>
    <w:rsid w:val="00864218"/>
    <w:rsid w:val="00865234"/>
    <w:rsid w:val="00866C98"/>
    <w:rsid w:val="008676F3"/>
    <w:rsid w:val="00871FD5"/>
    <w:rsid w:val="0087266A"/>
    <w:rsid w:val="00872970"/>
    <w:rsid w:val="00872DD0"/>
    <w:rsid w:val="0088163F"/>
    <w:rsid w:val="00881FA0"/>
    <w:rsid w:val="00881FE3"/>
    <w:rsid w:val="0088217A"/>
    <w:rsid w:val="0088572C"/>
    <w:rsid w:val="008904B8"/>
    <w:rsid w:val="00892AB6"/>
    <w:rsid w:val="00893711"/>
    <w:rsid w:val="00897871"/>
    <w:rsid w:val="008979B1"/>
    <w:rsid w:val="008A482C"/>
    <w:rsid w:val="008A4A53"/>
    <w:rsid w:val="008A6B25"/>
    <w:rsid w:val="008A6C4F"/>
    <w:rsid w:val="008B2404"/>
    <w:rsid w:val="008B4BA6"/>
    <w:rsid w:val="008B6E2D"/>
    <w:rsid w:val="008C48A1"/>
    <w:rsid w:val="008C761D"/>
    <w:rsid w:val="008D27AF"/>
    <w:rsid w:val="008D37D5"/>
    <w:rsid w:val="008E0E46"/>
    <w:rsid w:val="008E2354"/>
    <w:rsid w:val="008E3B43"/>
    <w:rsid w:val="008E58AF"/>
    <w:rsid w:val="008E7948"/>
    <w:rsid w:val="008F1AE5"/>
    <w:rsid w:val="008F446D"/>
    <w:rsid w:val="00901E50"/>
    <w:rsid w:val="00903E44"/>
    <w:rsid w:val="0090743F"/>
    <w:rsid w:val="00911ADB"/>
    <w:rsid w:val="00913EAD"/>
    <w:rsid w:val="0091681F"/>
    <w:rsid w:val="00925F6E"/>
    <w:rsid w:val="0093228C"/>
    <w:rsid w:val="00935FA4"/>
    <w:rsid w:val="00936DD8"/>
    <w:rsid w:val="009376F4"/>
    <w:rsid w:val="00945A5D"/>
    <w:rsid w:val="00945A7F"/>
    <w:rsid w:val="0095385C"/>
    <w:rsid w:val="009606CB"/>
    <w:rsid w:val="00960887"/>
    <w:rsid w:val="009624BE"/>
    <w:rsid w:val="00963CBA"/>
    <w:rsid w:val="00966D12"/>
    <w:rsid w:val="00967793"/>
    <w:rsid w:val="00970AE7"/>
    <w:rsid w:val="0097117D"/>
    <w:rsid w:val="009737F8"/>
    <w:rsid w:val="00973B9A"/>
    <w:rsid w:val="00974F0E"/>
    <w:rsid w:val="009763BC"/>
    <w:rsid w:val="009771BA"/>
    <w:rsid w:val="00980CA7"/>
    <w:rsid w:val="009867FC"/>
    <w:rsid w:val="00987337"/>
    <w:rsid w:val="0099124E"/>
    <w:rsid w:val="00991261"/>
    <w:rsid w:val="009934A8"/>
    <w:rsid w:val="0099569F"/>
    <w:rsid w:val="009A51DA"/>
    <w:rsid w:val="009B2A64"/>
    <w:rsid w:val="009B4FAB"/>
    <w:rsid w:val="009B5C48"/>
    <w:rsid w:val="009B5F6A"/>
    <w:rsid w:val="009B70D5"/>
    <w:rsid w:val="009D1290"/>
    <w:rsid w:val="009D1AAE"/>
    <w:rsid w:val="009D3F94"/>
    <w:rsid w:val="009D53C7"/>
    <w:rsid w:val="009D60F6"/>
    <w:rsid w:val="009D7B47"/>
    <w:rsid w:val="009E1872"/>
    <w:rsid w:val="009E671E"/>
    <w:rsid w:val="009F058B"/>
    <w:rsid w:val="009F0F06"/>
    <w:rsid w:val="009F4303"/>
    <w:rsid w:val="009F58CC"/>
    <w:rsid w:val="009F7667"/>
    <w:rsid w:val="009F7EBA"/>
    <w:rsid w:val="00A01DFE"/>
    <w:rsid w:val="00A02CF2"/>
    <w:rsid w:val="00A10CF0"/>
    <w:rsid w:val="00A1427D"/>
    <w:rsid w:val="00A14DBD"/>
    <w:rsid w:val="00A23F64"/>
    <w:rsid w:val="00A248E3"/>
    <w:rsid w:val="00A25A2E"/>
    <w:rsid w:val="00A2716D"/>
    <w:rsid w:val="00A30E3C"/>
    <w:rsid w:val="00A32E35"/>
    <w:rsid w:val="00A3666C"/>
    <w:rsid w:val="00A417BB"/>
    <w:rsid w:val="00A42EA2"/>
    <w:rsid w:val="00A43587"/>
    <w:rsid w:val="00A47B0C"/>
    <w:rsid w:val="00A51035"/>
    <w:rsid w:val="00A550E1"/>
    <w:rsid w:val="00A56184"/>
    <w:rsid w:val="00A57EF0"/>
    <w:rsid w:val="00A62318"/>
    <w:rsid w:val="00A63A87"/>
    <w:rsid w:val="00A64D61"/>
    <w:rsid w:val="00A714D0"/>
    <w:rsid w:val="00A72F22"/>
    <w:rsid w:val="00A748A6"/>
    <w:rsid w:val="00A75EC9"/>
    <w:rsid w:val="00A775F6"/>
    <w:rsid w:val="00A82260"/>
    <w:rsid w:val="00A8523D"/>
    <w:rsid w:val="00A879A4"/>
    <w:rsid w:val="00AA5227"/>
    <w:rsid w:val="00AA6228"/>
    <w:rsid w:val="00AA6A2F"/>
    <w:rsid w:val="00AB057B"/>
    <w:rsid w:val="00AB315A"/>
    <w:rsid w:val="00AB33D9"/>
    <w:rsid w:val="00AB571F"/>
    <w:rsid w:val="00AB5AA7"/>
    <w:rsid w:val="00AC5701"/>
    <w:rsid w:val="00AD25B7"/>
    <w:rsid w:val="00AD615E"/>
    <w:rsid w:val="00AD6A0A"/>
    <w:rsid w:val="00AE47DB"/>
    <w:rsid w:val="00AE4A6A"/>
    <w:rsid w:val="00AE4A7D"/>
    <w:rsid w:val="00AE4C73"/>
    <w:rsid w:val="00AE4D5C"/>
    <w:rsid w:val="00AE764E"/>
    <w:rsid w:val="00AF37EF"/>
    <w:rsid w:val="00AF73CE"/>
    <w:rsid w:val="00B00A7F"/>
    <w:rsid w:val="00B02475"/>
    <w:rsid w:val="00B07CB1"/>
    <w:rsid w:val="00B102ED"/>
    <w:rsid w:val="00B14140"/>
    <w:rsid w:val="00B20035"/>
    <w:rsid w:val="00B201C5"/>
    <w:rsid w:val="00B20ECC"/>
    <w:rsid w:val="00B2154A"/>
    <w:rsid w:val="00B21C6C"/>
    <w:rsid w:val="00B26818"/>
    <w:rsid w:val="00B30179"/>
    <w:rsid w:val="00B30250"/>
    <w:rsid w:val="00B3101E"/>
    <w:rsid w:val="00B3317B"/>
    <w:rsid w:val="00B33F1E"/>
    <w:rsid w:val="00B410AD"/>
    <w:rsid w:val="00B43846"/>
    <w:rsid w:val="00B44820"/>
    <w:rsid w:val="00B45EC3"/>
    <w:rsid w:val="00B51A01"/>
    <w:rsid w:val="00B53F26"/>
    <w:rsid w:val="00B556BF"/>
    <w:rsid w:val="00B56B78"/>
    <w:rsid w:val="00B60932"/>
    <w:rsid w:val="00B64BD7"/>
    <w:rsid w:val="00B706C0"/>
    <w:rsid w:val="00B72283"/>
    <w:rsid w:val="00B81E12"/>
    <w:rsid w:val="00B84094"/>
    <w:rsid w:val="00B84232"/>
    <w:rsid w:val="00B84362"/>
    <w:rsid w:val="00B84A6A"/>
    <w:rsid w:val="00B92431"/>
    <w:rsid w:val="00B93068"/>
    <w:rsid w:val="00B96613"/>
    <w:rsid w:val="00B9787B"/>
    <w:rsid w:val="00BA22E8"/>
    <w:rsid w:val="00BA58F0"/>
    <w:rsid w:val="00BA5991"/>
    <w:rsid w:val="00BB176D"/>
    <w:rsid w:val="00BB43C1"/>
    <w:rsid w:val="00BB4EA3"/>
    <w:rsid w:val="00BB4F02"/>
    <w:rsid w:val="00BB7AC7"/>
    <w:rsid w:val="00BC03B3"/>
    <w:rsid w:val="00BC090C"/>
    <w:rsid w:val="00BC17B5"/>
    <w:rsid w:val="00BC1B53"/>
    <w:rsid w:val="00BC3CE8"/>
    <w:rsid w:val="00BC5492"/>
    <w:rsid w:val="00BC74E9"/>
    <w:rsid w:val="00BD17C0"/>
    <w:rsid w:val="00BD1A4C"/>
    <w:rsid w:val="00BD1B81"/>
    <w:rsid w:val="00BD2BF0"/>
    <w:rsid w:val="00BD52ED"/>
    <w:rsid w:val="00BD5B57"/>
    <w:rsid w:val="00BE2710"/>
    <w:rsid w:val="00BE3932"/>
    <w:rsid w:val="00BE5222"/>
    <w:rsid w:val="00BE618E"/>
    <w:rsid w:val="00BE6EEE"/>
    <w:rsid w:val="00BE716B"/>
    <w:rsid w:val="00BF0E8B"/>
    <w:rsid w:val="00BF1367"/>
    <w:rsid w:val="00BF13E6"/>
    <w:rsid w:val="00C00F60"/>
    <w:rsid w:val="00C01C4D"/>
    <w:rsid w:val="00C01EC5"/>
    <w:rsid w:val="00C0342D"/>
    <w:rsid w:val="00C108FA"/>
    <w:rsid w:val="00C129D6"/>
    <w:rsid w:val="00C1402C"/>
    <w:rsid w:val="00C14B84"/>
    <w:rsid w:val="00C20131"/>
    <w:rsid w:val="00C2261B"/>
    <w:rsid w:val="00C22CE1"/>
    <w:rsid w:val="00C269BC"/>
    <w:rsid w:val="00C34242"/>
    <w:rsid w:val="00C34784"/>
    <w:rsid w:val="00C349DF"/>
    <w:rsid w:val="00C37780"/>
    <w:rsid w:val="00C463DD"/>
    <w:rsid w:val="00C50AAB"/>
    <w:rsid w:val="00C62F76"/>
    <w:rsid w:val="00C662C6"/>
    <w:rsid w:val="00C66BC5"/>
    <w:rsid w:val="00C70DA8"/>
    <w:rsid w:val="00C718B4"/>
    <w:rsid w:val="00C745C3"/>
    <w:rsid w:val="00C77B1E"/>
    <w:rsid w:val="00C808CA"/>
    <w:rsid w:val="00C80FCC"/>
    <w:rsid w:val="00C91469"/>
    <w:rsid w:val="00C924F2"/>
    <w:rsid w:val="00C92EC4"/>
    <w:rsid w:val="00CA4788"/>
    <w:rsid w:val="00CA66C1"/>
    <w:rsid w:val="00CB501C"/>
    <w:rsid w:val="00CC4E48"/>
    <w:rsid w:val="00CD3225"/>
    <w:rsid w:val="00CD4AA2"/>
    <w:rsid w:val="00CD5800"/>
    <w:rsid w:val="00CE2CC5"/>
    <w:rsid w:val="00CE46BA"/>
    <w:rsid w:val="00CE4A8F"/>
    <w:rsid w:val="00CE60CD"/>
    <w:rsid w:val="00CF73A5"/>
    <w:rsid w:val="00CF7514"/>
    <w:rsid w:val="00D021F1"/>
    <w:rsid w:val="00D054AC"/>
    <w:rsid w:val="00D16A38"/>
    <w:rsid w:val="00D2031B"/>
    <w:rsid w:val="00D221A3"/>
    <w:rsid w:val="00D230C7"/>
    <w:rsid w:val="00D234E4"/>
    <w:rsid w:val="00D2531E"/>
    <w:rsid w:val="00D25FE2"/>
    <w:rsid w:val="00D302B3"/>
    <w:rsid w:val="00D30A99"/>
    <w:rsid w:val="00D374BD"/>
    <w:rsid w:val="00D40E86"/>
    <w:rsid w:val="00D43252"/>
    <w:rsid w:val="00D4529D"/>
    <w:rsid w:val="00D46231"/>
    <w:rsid w:val="00D511CA"/>
    <w:rsid w:val="00D53910"/>
    <w:rsid w:val="00D56932"/>
    <w:rsid w:val="00D6238C"/>
    <w:rsid w:val="00D628F2"/>
    <w:rsid w:val="00D62A91"/>
    <w:rsid w:val="00D62E7E"/>
    <w:rsid w:val="00D6615E"/>
    <w:rsid w:val="00D66780"/>
    <w:rsid w:val="00D731F3"/>
    <w:rsid w:val="00D74984"/>
    <w:rsid w:val="00D753D8"/>
    <w:rsid w:val="00D75DFA"/>
    <w:rsid w:val="00D85F26"/>
    <w:rsid w:val="00D863EA"/>
    <w:rsid w:val="00D868D0"/>
    <w:rsid w:val="00D94D46"/>
    <w:rsid w:val="00D96CC5"/>
    <w:rsid w:val="00D96F6B"/>
    <w:rsid w:val="00D978C6"/>
    <w:rsid w:val="00DA051C"/>
    <w:rsid w:val="00DA15E0"/>
    <w:rsid w:val="00DA42D4"/>
    <w:rsid w:val="00DA57CC"/>
    <w:rsid w:val="00DA5DFB"/>
    <w:rsid w:val="00DA66FB"/>
    <w:rsid w:val="00DA67AD"/>
    <w:rsid w:val="00DB063B"/>
    <w:rsid w:val="00DB54AB"/>
    <w:rsid w:val="00DB6BA1"/>
    <w:rsid w:val="00DC0A7B"/>
    <w:rsid w:val="00DD4FE9"/>
    <w:rsid w:val="00DE02F7"/>
    <w:rsid w:val="00DE6FB3"/>
    <w:rsid w:val="00DE7071"/>
    <w:rsid w:val="00DF1C6D"/>
    <w:rsid w:val="00DF28A0"/>
    <w:rsid w:val="00DF2F95"/>
    <w:rsid w:val="00DF6C0A"/>
    <w:rsid w:val="00E116BE"/>
    <w:rsid w:val="00E130AB"/>
    <w:rsid w:val="00E145C4"/>
    <w:rsid w:val="00E1679E"/>
    <w:rsid w:val="00E21C2A"/>
    <w:rsid w:val="00E21F98"/>
    <w:rsid w:val="00E23775"/>
    <w:rsid w:val="00E24465"/>
    <w:rsid w:val="00E26C1D"/>
    <w:rsid w:val="00E312B0"/>
    <w:rsid w:val="00E34355"/>
    <w:rsid w:val="00E351E1"/>
    <w:rsid w:val="00E37BD1"/>
    <w:rsid w:val="00E409C8"/>
    <w:rsid w:val="00E40D70"/>
    <w:rsid w:val="00E4153E"/>
    <w:rsid w:val="00E429CD"/>
    <w:rsid w:val="00E44927"/>
    <w:rsid w:val="00E45F79"/>
    <w:rsid w:val="00E479C9"/>
    <w:rsid w:val="00E47DD9"/>
    <w:rsid w:val="00E52830"/>
    <w:rsid w:val="00E52C71"/>
    <w:rsid w:val="00E55C1E"/>
    <w:rsid w:val="00E5644E"/>
    <w:rsid w:val="00E5766A"/>
    <w:rsid w:val="00E57BF2"/>
    <w:rsid w:val="00E608E2"/>
    <w:rsid w:val="00E60928"/>
    <w:rsid w:val="00E62AEE"/>
    <w:rsid w:val="00E650B3"/>
    <w:rsid w:val="00E66779"/>
    <w:rsid w:val="00E7260F"/>
    <w:rsid w:val="00E72756"/>
    <w:rsid w:val="00E73D81"/>
    <w:rsid w:val="00E761B7"/>
    <w:rsid w:val="00E76EA5"/>
    <w:rsid w:val="00E81230"/>
    <w:rsid w:val="00E8535A"/>
    <w:rsid w:val="00E86659"/>
    <w:rsid w:val="00E91ACF"/>
    <w:rsid w:val="00E947C8"/>
    <w:rsid w:val="00E96630"/>
    <w:rsid w:val="00E96FCD"/>
    <w:rsid w:val="00EA0882"/>
    <w:rsid w:val="00EA33BC"/>
    <w:rsid w:val="00EA4C3D"/>
    <w:rsid w:val="00EA715E"/>
    <w:rsid w:val="00EA772F"/>
    <w:rsid w:val="00EB14AA"/>
    <w:rsid w:val="00EB1776"/>
    <w:rsid w:val="00EB3877"/>
    <w:rsid w:val="00EB6832"/>
    <w:rsid w:val="00EB6F20"/>
    <w:rsid w:val="00EC22A4"/>
    <w:rsid w:val="00EC271A"/>
    <w:rsid w:val="00EC369C"/>
    <w:rsid w:val="00EC45E2"/>
    <w:rsid w:val="00EC60D9"/>
    <w:rsid w:val="00ED2292"/>
    <w:rsid w:val="00ED2466"/>
    <w:rsid w:val="00ED7A2A"/>
    <w:rsid w:val="00EE07A6"/>
    <w:rsid w:val="00EE1131"/>
    <w:rsid w:val="00EE16B4"/>
    <w:rsid w:val="00EE56AB"/>
    <w:rsid w:val="00EE6D49"/>
    <w:rsid w:val="00EE6EB0"/>
    <w:rsid w:val="00EF1D7F"/>
    <w:rsid w:val="00EF28C5"/>
    <w:rsid w:val="00EF301A"/>
    <w:rsid w:val="00EF4D65"/>
    <w:rsid w:val="00EF7197"/>
    <w:rsid w:val="00F000EB"/>
    <w:rsid w:val="00F045FC"/>
    <w:rsid w:val="00F04E11"/>
    <w:rsid w:val="00F1363D"/>
    <w:rsid w:val="00F13CE1"/>
    <w:rsid w:val="00F149E9"/>
    <w:rsid w:val="00F1592A"/>
    <w:rsid w:val="00F169CD"/>
    <w:rsid w:val="00F21E7B"/>
    <w:rsid w:val="00F2344F"/>
    <w:rsid w:val="00F23EFD"/>
    <w:rsid w:val="00F261C2"/>
    <w:rsid w:val="00F32522"/>
    <w:rsid w:val="00F32CA8"/>
    <w:rsid w:val="00F341CB"/>
    <w:rsid w:val="00F36CA9"/>
    <w:rsid w:val="00F400AF"/>
    <w:rsid w:val="00F40E75"/>
    <w:rsid w:val="00F444D8"/>
    <w:rsid w:val="00F47D45"/>
    <w:rsid w:val="00F53328"/>
    <w:rsid w:val="00F54674"/>
    <w:rsid w:val="00F54ED1"/>
    <w:rsid w:val="00F55A88"/>
    <w:rsid w:val="00F64FA8"/>
    <w:rsid w:val="00F668F3"/>
    <w:rsid w:val="00F66AA5"/>
    <w:rsid w:val="00F67D3E"/>
    <w:rsid w:val="00F76BC9"/>
    <w:rsid w:val="00F80DA9"/>
    <w:rsid w:val="00F84FCD"/>
    <w:rsid w:val="00F860FD"/>
    <w:rsid w:val="00F97B46"/>
    <w:rsid w:val="00F97C88"/>
    <w:rsid w:val="00FB0347"/>
    <w:rsid w:val="00FB04FB"/>
    <w:rsid w:val="00FB3781"/>
    <w:rsid w:val="00FB495A"/>
    <w:rsid w:val="00FB5D33"/>
    <w:rsid w:val="00FC5E7C"/>
    <w:rsid w:val="00FC68B7"/>
    <w:rsid w:val="00FD3014"/>
    <w:rsid w:val="00FD4020"/>
    <w:rsid w:val="00FD446B"/>
    <w:rsid w:val="00FD6B2B"/>
    <w:rsid w:val="00FD7756"/>
    <w:rsid w:val="00FE1B35"/>
    <w:rsid w:val="00FE2A31"/>
    <w:rsid w:val="00FE4982"/>
    <w:rsid w:val="00FE4DFC"/>
    <w:rsid w:val="00FE70F9"/>
    <w:rsid w:val="00FE7507"/>
    <w:rsid w:val="00FE755F"/>
    <w:rsid w:val="00FF03BB"/>
    <w:rsid w:val="00FF04AD"/>
    <w:rsid w:val="00FF2047"/>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4AD85C"/>
  <w15:docId w15:val="{F2FEDAC5-49DB-447C-8A01-2418C463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yleBold">
    <w:name w:val="Style Bold"/>
    <w:semiHidden/>
    <w:rsid w:val="006E6B29"/>
    <w:rPr>
      <w:rFonts w:ascii="Times New Roman" w:hAnsi="Times New Roman"/>
      <w:b/>
      <w:bCs/>
    </w:rPr>
  </w:style>
  <w:style w:type="character" w:customStyle="1" w:styleId="SingleTxtGCar">
    <w:name w:val="_ Single Txt_G Car"/>
    <w:rsid w:val="001B56F0"/>
    <w:rPr>
      <w:lang w:eastAsia="en-US"/>
    </w:rPr>
  </w:style>
  <w:style w:type="paragraph" w:customStyle="1" w:styleId="p1">
    <w:name w:val="p1"/>
    <w:basedOn w:val="Normal"/>
    <w:rsid w:val="00D62E7E"/>
    <w:pPr>
      <w:suppressAutoHyphens w:val="0"/>
      <w:spacing w:line="240" w:lineRule="auto"/>
    </w:pPr>
    <w:rPr>
      <w:rFonts w:ascii="Helvetica" w:hAnsi="Helvetica"/>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4838">
      <w:bodyDiv w:val="1"/>
      <w:marLeft w:val="0"/>
      <w:marRight w:val="0"/>
      <w:marTop w:val="0"/>
      <w:marBottom w:val="0"/>
      <w:divBdr>
        <w:top w:val="none" w:sz="0" w:space="0" w:color="auto"/>
        <w:left w:val="none" w:sz="0" w:space="0" w:color="auto"/>
        <w:bottom w:val="none" w:sz="0" w:space="0" w:color="auto"/>
        <w:right w:val="none" w:sz="0" w:space="0" w:color="auto"/>
      </w:divBdr>
    </w:div>
    <w:div w:id="1308315821">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 w:id="1645814308">
      <w:bodyDiv w:val="1"/>
      <w:marLeft w:val="0"/>
      <w:marRight w:val="0"/>
      <w:marTop w:val="0"/>
      <w:marBottom w:val="0"/>
      <w:divBdr>
        <w:top w:val="none" w:sz="0" w:space="0" w:color="auto"/>
        <w:left w:val="none" w:sz="0" w:space="0" w:color="auto"/>
        <w:bottom w:val="none" w:sz="0" w:space="0" w:color="auto"/>
        <w:right w:val="none" w:sz="0" w:space="0" w:color="auto"/>
      </w:divBdr>
    </w:div>
    <w:div w:id="20794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B709-C178-4380-904D-3F2FD754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31</TotalTime>
  <Pages>4</Pages>
  <Words>1308</Words>
  <Characters>6779</Characters>
  <Application>Microsoft Office Word</Application>
  <DocSecurity>0</DocSecurity>
  <Lines>135</Lines>
  <Paragraphs>53</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2019-04-16T08:57:00Z</cp:lastPrinted>
  <dcterms:created xsi:type="dcterms:W3CDTF">2019-04-16T06:58:00Z</dcterms:created>
  <dcterms:modified xsi:type="dcterms:W3CDTF">2019-04-16T08:58:00Z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464326829</vt:i4>
  </property>
</Properties>
</file>