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659ED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2659E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2659E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13328400" w:rsidR="00FC215C" w:rsidRPr="002659ED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2659ED">
              <w:rPr>
                <w:b/>
                <w:sz w:val="40"/>
                <w:szCs w:val="40"/>
              </w:rPr>
              <w:t>UN/SCETDG/</w:t>
            </w:r>
            <w:r w:rsidR="00CE74ED" w:rsidRPr="002659ED">
              <w:rPr>
                <w:b/>
                <w:sz w:val="40"/>
                <w:szCs w:val="40"/>
              </w:rPr>
              <w:t>5</w:t>
            </w:r>
            <w:r w:rsidR="00EE2966" w:rsidRPr="002659ED">
              <w:rPr>
                <w:b/>
                <w:sz w:val="40"/>
                <w:szCs w:val="40"/>
              </w:rPr>
              <w:t>6</w:t>
            </w:r>
            <w:r w:rsidRPr="002659ED">
              <w:rPr>
                <w:b/>
                <w:sz w:val="40"/>
                <w:szCs w:val="40"/>
              </w:rPr>
              <w:t>/INF.</w:t>
            </w:r>
            <w:r w:rsidR="005D3D4C">
              <w:rPr>
                <w:b/>
                <w:sz w:val="40"/>
                <w:szCs w:val="40"/>
              </w:rPr>
              <w:t>52</w:t>
            </w:r>
          </w:p>
          <w:p w14:paraId="23600409" w14:textId="77777777" w:rsidR="000216CC" w:rsidRPr="002659ED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2659ED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9CAF7BF" w:rsidR="00645A0B" w:rsidRPr="002659ED" w:rsidRDefault="00645A0B" w:rsidP="00004866">
            <w:pPr>
              <w:tabs>
                <w:tab w:val="right" w:pos="9214"/>
              </w:tabs>
            </w:pPr>
            <w:r w:rsidRPr="002659ED">
              <w:rPr>
                <w:b/>
                <w:sz w:val="24"/>
                <w:szCs w:val="24"/>
              </w:rPr>
              <w:t>Committee of Experts on the Transport of Dangerous Goods</w:t>
            </w:r>
            <w:r w:rsidRPr="002659ED">
              <w:rPr>
                <w:b/>
                <w:sz w:val="24"/>
                <w:szCs w:val="24"/>
              </w:rPr>
              <w:tab/>
            </w:r>
            <w:r w:rsidRPr="002659E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659ED">
              <w:rPr>
                <w:b/>
                <w:sz w:val="24"/>
                <w:szCs w:val="24"/>
              </w:rPr>
              <w:br/>
              <w:t>and Labelling of Chemicals</w:t>
            </w:r>
            <w:r w:rsidRPr="002659ED">
              <w:rPr>
                <w:b/>
              </w:rPr>
              <w:tab/>
            </w:r>
            <w:r w:rsidR="005D3D4C">
              <w:rPr>
                <w:b/>
              </w:rPr>
              <w:t>9</w:t>
            </w:r>
            <w:r w:rsidR="00E422B7" w:rsidRPr="002659ED">
              <w:rPr>
                <w:b/>
              </w:rPr>
              <w:t xml:space="preserve"> </w:t>
            </w:r>
            <w:r w:rsidR="00793317">
              <w:rPr>
                <w:b/>
              </w:rPr>
              <w:t>December</w:t>
            </w:r>
            <w:r w:rsidR="006216A1" w:rsidRPr="002659ED">
              <w:rPr>
                <w:b/>
              </w:rPr>
              <w:t xml:space="preserve"> </w:t>
            </w:r>
            <w:r w:rsidR="006A53DC" w:rsidRPr="002659ED">
              <w:rPr>
                <w:b/>
              </w:rPr>
              <w:t>2019</w:t>
            </w:r>
          </w:p>
        </w:tc>
      </w:tr>
      <w:tr w:rsidR="00645A0B" w:rsidRPr="002659ED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2659ED" w:rsidRDefault="00645A0B" w:rsidP="00D73803">
            <w:pPr>
              <w:spacing w:before="40"/>
              <w:rPr>
                <w:b/>
              </w:rPr>
            </w:pPr>
            <w:r w:rsidRPr="002659ED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2659E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2659ED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38CB3F" w:rsidR="00645A0B" w:rsidRPr="002659ED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2659ED">
              <w:rPr>
                <w:b/>
              </w:rPr>
              <w:t>Fifty-</w:t>
            </w:r>
            <w:r w:rsidR="00EE2966" w:rsidRPr="002659ED">
              <w:rPr>
                <w:b/>
              </w:rPr>
              <w:t>sixth</w:t>
            </w:r>
            <w:r w:rsidRPr="002659ED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2659ED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2659ED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5CCC5A92" w:rsidR="00CE74ED" w:rsidRPr="002659ED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2659ED">
              <w:t xml:space="preserve">Geneva, </w:t>
            </w:r>
            <w:r w:rsidR="0085664B">
              <w:t>4</w:t>
            </w:r>
            <w:r w:rsidR="00B45BCD" w:rsidRPr="002659ED">
              <w:t>-1</w:t>
            </w:r>
            <w:r w:rsidR="0085664B">
              <w:t>0</w:t>
            </w:r>
            <w:r w:rsidRPr="002659ED">
              <w:t xml:space="preserve"> </w:t>
            </w:r>
            <w:r w:rsidR="00EE2966" w:rsidRPr="002659ED">
              <w:t>December</w:t>
            </w:r>
            <w:r w:rsidR="006A53DC" w:rsidRPr="002659ED">
              <w:t xml:space="preserve"> 2019</w:t>
            </w:r>
          </w:p>
          <w:p w14:paraId="178DA8E0" w14:textId="7FC2C6B5" w:rsidR="00645A0B" w:rsidRPr="002659ED" w:rsidRDefault="00A83451" w:rsidP="00EA48C4">
            <w:pPr>
              <w:spacing w:before="40"/>
              <w:ind w:left="34" w:hanging="34"/>
            </w:pPr>
            <w:r w:rsidRPr="002659ED">
              <w:t xml:space="preserve">Item </w:t>
            </w:r>
            <w:r w:rsidR="006D0B82" w:rsidRPr="002659ED">
              <w:t>7</w:t>
            </w:r>
            <w:r w:rsidR="00EE2966" w:rsidRPr="002659ED">
              <w:t xml:space="preserve"> </w:t>
            </w:r>
            <w:r w:rsidRPr="002659ED">
              <w:t>of the provisional agenda</w:t>
            </w:r>
          </w:p>
          <w:p w14:paraId="3094528C" w14:textId="1D69D7EF" w:rsidR="00645A0B" w:rsidRPr="002659ED" w:rsidRDefault="006D0B82" w:rsidP="006370A0">
            <w:pPr>
              <w:spacing w:before="40"/>
              <w:ind w:left="4" w:hanging="4"/>
              <w:rPr>
                <w:b/>
                <w:bCs/>
              </w:rPr>
            </w:pPr>
            <w:r w:rsidRPr="002659ED">
              <w:rPr>
                <w:b/>
                <w:bCs/>
              </w:rPr>
              <w:t>Global harmonization of transport of dangerous goods regulations with the Model Regulations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2659ED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4B5CBF50" w14:textId="23EAB802" w:rsidR="006D0B82" w:rsidRPr="002659ED" w:rsidRDefault="006D0B82" w:rsidP="006D0B82">
      <w:pPr>
        <w:pStyle w:val="HChG"/>
        <w:rPr>
          <w:lang w:val="en-GB"/>
        </w:rPr>
      </w:pPr>
      <w:r w:rsidRPr="002659ED">
        <w:rPr>
          <w:lang w:val="en-GB"/>
        </w:rPr>
        <w:tab/>
      </w:r>
      <w:r w:rsidRPr="002659ED">
        <w:rPr>
          <w:lang w:val="en-GB"/>
        </w:rPr>
        <w:tab/>
        <w:t>Harmonization of RID/ADR/ADN with the 21st revised edition of the United Nations Recommendations on the Transport of Dangerous Goods, Model Regulations</w:t>
      </w:r>
    </w:p>
    <w:p w14:paraId="75622A1A" w14:textId="01596CA8" w:rsidR="00D6123A" w:rsidRPr="002659ED" w:rsidRDefault="00D6123A" w:rsidP="00EE2966">
      <w:pPr>
        <w:pStyle w:val="H1G"/>
      </w:pPr>
      <w:r w:rsidRPr="002659ED">
        <w:rPr>
          <w:rFonts w:eastAsia="Arial Unicode MS" w:cs="Arial Unicode MS"/>
        </w:rPr>
        <w:tab/>
      </w:r>
      <w:r w:rsidRPr="002659ED">
        <w:rPr>
          <w:rFonts w:eastAsia="Arial Unicode MS" w:cs="Arial Unicode MS"/>
        </w:rPr>
        <w:tab/>
      </w:r>
      <w:r w:rsidR="006D0B82" w:rsidRPr="002659ED">
        <w:rPr>
          <w:rFonts w:eastAsia="Arial Unicode MS" w:cs="Arial Unicode MS"/>
        </w:rPr>
        <w:t>Note by the secretariat</w:t>
      </w:r>
    </w:p>
    <w:p w14:paraId="23E41956" w14:textId="0ABE0076" w:rsidR="00D60743" w:rsidRPr="002659ED" w:rsidRDefault="006370A0" w:rsidP="006370A0">
      <w:pPr>
        <w:pStyle w:val="HChG"/>
        <w:rPr>
          <w:lang w:val="en-GB"/>
        </w:rPr>
      </w:pPr>
      <w:r w:rsidRPr="002659ED">
        <w:rPr>
          <w:lang w:val="en-GB"/>
        </w:rPr>
        <w:tab/>
      </w:r>
      <w:r w:rsidRPr="002659ED">
        <w:rPr>
          <w:lang w:val="en-GB"/>
        </w:rPr>
        <w:tab/>
      </w:r>
      <w:r w:rsidR="00D60743" w:rsidRPr="002659ED">
        <w:rPr>
          <w:lang w:val="en-GB"/>
        </w:rPr>
        <w:t>Introduction</w:t>
      </w:r>
    </w:p>
    <w:p w14:paraId="5213847B" w14:textId="32E904F6" w:rsidR="00DB0A4E" w:rsidRPr="002659ED" w:rsidRDefault="00DB0A4E" w:rsidP="00DB0A4E">
      <w:pPr>
        <w:pStyle w:val="SingleTxtG"/>
        <w:rPr>
          <w:lang w:val="en-GB"/>
        </w:rPr>
      </w:pPr>
      <w:r w:rsidRPr="002659ED">
        <w:rPr>
          <w:lang w:val="en-GB"/>
        </w:rPr>
        <w:t>1.</w:t>
      </w:r>
      <w:r w:rsidRPr="002659ED">
        <w:rPr>
          <w:lang w:val="en-GB"/>
        </w:rPr>
        <w:tab/>
      </w:r>
      <w:r w:rsidR="005D3D4C">
        <w:rPr>
          <w:lang w:val="en-GB"/>
        </w:rPr>
        <w:t xml:space="preserve">The </w:t>
      </w:r>
      <w:r w:rsidR="005D3D4C" w:rsidRPr="00CE6D3E">
        <w:rPr>
          <w:lang w:val="en-US"/>
        </w:rPr>
        <w:t xml:space="preserve">Joint Meeting of Experts on the Regulations annexed to the European Agreement concerning the International Carriage of Dangerous Goods by Inland Waterways </w:t>
      </w:r>
      <w:r w:rsidR="005D3D4C">
        <w:rPr>
          <w:lang w:val="en-US"/>
        </w:rPr>
        <w:t xml:space="preserve">(ADN) </w:t>
      </w:r>
      <w:r w:rsidR="005D3D4C" w:rsidRPr="00CE6D3E">
        <w:rPr>
          <w:lang w:val="en-US"/>
        </w:rPr>
        <w:t>(ADN Safety Committee)</w:t>
      </w:r>
      <w:r w:rsidR="005D3D4C">
        <w:rPr>
          <w:lang w:val="en-US"/>
        </w:rPr>
        <w:t xml:space="preserve"> </w:t>
      </w:r>
      <w:r w:rsidRPr="002659ED">
        <w:rPr>
          <w:lang w:val="en-GB"/>
        </w:rPr>
        <w:t xml:space="preserve">met in Geneva from </w:t>
      </w:r>
      <w:r w:rsidR="005D3D4C">
        <w:rPr>
          <w:lang w:val="en-GB"/>
        </w:rPr>
        <w:t>26</w:t>
      </w:r>
      <w:r w:rsidRPr="002659ED">
        <w:rPr>
          <w:lang w:val="en-GB"/>
        </w:rPr>
        <w:t xml:space="preserve"> to </w:t>
      </w:r>
      <w:r w:rsidR="005D3D4C">
        <w:rPr>
          <w:lang w:val="en-GB"/>
        </w:rPr>
        <w:t>30</w:t>
      </w:r>
      <w:r w:rsidRPr="002659ED">
        <w:rPr>
          <w:lang w:val="en-GB"/>
        </w:rPr>
        <w:t xml:space="preserve"> </w:t>
      </w:r>
      <w:r w:rsidR="005D3D4C">
        <w:rPr>
          <w:lang w:val="en-GB"/>
        </w:rPr>
        <w:t>August</w:t>
      </w:r>
      <w:r w:rsidRPr="002659ED">
        <w:rPr>
          <w:lang w:val="en-GB"/>
        </w:rPr>
        <w:t xml:space="preserve"> 2019.</w:t>
      </w:r>
    </w:p>
    <w:p w14:paraId="63EC64B4" w14:textId="4527BDE9" w:rsidR="005D3D4C" w:rsidRDefault="00DB0A4E" w:rsidP="005D3D4C">
      <w:pPr>
        <w:pStyle w:val="SingleTxtG"/>
        <w:rPr>
          <w:lang w:val="en-GB"/>
        </w:rPr>
      </w:pPr>
      <w:r w:rsidRPr="002659ED">
        <w:rPr>
          <w:lang w:val="en-GB"/>
        </w:rPr>
        <w:t>2.</w:t>
      </w:r>
      <w:r w:rsidRPr="002659ED">
        <w:rPr>
          <w:lang w:val="en-GB"/>
        </w:rPr>
        <w:tab/>
        <w:t xml:space="preserve">At that session, </w:t>
      </w:r>
      <w:r w:rsidR="005D3D4C">
        <w:rPr>
          <w:lang w:val="en-GB"/>
        </w:rPr>
        <w:t xml:space="preserve">the </w:t>
      </w:r>
      <w:r w:rsidR="005D3D4C" w:rsidRPr="00CE6D3E">
        <w:rPr>
          <w:lang w:val="en-US"/>
        </w:rPr>
        <w:t>ADN Safety Committee</w:t>
      </w:r>
      <w:r w:rsidR="005D3D4C" w:rsidRPr="002659ED">
        <w:rPr>
          <w:lang w:val="en-GB"/>
        </w:rPr>
        <w:t xml:space="preserve"> </w:t>
      </w:r>
      <w:r w:rsidR="005D3D4C" w:rsidRPr="002659ED">
        <w:rPr>
          <w:lang w:val="en-GB"/>
        </w:rPr>
        <w:t>requested the secretariat to transmit the following proposals of corrections to the Sub-Committee.</w:t>
      </w:r>
    </w:p>
    <w:p w14:paraId="7E407D42" w14:textId="1F3841E2" w:rsidR="00ED44F6" w:rsidRDefault="00A70EAD" w:rsidP="005D3D4C">
      <w:pPr>
        <w:pStyle w:val="HChG"/>
        <w:rPr>
          <w:lang w:val="en-GB"/>
        </w:rPr>
      </w:pPr>
      <w:r w:rsidRPr="002659ED">
        <w:rPr>
          <w:lang w:val="en-GB"/>
        </w:rPr>
        <w:tab/>
      </w:r>
      <w:r w:rsidRPr="002659ED">
        <w:rPr>
          <w:lang w:val="en-GB"/>
        </w:rPr>
        <w:tab/>
      </w:r>
      <w:r w:rsidRPr="005D3D4C">
        <w:rPr>
          <w:lang w:val="en-GB"/>
        </w:rPr>
        <w:t>Correctio</w:t>
      </w:r>
      <w:r>
        <w:rPr>
          <w:lang w:val="en-GB"/>
        </w:rPr>
        <w:t>n</w:t>
      </w:r>
      <w:r w:rsidR="005D3D4C">
        <w:rPr>
          <w:lang w:val="en-GB"/>
        </w:rPr>
        <w:t>s</w:t>
      </w:r>
      <w:bookmarkStart w:id="0" w:name="_GoBack"/>
      <w:bookmarkEnd w:id="0"/>
    </w:p>
    <w:p w14:paraId="4C4450D2" w14:textId="6CACDF79" w:rsidR="005D3D4C" w:rsidRPr="005D3D4C" w:rsidRDefault="005D3D4C" w:rsidP="005D3D4C">
      <w:pPr>
        <w:ind w:firstLine="567"/>
        <w:rPr>
          <w:i/>
          <w:iCs/>
          <w:u w:val="single"/>
          <w:lang w:val="fr-CH"/>
        </w:rPr>
      </w:pPr>
      <w:r w:rsidRPr="005D3D4C">
        <w:rPr>
          <w:i/>
          <w:iCs/>
          <w:u w:val="single"/>
          <w:lang w:val="fr-CH"/>
        </w:rPr>
        <w:t xml:space="preserve">In the French </w:t>
      </w:r>
      <w:proofErr w:type="spellStart"/>
      <w:proofErr w:type="gramStart"/>
      <w:r w:rsidRPr="005D3D4C">
        <w:rPr>
          <w:i/>
          <w:iCs/>
          <w:u w:val="single"/>
          <w:lang w:val="fr-CH"/>
        </w:rPr>
        <w:t>text</w:t>
      </w:r>
      <w:proofErr w:type="spellEnd"/>
      <w:r w:rsidRPr="005D3D4C">
        <w:rPr>
          <w:i/>
          <w:iCs/>
          <w:u w:val="single"/>
          <w:lang w:val="fr-CH"/>
        </w:rPr>
        <w:t>:</w:t>
      </w:r>
      <w:proofErr w:type="gramEnd"/>
    </w:p>
    <w:p w14:paraId="5F923703" w14:textId="24DD820C" w:rsidR="005D3D4C" w:rsidRDefault="005D3D4C" w:rsidP="005D3D4C">
      <w:pPr>
        <w:keepNext/>
        <w:spacing w:before="240" w:after="120" w:line="240" w:lineRule="exact"/>
        <w:ind w:left="1134" w:right="1134" w:hanging="567"/>
        <w:rPr>
          <w:b/>
          <w:bCs/>
          <w:lang w:val="fr-CH"/>
        </w:rPr>
      </w:pPr>
      <w:r>
        <w:rPr>
          <w:b/>
          <w:bCs/>
          <w:lang w:val="fr-CH"/>
        </w:rPr>
        <w:t>1.</w:t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>Partie 3, chapitre 3.3, disposition spéciale 241</w:t>
      </w:r>
    </w:p>
    <w:p w14:paraId="07555F29" w14:textId="77777777" w:rsidR="005D3D4C" w:rsidRDefault="005D3D4C" w:rsidP="005D3D4C">
      <w:pPr>
        <w:ind w:left="1134"/>
        <w:rPr>
          <w:lang w:val="fr-CH"/>
        </w:rPr>
      </w:pPr>
      <w:r>
        <w:rPr>
          <w:i/>
          <w:iCs/>
          <w:lang w:val="fr-CH"/>
        </w:rPr>
        <w:t>Au lieu de</w:t>
      </w:r>
      <w:r>
        <w:rPr>
          <w:lang w:val="fr-CH"/>
        </w:rPr>
        <w:t xml:space="preserve"> </w:t>
      </w:r>
    </w:p>
    <w:p w14:paraId="71305F0A" w14:textId="77777777" w:rsidR="005D3D4C" w:rsidRDefault="005D3D4C" w:rsidP="005D3D4C">
      <w:pPr>
        <w:ind w:left="1701"/>
        <w:rPr>
          <w:lang w:val="fr-CH"/>
        </w:rPr>
      </w:pPr>
      <w:proofErr w:type="gramStart"/>
      <w:r>
        <w:rPr>
          <w:lang w:val="fr-CH"/>
        </w:rPr>
        <w:t>qui</w:t>
      </w:r>
      <w:proofErr w:type="gramEnd"/>
      <w:r>
        <w:rPr>
          <w:lang w:val="fr-CH"/>
        </w:rPr>
        <w:t xml:space="preserve"> n’ont pas un comportement de matières inflammables lorsqu’elles sont soumises à l’épreuve No 1 de la sous-section 33.2.4</w:t>
      </w:r>
    </w:p>
    <w:p w14:paraId="67BAF6D8" w14:textId="77777777" w:rsidR="005D3D4C" w:rsidRDefault="005D3D4C" w:rsidP="005D3D4C">
      <w:pPr>
        <w:ind w:left="1134"/>
        <w:rPr>
          <w:lang w:val="fr-CH"/>
        </w:rPr>
      </w:pPr>
      <w:proofErr w:type="gramStart"/>
      <w:r>
        <w:rPr>
          <w:i/>
          <w:iCs/>
          <w:lang w:val="fr-CH"/>
        </w:rPr>
        <w:t>lire</w:t>
      </w:r>
      <w:proofErr w:type="gramEnd"/>
      <w:r>
        <w:rPr>
          <w:lang w:val="fr-CH"/>
        </w:rPr>
        <w:t xml:space="preserve"> </w:t>
      </w:r>
    </w:p>
    <w:p w14:paraId="0A9CB22F" w14:textId="77777777" w:rsidR="005D3D4C" w:rsidRDefault="005D3D4C" w:rsidP="005D3D4C">
      <w:pPr>
        <w:ind w:left="1701"/>
        <w:rPr>
          <w:lang w:val="fr-CH"/>
        </w:rPr>
      </w:pPr>
      <w:proofErr w:type="gramStart"/>
      <w:r>
        <w:rPr>
          <w:lang w:val="fr-CH"/>
        </w:rPr>
        <w:t>qui</w:t>
      </w:r>
      <w:proofErr w:type="gramEnd"/>
      <w:r>
        <w:rPr>
          <w:lang w:val="fr-CH"/>
        </w:rPr>
        <w:t xml:space="preserve"> n’ont pas un comportement de matières solides inflammables lorsqu’elles sont soumises à l’épreuve N. 1 de la sous-section 33.2.4</w:t>
      </w:r>
    </w:p>
    <w:p w14:paraId="386C7643" w14:textId="2B1BA010" w:rsidR="005D3D4C" w:rsidRDefault="005D3D4C" w:rsidP="005D3D4C">
      <w:pPr>
        <w:keepNext/>
        <w:spacing w:before="240" w:after="120" w:line="240" w:lineRule="exact"/>
        <w:ind w:right="1134" w:firstLine="567"/>
        <w:rPr>
          <w:b/>
          <w:bCs/>
          <w:lang w:val="fr-CH"/>
        </w:rPr>
      </w:pPr>
      <w:r>
        <w:rPr>
          <w:b/>
          <w:bCs/>
          <w:lang w:val="fr-CH"/>
        </w:rPr>
        <w:t>2.</w:t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>Partie 3, chapitre 3.3, disposition spéciale 241</w:t>
      </w:r>
    </w:p>
    <w:p w14:paraId="3401C33B" w14:textId="77777777" w:rsidR="005D3D4C" w:rsidRDefault="005D3D4C" w:rsidP="005D3D4C">
      <w:pPr>
        <w:ind w:left="1134"/>
        <w:rPr>
          <w:lang w:val="fr-CH"/>
        </w:rPr>
      </w:pPr>
      <w:r>
        <w:rPr>
          <w:i/>
          <w:iCs/>
          <w:lang w:val="fr-CH"/>
        </w:rPr>
        <w:t xml:space="preserve">Au lieu de </w:t>
      </w:r>
      <w:r>
        <w:rPr>
          <w:lang w:val="fr-CH"/>
        </w:rPr>
        <w:t xml:space="preserve">granulométrie inférieure ou égale à 1,25 mm </w:t>
      </w:r>
      <w:r>
        <w:rPr>
          <w:i/>
          <w:iCs/>
          <w:lang w:val="fr-CH"/>
        </w:rPr>
        <w:t xml:space="preserve">lire </w:t>
      </w:r>
      <w:r>
        <w:rPr>
          <w:lang w:val="fr-CH"/>
        </w:rPr>
        <w:t>granulométrie inférieure à 1,25 mm</w:t>
      </w:r>
    </w:p>
    <w:p w14:paraId="42AB6E93" w14:textId="6C0A3F21" w:rsidR="005D3D4C" w:rsidRDefault="005D3D4C" w:rsidP="005D3D4C">
      <w:pPr>
        <w:ind w:left="1134"/>
        <w:rPr>
          <w:lang w:val="fr-CH"/>
        </w:rPr>
      </w:pPr>
    </w:p>
    <w:p w14:paraId="6024D5A3" w14:textId="0EC8BC3A" w:rsidR="005D3D4C" w:rsidRPr="005D3D4C" w:rsidRDefault="005D3D4C" w:rsidP="005D3D4C">
      <w:pPr>
        <w:ind w:firstLine="567"/>
        <w:rPr>
          <w:i/>
          <w:iCs/>
          <w:u w:val="single"/>
          <w:lang w:val="fr-CH"/>
        </w:rPr>
      </w:pPr>
      <w:r w:rsidRPr="005D3D4C">
        <w:rPr>
          <w:i/>
          <w:iCs/>
          <w:u w:val="single"/>
          <w:lang w:val="fr-CH"/>
        </w:rPr>
        <w:t xml:space="preserve">In the </w:t>
      </w:r>
      <w:r>
        <w:rPr>
          <w:i/>
          <w:iCs/>
          <w:u w:val="single"/>
          <w:lang w:val="fr-CH"/>
        </w:rPr>
        <w:t>English</w:t>
      </w:r>
      <w:r w:rsidRPr="005D3D4C">
        <w:rPr>
          <w:i/>
          <w:iCs/>
          <w:u w:val="single"/>
          <w:lang w:val="fr-CH"/>
        </w:rPr>
        <w:t xml:space="preserve"> </w:t>
      </w:r>
      <w:proofErr w:type="spellStart"/>
      <w:proofErr w:type="gramStart"/>
      <w:r w:rsidRPr="005D3D4C">
        <w:rPr>
          <w:i/>
          <w:iCs/>
          <w:u w:val="single"/>
          <w:lang w:val="fr-CH"/>
        </w:rPr>
        <w:t>text</w:t>
      </w:r>
      <w:proofErr w:type="spellEnd"/>
      <w:r w:rsidRPr="005D3D4C">
        <w:rPr>
          <w:i/>
          <w:iCs/>
          <w:u w:val="single"/>
          <w:lang w:val="fr-CH"/>
        </w:rPr>
        <w:t>:</w:t>
      </w:r>
      <w:proofErr w:type="gramEnd"/>
    </w:p>
    <w:p w14:paraId="45BDC376" w14:textId="0D7421BB" w:rsidR="005D3D4C" w:rsidRDefault="005D3D4C" w:rsidP="005D3D4C">
      <w:pPr>
        <w:keepNext/>
        <w:spacing w:before="240" w:after="120" w:line="240" w:lineRule="exact"/>
        <w:ind w:right="1134" w:firstLine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>Part 3, Chapter 3.3, Special provision 241</w:t>
      </w:r>
    </w:p>
    <w:p w14:paraId="1C005957" w14:textId="77777777" w:rsidR="005D3D4C" w:rsidRDefault="005D3D4C" w:rsidP="005D3D4C">
      <w:pPr>
        <w:ind w:left="1134"/>
      </w:pPr>
      <w:r>
        <w:t>Not applicable to English</w:t>
      </w:r>
    </w:p>
    <w:p w14:paraId="54701F6B" w14:textId="63DFE3EF" w:rsidR="005D3D4C" w:rsidRDefault="005D3D4C" w:rsidP="005D3D4C">
      <w:pPr>
        <w:keepNext/>
        <w:spacing w:before="240" w:after="120" w:line="240" w:lineRule="exact"/>
        <w:ind w:right="1134" w:firstLine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>Part 3, Chapter 3.3, Special provision 241</w:t>
      </w:r>
    </w:p>
    <w:p w14:paraId="6C722A47" w14:textId="77777777" w:rsidR="005D3D4C" w:rsidRDefault="005D3D4C" w:rsidP="005D3D4C">
      <w:pPr>
        <w:ind w:left="1134"/>
      </w:pPr>
      <w:r>
        <w:t>Not applicable to English</w:t>
      </w:r>
    </w:p>
    <w:p w14:paraId="72CCE0E6" w14:textId="77777777" w:rsidR="005D3D4C" w:rsidRDefault="005D3D4C" w:rsidP="005D3D4C">
      <w:pPr>
        <w:ind w:left="1134"/>
      </w:pPr>
    </w:p>
    <w:p w14:paraId="29D0FDD4" w14:textId="4551981D" w:rsidR="00D6123A" w:rsidRPr="005D3D4C" w:rsidRDefault="00D6123A" w:rsidP="00D6123A">
      <w:pPr>
        <w:spacing w:before="240"/>
        <w:jc w:val="center"/>
        <w:rPr>
          <w:u w:val="single"/>
        </w:rPr>
      </w:pPr>
      <w:r w:rsidRPr="005D3D4C">
        <w:rPr>
          <w:u w:val="single"/>
        </w:rPr>
        <w:tab/>
      </w:r>
      <w:r w:rsidRPr="005D3D4C">
        <w:rPr>
          <w:u w:val="single"/>
        </w:rPr>
        <w:tab/>
      </w:r>
      <w:r w:rsidRPr="005D3D4C">
        <w:rPr>
          <w:u w:val="single"/>
        </w:rPr>
        <w:tab/>
      </w:r>
    </w:p>
    <w:sectPr w:rsidR="00D6123A" w:rsidRPr="005D3D4C" w:rsidSect="008A49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D689" w14:textId="77777777" w:rsidR="00F5743B" w:rsidRDefault="00F5743B"/>
  </w:endnote>
  <w:endnote w:type="continuationSeparator" w:id="0">
    <w:p w14:paraId="257E9CA9" w14:textId="77777777" w:rsidR="00F5743B" w:rsidRDefault="00F5743B"/>
  </w:endnote>
  <w:endnote w:type="continuationNotice" w:id="1">
    <w:p w14:paraId="6E313BBF" w14:textId="77777777" w:rsidR="00F5743B" w:rsidRDefault="00F57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F302" w14:textId="4C75EE7D" w:rsidR="00A467A3" w:rsidRPr="007A446A" w:rsidRDefault="004F6DF4" w:rsidP="007A446A">
    <w:pPr>
      <w:pStyle w:val="Footer"/>
      <w:rPr>
        <w:b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004866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3F6FE19C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ED13CC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14:paraId="0014C292" w14:textId="77777777" w:rsidR="00A467A3" w:rsidRDefault="00A46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4011" w14:textId="77777777" w:rsidR="00F5743B" w:rsidRPr="000B175B" w:rsidRDefault="00F574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1E7097" w14:textId="77777777" w:rsidR="00F5743B" w:rsidRPr="00FC68B7" w:rsidRDefault="00F574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74711" w14:textId="77777777" w:rsidR="00F5743B" w:rsidRDefault="00F57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089286DA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B9443C">
      <w:rPr>
        <w:lang w:val="nl-NL"/>
      </w:rPr>
      <w:t>6</w:t>
    </w:r>
    <w:r w:rsidRPr="00340E2C">
      <w:rPr>
        <w:lang w:val="nl-NL"/>
      </w:rPr>
      <w:t>/INF.</w:t>
    </w:r>
    <w:r w:rsidR="006370A0">
      <w:rPr>
        <w:lang w:val="nl-NL"/>
      </w:rPr>
      <w:t>3</w:t>
    </w:r>
    <w:r w:rsidR="006D0B82">
      <w:rPr>
        <w:lang w:val="nl-NL"/>
      </w:rPr>
      <w:t>8</w:t>
    </w:r>
  </w:p>
  <w:p w14:paraId="48B1EBBE" w14:textId="77777777" w:rsidR="00A467A3" w:rsidRDefault="00A46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67A43FB6" w:rsidR="004F6DF4" w:rsidRPr="000216CC" w:rsidRDefault="004F6DF4" w:rsidP="000216CC">
    <w:pPr>
      <w:pStyle w:val="Header"/>
      <w:jc w:val="right"/>
    </w:pPr>
    <w:r w:rsidRPr="0059131E">
      <w:t>UN/SCETDG/5</w:t>
    </w:r>
    <w:r w:rsidR="00B9443C">
      <w:t>6</w:t>
    </w:r>
    <w:r w:rsidRPr="0059131E">
      <w:t>/INF.</w:t>
    </w:r>
    <w:r w:rsidR="007A446A">
      <w:t>38</w:t>
    </w:r>
  </w:p>
  <w:p w14:paraId="70B52EB0" w14:textId="77777777" w:rsidR="00A467A3" w:rsidRDefault="00A46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663B3E"/>
    <w:multiLevelType w:val="hybridMultilevel"/>
    <w:tmpl w:val="BB86A612"/>
    <w:lvl w:ilvl="0" w:tplc="B4C453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9E34DF2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971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6" w15:restartNumberingAfterBreak="0">
    <w:nsid w:val="55125014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7" w15:restartNumberingAfterBreak="0">
    <w:nsid w:val="58487D49"/>
    <w:multiLevelType w:val="hybridMultilevel"/>
    <w:tmpl w:val="C526D9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FB95376"/>
    <w:multiLevelType w:val="hybridMultilevel"/>
    <w:tmpl w:val="5ABC4838"/>
    <w:lvl w:ilvl="0" w:tplc="288013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09FE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A6A0F40"/>
    <w:multiLevelType w:val="multilevel"/>
    <w:tmpl w:val="653414A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128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6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1764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082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sz w:val="22"/>
      </w:rPr>
    </w:lvl>
  </w:abstractNum>
  <w:abstractNum w:abstractNumId="26" w15:restartNumberingAfterBreak="0">
    <w:nsid w:val="7E61132E"/>
    <w:multiLevelType w:val="multilevel"/>
    <w:tmpl w:val="E76000A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235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2085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510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2"/>
  </w:num>
  <w:num w:numId="16">
    <w:abstractNumId w:val="14"/>
  </w:num>
  <w:num w:numId="17">
    <w:abstractNumId w:val="10"/>
  </w:num>
  <w:num w:numId="18">
    <w:abstractNumId w:val="24"/>
  </w:num>
  <w:num w:numId="19">
    <w:abstractNumId w:val="20"/>
  </w:num>
  <w:num w:numId="20">
    <w:abstractNumId w:val="12"/>
  </w:num>
  <w:num w:numId="21">
    <w:abstractNumId w:val="16"/>
  </w:num>
  <w:num w:numId="22">
    <w:abstractNumId w:val="26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4866"/>
    <w:rsid w:val="00006FAE"/>
    <w:rsid w:val="00012EB6"/>
    <w:rsid w:val="000133C5"/>
    <w:rsid w:val="00017D24"/>
    <w:rsid w:val="000216CC"/>
    <w:rsid w:val="000277D3"/>
    <w:rsid w:val="00033414"/>
    <w:rsid w:val="0003375D"/>
    <w:rsid w:val="00033FF7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D75"/>
    <w:rsid w:val="000B175B"/>
    <w:rsid w:val="000B32C9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0A8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00C6"/>
    <w:rsid w:val="00261B71"/>
    <w:rsid w:val="002621F5"/>
    <w:rsid w:val="002622A9"/>
    <w:rsid w:val="002659ED"/>
    <w:rsid w:val="002708B5"/>
    <w:rsid w:val="002725CA"/>
    <w:rsid w:val="00273A92"/>
    <w:rsid w:val="00275C41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11CD"/>
    <w:rsid w:val="002C42A5"/>
    <w:rsid w:val="002C7F25"/>
    <w:rsid w:val="002D44DB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1918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A65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1777C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293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2C70"/>
    <w:rsid w:val="005B3DB3"/>
    <w:rsid w:val="005B528A"/>
    <w:rsid w:val="005B5A86"/>
    <w:rsid w:val="005B6088"/>
    <w:rsid w:val="005C3490"/>
    <w:rsid w:val="005C4CB5"/>
    <w:rsid w:val="005D0C6C"/>
    <w:rsid w:val="005D1BB4"/>
    <w:rsid w:val="005D3D4C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2DF4"/>
    <w:rsid w:val="0063419C"/>
    <w:rsid w:val="00635381"/>
    <w:rsid w:val="00636986"/>
    <w:rsid w:val="006370A0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39DB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0B82"/>
    <w:rsid w:val="006D3560"/>
    <w:rsid w:val="006E3B65"/>
    <w:rsid w:val="006E4E78"/>
    <w:rsid w:val="006E564B"/>
    <w:rsid w:val="006F1888"/>
    <w:rsid w:val="007025C0"/>
    <w:rsid w:val="007076D1"/>
    <w:rsid w:val="00707F04"/>
    <w:rsid w:val="00711637"/>
    <w:rsid w:val="00714F4F"/>
    <w:rsid w:val="0072632A"/>
    <w:rsid w:val="00734F20"/>
    <w:rsid w:val="00736E6A"/>
    <w:rsid w:val="007403E0"/>
    <w:rsid w:val="00741F59"/>
    <w:rsid w:val="0074697D"/>
    <w:rsid w:val="007535A2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4D0"/>
    <w:rsid w:val="0078123B"/>
    <w:rsid w:val="00781B57"/>
    <w:rsid w:val="00786434"/>
    <w:rsid w:val="00790791"/>
    <w:rsid w:val="00793317"/>
    <w:rsid w:val="00796F36"/>
    <w:rsid w:val="007A2CDB"/>
    <w:rsid w:val="007A334C"/>
    <w:rsid w:val="007A446A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664B"/>
    <w:rsid w:val="00857789"/>
    <w:rsid w:val="0086107D"/>
    <w:rsid w:val="00864251"/>
    <w:rsid w:val="00871FD5"/>
    <w:rsid w:val="00881213"/>
    <w:rsid w:val="008830CC"/>
    <w:rsid w:val="008830FE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5A44"/>
    <w:rsid w:val="00906C3D"/>
    <w:rsid w:val="009213ED"/>
    <w:rsid w:val="00923019"/>
    <w:rsid w:val="00924B63"/>
    <w:rsid w:val="009363B6"/>
    <w:rsid w:val="00940F46"/>
    <w:rsid w:val="00941ECC"/>
    <w:rsid w:val="00945A5D"/>
    <w:rsid w:val="00946A0D"/>
    <w:rsid w:val="009503AB"/>
    <w:rsid w:val="00953836"/>
    <w:rsid w:val="00955109"/>
    <w:rsid w:val="00956AD7"/>
    <w:rsid w:val="00963B67"/>
    <w:rsid w:val="00963CBA"/>
    <w:rsid w:val="00963D41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01A78"/>
    <w:rsid w:val="00A12B58"/>
    <w:rsid w:val="00A1427D"/>
    <w:rsid w:val="00A235F1"/>
    <w:rsid w:val="00A23F62"/>
    <w:rsid w:val="00A30ED0"/>
    <w:rsid w:val="00A34B00"/>
    <w:rsid w:val="00A3777A"/>
    <w:rsid w:val="00A467A3"/>
    <w:rsid w:val="00A50077"/>
    <w:rsid w:val="00A54CA8"/>
    <w:rsid w:val="00A60196"/>
    <w:rsid w:val="00A6199C"/>
    <w:rsid w:val="00A622AF"/>
    <w:rsid w:val="00A65F4A"/>
    <w:rsid w:val="00A66636"/>
    <w:rsid w:val="00A70EAD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470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AE2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854D0"/>
    <w:rsid w:val="00B90F54"/>
    <w:rsid w:val="00B91CC3"/>
    <w:rsid w:val="00B92A0C"/>
    <w:rsid w:val="00B93068"/>
    <w:rsid w:val="00B9443C"/>
    <w:rsid w:val="00BA5DE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36DE8"/>
    <w:rsid w:val="00C463DD"/>
    <w:rsid w:val="00C46D5B"/>
    <w:rsid w:val="00C537D5"/>
    <w:rsid w:val="00C62F76"/>
    <w:rsid w:val="00C66D78"/>
    <w:rsid w:val="00C737DA"/>
    <w:rsid w:val="00C737DD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4217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2D89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0743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B0A4E"/>
    <w:rsid w:val="00DB4333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DF69F7"/>
    <w:rsid w:val="00E02CF4"/>
    <w:rsid w:val="00E130AB"/>
    <w:rsid w:val="00E161E4"/>
    <w:rsid w:val="00E1679E"/>
    <w:rsid w:val="00E17ED9"/>
    <w:rsid w:val="00E239A0"/>
    <w:rsid w:val="00E242D7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6AB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BB3"/>
    <w:rsid w:val="00E96630"/>
    <w:rsid w:val="00EA0364"/>
    <w:rsid w:val="00EA1E40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3CC"/>
    <w:rsid w:val="00ED3508"/>
    <w:rsid w:val="00ED3F6F"/>
    <w:rsid w:val="00ED44F6"/>
    <w:rsid w:val="00ED769C"/>
    <w:rsid w:val="00ED7A2A"/>
    <w:rsid w:val="00EE2966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75E96"/>
    <w:rsid w:val="00FA00A0"/>
    <w:rsid w:val="00FA032F"/>
    <w:rsid w:val="00FA3FB7"/>
    <w:rsid w:val="00FB27B4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0657-FD4B-41EE-8669-5DA56A5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8</TotalTime>
  <Pages>1</Pages>
  <Words>234</Words>
  <Characters>1439</Characters>
  <Application>Microsoft Office Word</Application>
  <DocSecurity>0</DocSecurity>
  <Lines>95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ST/SG/AC.10/46/Add.2</cp:lastModifiedBy>
  <cp:revision>3</cp:revision>
  <cp:lastPrinted>2019-12-02T16:16:00Z</cp:lastPrinted>
  <dcterms:created xsi:type="dcterms:W3CDTF">2019-12-09T13:01:00Z</dcterms:created>
  <dcterms:modified xsi:type="dcterms:W3CDTF">2019-12-09T13:10:00Z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