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993" w:tblpY="568"/>
        <w:tblOverlap w:val="never"/>
        <w:tblW w:w="9923" w:type="dxa"/>
        <w:tblLayout w:type="fixed"/>
        <w:tblCellMar>
          <w:left w:w="0" w:type="dxa"/>
          <w:right w:w="0" w:type="dxa"/>
        </w:tblCellMar>
        <w:tblLook w:val="01E0" w:firstRow="1" w:lastRow="1" w:firstColumn="1" w:lastColumn="1" w:noHBand="0" w:noVBand="0"/>
      </w:tblPr>
      <w:tblGrid>
        <w:gridCol w:w="1401"/>
        <w:gridCol w:w="2236"/>
        <w:gridCol w:w="6286"/>
      </w:tblGrid>
      <w:tr w:rsidR="00960AFB" w:rsidRPr="000B7666" w14:paraId="08499EB9" w14:textId="77777777" w:rsidTr="00F7569E">
        <w:trPr>
          <w:trHeight w:val="851"/>
        </w:trPr>
        <w:tc>
          <w:tcPr>
            <w:tcW w:w="1401" w:type="dxa"/>
            <w:shd w:val="clear" w:color="auto" w:fill="auto"/>
          </w:tcPr>
          <w:p w14:paraId="4D2A77E8" w14:textId="77777777" w:rsidR="00960AFB" w:rsidRPr="008A0AC2" w:rsidRDefault="00960AFB" w:rsidP="00960AFB">
            <w:pPr>
              <w:spacing w:after="80" w:line="340" w:lineRule="exact"/>
            </w:pPr>
          </w:p>
        </w:tc>
        <w:tc>
          <w:tcPr>
            <w:tcW w:w="2236" w:type="dxa"/>
            <w:shd w:val="clear" w:color="auto" w:fill="auto"/>
            <w:vAlign w:val="bottom"/>
          </w:tcPr>
          <w:p w14:paraId="7146E050" w14:textId="77777777" w:rsidR="00960AFB" w:rsidRPr="008A0AC2" w:rsidRDefault="00960AFB" w:rsidP="00960AFB">
            <w:pPr>
              <w:spacing w:after="80" w:line="340" w:lineRule="exact"/>
              <w:rPr>
                <w:sz w:val="28"/>
                <w:szCs w:val="28"/>
              </w:rPr>
            </w:pPr>
          </w:p>
        </w:tc>
        <w:tc>
          <w:tcPr>
            <w:tcW w:w="6286" w:type="dxa"/>
            <w:shd w:val="clear" w:color="auto" w:fill="auto"/>
            <w:vAlign w:val="bottom"/>
          </w:tcPr>
          <w:p w14:paraId="47183F85" w14:textId="32CA2FD9" w:rsidR="00960AFB" w:rsidRPr="00B62791" w:rsidRDefault="00960AFB" w:rsidP="00D87AEF">
            <w:pPr>
              <w:ind w:right="147"/>
              <w:jc w:val="right"/>
              <w:rPr>
                <w:highlight w:val="yellow"/>
                <w:lang w:val="fr-BE"/>
              </w:rPr>
            </w:pPr>
            <w:r w:rsidRPr="00B62791">
              <w:rPr>
                <w:b/>
                <w:sz w:val="40"/>
                <w:szCs w:val="40"/>
                <w:lang w:val="fr-BE"/>
              </w:rPr>
              <w:t>UN/SCETDG/</w:t>
            </w:r>
            <w:r>
              <w:rPr>
                <w:b/>
                <w:sz w:val="40"/>
                <w:szCs w:val="40"/>
                <w:lang w:val="fr-BE"/>
              </w:rPr>
              <w:t>56</w:t>
            </w:r>
            <w:r w:rsidRPr="00B62791">
              <w:rPr>
                <w:b/>
                <w:sz w:val="40"/>
                <w:szCs w:val="40"/>
                <w:lang w:val="fr-BE"/>
              </w:rPr>
              <w:t>/INF.</w:t>
            </w:r>
            <w:r w:rsidR="00B304A8">
              <w:rPr>
                <w:b/>
                <w:sz w:val="40"/>
                <w:szCs w:val="40"/>
                <w:lang w:val="fr-BE"/>
              </w:rPr>
              <w:t>1</w:t>
            </w:r>
            <w:r w:rsidR="008E3620">
              <w:rPr>
                <w:b/>
                <w:sz w:val="40"/>
                <w:szCs w:val="40"/>
                <w:lang w:val="fr-BE"/>
              </w:rPr>
              <w:t>5</w:t>
            </w:r>
          </w:p>
        </w:tc>
      </w:tr>
    </w:tbl>
    <w:tbl>
      <w:tblPr>
        <w:tblW w:w="9895" w:type="dxa"/>
        <w:tblInd w:w="-142" w:type="dxa"/>
        <w:tblLayout w:type="fixed"/>
        <w:tblLook w:val="04A0" w:firstRow="1" w:lastRow="0" w:firstColumn="1" w:lastColumn="0" w:noHBand="0" w:noVBand="1"/>
      </w:tblPr>
      <w:tblGrid>
        <w:gridCol w:w="9895"/>
      </w:tblGrid>
      <w:tr w:rsidR="00960AFB" w:rsidRPr="008A0AC2" w14:paraId="3437CD6E" w14:textId="77777777" w:rsidTr="00F7569E">
        <w:tc>
          <w:tcPr>
            <w:tcW w:w="9895" w:type="dxa"/>
            <w:tcBorders>
              <w:top w:val="single" w:sz="4" w:space="0" w:color="auto"/>
            </w:tcBorders>
            <w:tcMar>
              <w:top w:w="142" w:type="dxa"/>
              <w:left w:w="108" w:type="dxa"/>
              <w:bottom w:w="142" w:type="dxa"/>
              <w:right w:w="108" w:type="dxa"/>
            </w:tcMar>
          </w:tcPr>
          <w:p w14:paraId="0B5AC4AD" w14:textId="5DE3F774" w:rsidR="00960AFB" w:rsidRPr="008A0AC2" w:rsidRDefault="00960AFB" w:rsidP="00960AFB">
            <w:pPr>
              <w:tabs>
                <w:tab w:val="right" w:pos="9214"/>
              </w:tabs>
              <w:rPr>
                <w:b/>
              </w:rPr>
            </w:pPr>
            <w:r w:rsidRPr="008A0AC2">
              <w:rPr>
                <w:b/>
                <w:sz w:val="24"/>
                <w:szCs w:val="24"/>
              </w:rPr>
              <w:t>Committee of Experts on the Transport of Dangerous Goods</w:t>
            </w:r>
            <w:r w:rsidRPr="008A0AC2">
              <w:rPr>
                <w:b/>
                <w:sz w:val="24"/>
                <w:szCs w:val="24"/>
              </w:rPr>
              <w:tab/>
            </w:r>
            <w:r w:rsidRPr="008A0AC2">
              <w:rPr>
                <w:b/>
                <w:sz w:val="24"/>
                <w:szCs w:val="24"/>
              </w:rPr>
              <w:br/>
              <w:t>and on the Globally Harmonized System of Classification</w:t>
            </w:r>
            <w:r w:rsidRPr="008A0AC2">
              <w:rPr>
                <w:b/>
                <w:sz w:val="24"/>
                <w:szCs w:val="24"/>
              </w:rPr>
              <w:br/>
              <w:t>and Labelling of Chemicals</w:t>
            </w:r>
            <w:r w:rsidRPr="008A0AC2">
              <w:rPr>
                <w:b/>
              </w:rPr>
              <w:tab/>
            </w:r>
            <w:r>
              <w:rPr>
                <w:b/>
              </w:rPr>
              <w:t>1</w:t>
            </w:r>
            <w:r w:rsidR="00B304A8">
              <w:rPr>
                <w:b/>
              </w:rPr>
              <w:t>5</w:t>
            </w:r>
            <w:r w:rsidRPr="008A0AC2">
              <w:rPr>
                <w:b/>
              </w:rPr>
              <w:t xml:space="preserve"> </w:t>
            </w:r>
            <w:r>
              <w:rPr>
                <w:b/>
              </w:rPr>
              <w:t xml:space="preserve">November </w:t>
            </w:r>
            <w:r>
              <w:rPr>
                <w:b/>
                <w:sz w:val="18"/>
                <w:szCs w:val="24"/>
              </w:rPr>
              <w:t>2019</w:t>
            </w:r>
          </w:p>
        </w:tc>
      </w:tr>
      <w:tr w:rsidR="00960AFB" w:rsidRPr="008A0AC2" w14:paraId="750A7B19" w14:textId="77777777" w:rsidTr="00F7569E">
        <w:tc>
          <w:tcPr>
            <w:tcW w:w="9895" w:type="dxa"/>
            <w:tcMar>
              <w:top w:w="57" w:type="dxa"/>
              <w:left w:w="108" w:type="dxa"/>
              <w:bottom w:w="0" w:type="dxa"/>
              <w:right w:w="108" w:type="dxa"/>
            </w:tcMar>
            <w:vAlign w:val="center"/>
          </w:tcPr>
          <w:p w14:paraId="5BD0D1B9" w14:textId="77777777" w:rsidR="00960AFB" w:rsidRPr="008A0AC2" w:rsidRDefault="00960AFB" w:rsidP="00960AFB">
            <w:pPr>
              <w:spacing w:before="120"/>
              <w:rPr>
                <w:b/>
              </w:rPr>
            </w:pPr>
            <w:r w:rsidRPr="008A0AC2">
              <w:rPr>
                <w:b/>
              </w:rPr>
              <w:t xml:space="preserve">Sub-Committee of Experts on the Transport of Dangerous Goods </w:t>
            </w:r>
          </w:p>
        </w:tc>
      </w:tr>
      <w:tr w:rsidR="00960AFB" w:rsidRPr="008A0AC2" w14:paraId="5268A583" w14:textId="77777777" w:rsidTr="00F7569E">
        <w:tc>
          <w:tcPr>
            <w:tcW w:w="9895" w:type="dxa"/>
            <w:tcMar>
              <w:top w:w="57" w:type="dxa"/>
              <w:left w:w="108" w:type="dxa"/>
              <w:bottom w:w="0" w:type="dxa"/>
              <w:right w:w="108" w:type="dxa"/>
            </w:tcMar>
          </w:tcPr>
          <w:p w14:paraId="2E216691" w14:textId="77777777" w:rsidR="00960AFB" w:rsidRPr="008A0AC2" w:rsidRDefault="00960AFB" w:rsidP="00960AFB">
            <w:pPr>
              <w:ind w:left="34" w:hanging="34"/>
              <w:rPr>
                <w:b/>
              </w:rPr>
            </w:pPr>
            <w:r w:rsidRPr="0049211A">
              <w:rPr>
                <w:b/>
              </w:rPr>
              <w:t>Fifty-</w:t>
            </w:r>
            <w:r>
              <w:rPr>
                <w:b/>
              </w:rPr>
              <w:t>sixth</w:t>
            </w:r>
            <w:r w:rsidRPr="0049211A">
              <w:rPr>
                <w:b/>
              </w:rPr>
              <w:t xml:space="preserve"> session</w:t>
            </w:r>
          </w:p>
        </w:tc>
      </w:tr>
      <w:tr w:rsidR="00960AFB" w:rsidRPr="008A0AC2" w14:paraId="57E8104A" w14:textId="77777777" w:rsidTr="00F7569E">
        <w:tc>
          <w:tcPr>
            <w:tcW w:w="9895" w:type="dxa"/>
            <w:tcMar>
              <w:top w:w="28" w:type="dxa"/>
              <w:left w:w="108" w:type="dxa"/>
              <w:bottom w:w="0" w:type="dxa"/>
              <w:right w:w="108" w:type="dxa"/>
            </w:tcMar>
          </w:tcPr>
          <w:p w14:paraId="13A26E74" w14:textId="77777777" w:rsidR="00960AFB" w:rsidRPr="008A0AC2" w:rsidRDefault="00960AFB" w:rsidP="00960AFB">
            <w:pPr>
              <w:tabs>
                <w:tab w:val="left" w:pos="6361"/>
                <w:tab w:val="left" w:pos="6939"/>
              </w:tabs>
              <w:outlineLvl w:val="0"/>
              <w:rPr>
                <w:bCs/>
              </w:rPr>
            </w:pPr>
            <w:r w:rsidRPr="008A0AC2">
              <w:t xml:space="preserve">Geneva, </w:t>
            </w:r>
            <w:r>
              <w:t>4-10 December 2019</w:t>
            </w:r>
          </w:p>
          <w:p w14:paraId="59742624" w14:textId="56C78F1C" w:rsidR="00960AFB" w:rsidRPr="00852580" w:rsidRDefault="00960AFB" w:rsidP="00960AFB">
            <w:pPr>
              <w:spacing w:after="60"/>
              <w:ind w:left="-12" w:firstLine="12"/>
              <w:rPr>
                <w:b/>
                <w:bCs/>
              </w:rPr>
            </w:pPr>
            <w:r w:rsidRPr="008A0AC2">
              <w:t>Item</w:t>
            </w:r>
            <w:r>
              <w:t xml:space="preserve"> </w:t>
            </w:r>
            <w:r w:rsidR="00753D31">
              <w:t>6 (b)</w:t>
            </w:r>
            <w:r w:rsidRPr="008A0AC2">
              <w:t xml:space="preserve"> of the provisional agenda</w:t>
            </w:r>
            <w:r>
              <w:br/>
            </w:r>
            <w:r w:rsidR="00753D31">
              <w:t xml:space="preserve">Miscellaneous proposals for amendments to the Model Regulations </w:t>
            </w:r>
            <w:r w:rsidR="00753D31">
              <w:br/>
              <w:t xml:space="preserve">on the Transport of Dangerous Goods: </w:t>
            </w:r>
            <w:proofErr w:type="spellStart"/>
            <w:r w:rsidR="00753D31">
              <w:t>packagings</w:t>
            </w:r>
            <w:proofErr w:type="spellEnd"/>
          </w:p>
        </w:tc>
      </w:tr>
    </w:tbl>
    <w:p w14:paraId="09210ABC" w14:textId="40CA18C9" w:rsidR="008E3620" w:rsidRDefault="008E3620" w:rsidP="008E3620">
      <w:pPr>
        <w:pStyle w:val="HChG"/>
      </w:pPr>
      <w:r w:rsidRPr="00560572">
        <w:tab/>
      </w:r>
      <w:r>
        <w:tab/>
      </w:r>
      <w:r>
        <w:rPr>
          <w:lang w:val="en-US"/>
        </w:rPr>
        <w:t xml:space="preserve">Proposal to align the use of </w:t>
      </w:r>
      <w:proofErr w:type="spellStart"/>
      <w:r>
        <w:rPr>
          <w:lang w:val="en-US"/>
        </w:rPr>
        <w:t>packaging</w:t>
      </w:r>
      <w:r w:rsidR="00753D31">
        <w:rPr>
          <w:lang w:val="en-US"/>
        </w:rPr>
        <w:t>s</w:t>
      </w:r>
      <w:proofErr w:type="spellEnd"/>
      <w:r>
        <w:rPr>
          <w:lang w:val="en-US"/>
        </w:rPr>
        <w:t xml:space="preserve"> for UN 3549 with those of other category A dangerous goods</w:t>
      </w:r>
    </w:p>
    <w:p w14:paraId="53A59028" w14:textId="3B0F4231" w:rsidR="008E3620" w:rsidRDefault="008E3620" w:rsidP="008E3620">
      <w:pPr>
        <w:pStyle w:val="H1G"/>
      </w:pPr>
      <w:r>
        <w:tab/>
      </w:r>
      <w:r>
        <w:tab/>
        <w:t xml:space="preserve">Transmitted by the </w:t>
      </w:r>
      <w:r w:rsidR="00753D31">
        <w:t>expert from</w:t>
      </w:r>
      <w:r>
        <w:t xml:space="preserve"> Switzerland</w:t>
      </w:r>
    </w:p>
    <w:tbl>
      <w:tblPr>
        <w:tblStyle w:val="TableGrid"/>
        <w:tblW w:w="0" w:type="auto"/>
        <w:jc w:val="center"/>
        <w:tblLook w:val="05E0" w:firstRow="1" w:lastRow="1" w:firstColumn="1" w:lastColumn="1" w:noHBand="0" w:noVBand="1"/>
      </w:tblPr>
      <w:tblGrid>
        <w:gridCol w:w="9629"/>
      </w:tblGrid>
      <w:tr w:rsidR="008E3620" w14:paraId="02B80132" w14:textId="77777777" w:rsidTr="000458AB">
        <w:trPr>
          <w:jc w:val="center"/>
        </w:trPr>
        <w:tc>
          <w:tcPr>
            <w:tcW w:w="9637" w:type="dxa"/>
            <w:tcBorders>
              <w:bottom w:val="nil"/>
            </w:tcBorders>
          </w:tcPr>
          <w:p w14:paraId="0376E190" w14:textId="77777777" w:rsidR="008E3620" w:rsidRDefault="008E3620" w:rsidP="000458AB">
            <w:pPr>
              <w:tabs>
                <w:tab w:val="left" w:pos="255"/>
              </w:tabs>
              <w:suppressAutoHyphens w:val="0"/>
              <w:spacing w:before="240" w:after="120"/>
              <w:rPr>
                <w:sz w:val="24"/>
              </w:rPr>
            </w:pPr>
            <w:r>
              <w:tab/>
            </w:r>
            <w:r>
              <w:rPr>
                <w:i/>
                <w:sz w:val="24"/>
              </w:rPr>
              <w:t>Summary</w:t>
            </w:r>
          </w:p>
        </w:tc>
      </w:tr>
      <w:tr w:rsidR="008E3620" w14:paraId="2B5B96BA" w14:textId="77777777" w:rsidTr="000458AB">
        <w:trPr>
          <w:jc w:val="center"/>
        </w:trPr>
        <w:tc>
          <w:tcPr>
            <w:tcW w:w="9637" w:type="dxa"/>
            <w:tcBorders>
              <w:top w:val="nil"/>
              <w:bottom w:val="nil"/>
            </w:tcBorders>
            <w:shd w:val="clear" w:color="auto" w:fill="auto"/>
          </w:tcPr>
          <w:p w14:paraId="68129143" w14:textId="4491ADB3" w:rsidR="008E3620" w:rsidRDefault="008E3620" w:rsidP="000458AB">
            <w:pPr>
              <w:tabs>
                <w:tab w:val="left" w:pos="3260"/>
              </w:tabs>
              <w:spacing w:after="120"/>
              <w:ind w:left="3260" w:right="1134" w:hanging="2126"/>
              <w:jc w:val="both"/>
            </w:pPr>
            <w:r>
              <w:rPr>
                <w:b/>
                <w:szCs w:val="22"/>
              </w:rPr>
              <w:t>Executive</w:t>
            </w:r>
            <w:r>
              <w:rPr>
                <w:b/>
              </w:rPr>
              <w:t xml:space="preserve"> summary</w:t>
            </w:r>
            <w:r>
              <w:t>:</w:t>
            </w:r>
            <w:r>
              <w:tab/>
            </w:r>
            <w:proofErr w:type="spellStart"/>
            <w:r>
              <w:t>Packagings</w:t>
            </w:r>
            <w:proofErr w:type="spellEnd"/>
            <w:r>
              <w:t xml:space="preserve"> for medical waste of Category A (UN 3549) should be subject to the same requirements as those for substances of UN</w:t>
            </w:r>
            <w:r w:rsidR="00164572">
              <w:t> </w:t>
            </w:r>
            <w:r>
              <w:t xml:space="preserve">2814 and 2900. Furthermore, it should be possible to use plastic </w:t>
            </w:r>
            <w:proofErr w:type="spellStart"/>
            <w:r>
              <w:t>packagings</w:t>
            </w:r>
            <w:proofErr w:type="spellEnd"/>
            <w:r>
              <w:t xml:space="preserve"> for UN 3549 for more than 5 years, as for </w:t>
            </w:r>
            <w:proofErr w:type="spellStart"/>
            <w:r>
              <w:t>packagings</w:t>
            </w:r>
            <w:proofErr w:type="spellEnd"/>
            <w:r>
              <w:t xml:space="preserve"> for other Category A infectious substances of UN</w:t>
            </w:r>
            <w:r w:rsidR="00D207B0">
              <w:t> </w:t>
            </w:r>
            <w:r>
              <w:t>2814 and 2900.</w:t>
            </w:r>
          </w:p>
        </w:tc>
      </w:tr>
      <w:tr w:rsidR="008E3620" w14:paraId="16079433" w14:textId="77777777" w:rsidTr="000458AB">
        <w:trPr>
          <w:jc w:val="center"/>
        </w:trPr>
        <w:tc>
          <w:tcPr>
            <w:tcW w:w="9637" w:type="dxa"/>
            <w:tcBorders>
              <w:top w:val="nil"/>
              <w:bottom w:val="nil"/>
            </w:tcBorders>
          </w:tcPr>
          <w:p w14:paraId="73B230D0" w14:textId="77777777" w:rsidR="008E3620" w:rsidRDefault="008E3620" w:rsidP="000458AB">
            <w:pPr>
              <w:tabs>
                <w:tab w:val="left" w:pos="3260"/>
              </w:tabs>
              <w:spacing w:after="120"/>
              <w:ind w:left="3260" w:right="1134" w:hanging="2126"/>
              <w:jc w:val="both"/>
            </w:pPr>
            <w:r>
              <w:rPr>
                <w:b/>
              </w:rPr>
              <w:t xml:space="preserve">Action to </w:t>
            </w:r>
            <w:r>
              <w:rPr>
                <w:b/>
                <w:szCs w:val="22"/>
              </w:rPr>
              <w:t>be</w:t>
            </w:r>
            <w:r>
              <w:rPr>
                <w:b/>
              </w:rPr>
              <w:t xml:space="preserve"> taken</w:t>
            </w:r>
            <w:r>
              <w:t>:</w:t>
            </w:r>
            <w:r>
              <w:tab/>
              <w:t xml:space="preserve">Amend 4.1.8 and P622 </w:t>
            </w:r>
          </w:p>
        </w:tc>
      </w:tr>
      <w:tr w:rsidR="008E3620" w14:paraId="4947868C" w14:textId="77777777" w:rsidTr="000458AB">
        <w:trPr>
          <w:jc w:val="center"/>
        </w:trPr>
        <w:tc>
          <w:tcPr>
            <w:tcW w:w="9637" w:type="dxa"/>
            <w:tcBorders>
              <w:top w:val="nil"/>
            </w:tcBorders>
          </w:tcPr>
          <w:p w14:paraId="3BCD2D16" w14:textId="77777777" w:rsidR="008E3620" w:rsidRDefault="008E3620" w:rsidP="000458AB">
            <w:pPr>
              <w:suppressAutoHyphens w:val="0"/>
            </w:pPr>
          </w:p>
        </w:tc>
      </w:tr>
    </w:tbl>
    <w:p w14:paraId="2AD9A814" w14:textId="77777777" w:rsidR="008E3620" w:rsidRDefault="008E3620" w:rsidP="008E3620">
      <w:pPr>
        <w:pStyle w:val="HChG"/>
      </w:pPr>
      <w:r>
        <w:tab/>
      </w:r>
      <w:r>
        <w:tab/>
        <w:t>Introduction</w:t>
      </w:r>
    </w:p>
    <w:p w14:paraId="7B11C8F9" w14:textId="77777777" w:rsidR="008E3620" w:rsidRDefault="008E3620" w:rsidP="008E3620">
      <w:pPr>
        <w:pStyle w:val="SingleTxtG"/>
      </w:pPr>
      <w:r>
        <w:t>1.</w:t>
      </w:r>
      <w:r>
        <w:tab/>
        <w:t xml:space="preserve">Unlike the provisions for other infectious substances of category A (UN 2814 and 2900), the provisions for medical waste of category A of UN 3549 (SP 395, P622, LP622) do not refer to 4.1.8. </w:t>
      </w:r>
      <w:proofErr w:type="gramStart"/>
      <w:r>
        <w:t>As a consequence</w:t>
      </w:r>
      <w:proofErr w:type="gramEnd"/>
      <w:r>
        <w:t>, contrary to UN 2814 and 2900 in 4.1.8.2, for medical waste the period of use permitted for plastics drums and jerricans is limited according to 4.1.1.15 and the provisions for reuse of the empty packaging of 4.1.8.4 are not applying. In the Model Regulations these provisions are provided for in 4.1.8 and contrary to P620, for UN 2814 and 2900 there is no cross reference to 4.1.8 foreseen in P622 for medical waste of UN 3549.</w:t>
      </w:r>
    </w:p>
    <w:p w14:paraId="7458041F" w14:textId="77777777" w:rsidR="008E3620" w:rsidRDefault="008E3620" w:rsidP="008E3620">
      <w:pPr>
        <w:pStyle w:val="SingleTxtG"/>
      </w:pPr>
      <w:r>
        <w:t>2.</w:t>
      </w:r>
      <w:r>
        <w:tab/>
      </w:r>
      <w:r w:rsidRPr="00486B58">
        <w:t xml:space="preserve">There are some arguments which would justify </w:t>
      </w:r>
      <w:proofErr w:type="gramStart"/>
      <w:r w:rsidRPr="00486B58">
        <w:t>to apply</w:t>
      </w:r>
      <w:proofErr w:type="gramEnd"/>
      <w:r w:rsidRPr="00486B58">
        <w:t xml:space="preserve"> for UN 3549 the same rule</w:t>
      </w:r>
      <w:r>
        <w:t>s as for</w:t>
      </w:r>
      <w:r w:rsidRPr="00486B58">
        <w:t xml:space="preserve"> UN 2814 and 2900: </w:t>
      </w:r>
    </w:p>
    <w:p w14:paraId="6FA30947" w14:textId="5617A3BF" w:rsidR="008E3620" w:rsidRPr="00911992" w:rsidRDefault="008E3620" w:rsidP="008E3620">
      <w:pPr>
        <w:pStyle w:val="H23G"/>
      </w:pPr>
      <w:r>
        <w:tab/>
      </w:r>
      <w:r>
        <w:tab/>
      </w:r>
      <w:r w:rsidRPr="00911992">
        <w:t>Regarding 4.1.8.2</w:t>
      </w:r>
    </w:p>
    <w:p w14:paraId="5CA7D7E9" w14:textId="007C9DC7" w:rsidR="008E3620" w:rsidRDefault="00753D31" w:rsidP="008E3620">
      <w:pPr>
        <w:pStyle w:val="SingleTxtG"/>
      </w:pPr>
      <w:r>
        <w:rPr>
          <w:color w:val="000000"/>
        </w:rPr>
        <w:t>3.</w:t>
      </w:r>
      <w:r>
        <w:rPr>
          <w:color w:val="000000"/>
        </w:rPr>
        <w:tab/>
      </w:r>
      <w:r w:rsidR="008E3620">
        <w:rPr>
          <w:color w:val="000000"/>
        </w:rPr>
        <w:t xml:space="preserve">Because 4.1.1.15 is not applicable to UN 2814 and 2900, </w:t>
      </w:r>
      <w:r w:rsidR="008E3620">
        <w:t xml:space="preserve">the possibility to extent </w:t>
      </w:r>
      <w:r w:rsidR="008E3620">
        <w:rPr>
          <w:color w:val="000000"/>
        </w:rPr>
        <w:t>the period of use of plastic packaging beyond what is foreseen in 4.1.1.15 (5 years) exists according to the list of applicable provision mentioned in 4.1.8.2. This means that only for these two entries the use of plastic packaging above the limits of use in 4.1.1.15 is allowed. For UN 3549, because the heading of 4.1.8 does not mention this entry, the texts don’t allow to use plastic packaging above the period specified in 4.1.1.15. H</w:t>
      </w:r>
      <w:r w:rsidR="008E3620" w:rsidRPr="00486B58">
        <w:t xml:space="preserve">ospitals must </w:t>
      </w:r>
      <w:r w:rsidR="008E3620">
        <w:t xml:space="preserve">however </w:t>
      </w:r>
      <w:r w:rsidR="008E3620" w:rsidRPr="00486B58">
        <w:t xml:space="preserve">have these packaging urgently available when a patient appears with a disease of this type, so that </w:t>
      </w:r>
      <w:r w:rsidR="008E3620" w:rsidRPr="00486B58">
        <w:lastRenderedPageBreak/>
        <w:t xml:space="preserve">these packaging must exist in the hospital stock. However, as this type of disease is relatively rare, it is likely that </w:t>
      </w:r>
      <w:proofErr w:type="spellStart"/>
      <w:r w:rsidR="008E3620" w:rsidRPr="00486B58">
        <w:t>packagings</w:t>
      </w:r>
      <w:proofErr w:type="spellEnd"/>
      <w:r w:rsidR="008E3620" w:rsidRPr="00486B58">
        <w:t xml:space="preserve"> will not be used regularly and will remain in hospital stocks for a long time without being used. </w:t>
      </w:r>
      <w:r w:rsidR="008E3620">
        <w:t xml:space="preserve">This is already the case in our country. The </w:t>
      </w:r>
      <w:r w:rsidR="008E3620" w:rsidRPr="00486B58">
        <w:t xml:space="preserve">5-year limit </w:t>
      </w:r>
      <w:r w:rsidR="008E3620">
        <w:t>only applicable to plastic</w:t>
      </w:r>
      <w:r w:rsidR="008E3620" w:rsidRPr="00486B58">
        <w:t xml:space="preserve"> packaging for medical waste of Category A is not justified. This limit of use is maybe justified for </w:t>
      </w:r>
      <w:proofErr w:type="spellStart"/>
      <w:r w:rsidR="008E3620" w:rsidRPr="00486B58">
        <w:t>packagings</w:t>
      </w:r>
      <w:proofErr w:type="spellEnd"/>
      <w:r w:rsidR="008E3620" w:rsidRPr="00486B58">
        <w:t xml:space="preserve"> which have been used with different contents or filled with dangerous goods under ambient conditions likely to influence the performances of the packaging. </w:t>
      </w:r>
      <w:r w:rsidR="008E3620">
        <w:t xml:space="preserve">As in case of </w:t>
      </w:r>
      <w:proofErr w:type="spellStart"/>
      <w:r w:rsidR="008E3620">
        <w:t>packagings</w:t>
      </w:r>
      <w:proofErr w:type="spellEnd"/>
      <w:r w:rsidR="008E3620">
        <w:t xml:space="preserve"> for UN </w:t>
      </w:r>
      <w:r w:rsidR="00F60240">
        <w:t xml:space="preserve">Nos </w:t>
      </w:r>
      <w:r w:rsidR="008E3620">
        <w:t>2814</w:t>
      </w:r>
      <w:r w:rsidR="00F60240">
        <w:t xml:space="preserve"> and </w:t>
      </w:r>
      <w:r w:rsidR="008E3620">
        <w:t>2900, t</w:t>
      </w:r>
      <w:r w:rsidR="008E3620" w:rsidRPr="00486B58">
        <w:t xml:space="preserve">his should not be the case for new </w:t>
      </w:r>
      <w:proofErr w:type="spellStart"/>
      <w:r w:rsidR="008E3620" w:rsidRPr="00486B58">
        <w:t>packagings</w:t>
      </w:r>
      <w:proofErr w:type="spellEnd"/>
      <w:r w:rsidR="008E3620" w:rsidRPr="00486B58">
        <w:t xml:space="preserve"> stored in hospitals, awaiting the arrival of patients with diseases of category A or for </w:t>
      </w:r>
      <w:proofErr w:type="spellStart"/>
      <w:r w:rsidR="008E3620" w:rsidRPr="00486B58">
        <w:t>packagings</w:t>
      </w:r>
      <w:proofErr w:type="spellEnd"/>
      <w:r w:rsidR="008E3620" w:rsidRPr="00486B58">
        <w:t xml:space="preserve"> dedicated to the carriage of UN No. 3549. </w:t>
      </w:r>
      <w:r w:rsidR="008E3620">
        <w:t xml:space="preserve">The outer </w:t>
      </w:r>
      <w:proofErr w:type="spellStart"/>
      <w:r w:rsidR="008E3620">
        <w:t>packaging</w:t>
      </w:r>
      <w:r w:rsidR="00F60240">
        <w:t>s</w:t>
      </w:r>
      <w:proofErr w:type="spellEnd"/>
      <w:r w:rsidR="008E3620">
        <w:t xml:space="preserve"> are not directly in contact with the products and the solid infectious substances are unlikely to be so aggressive that they could change the structure of the </w:t>
      </w:r>
      <w:proofErr w:type="spellStart"/>
      <w:r w:rsidR="008E3620">
        <w:t>packagings</w:t>
      </w:r>
      <w:proofErr w:type="spellEnd"/>
      <w:r w:rsidR="008E3620">
        <w:t xml:space="preserve"> at all.</w:t>
      </w:r>
      <w:r w:rsidR="008E3620" w:rsidRPr="005606D0">
        <w:t xml:space="preserve"> </w:t>
      </w:r>
    </w:p>
    <w:p w14:paraId="2E12EDDF" w14:textId="4B9ED22A" w:rsidR="008E3620" w:rsidRDefault="00F60240" w:rsidP="008E3620">
      <w:pPr>
        <w:pStyle w:val="SingleTxtG"/>
      </w:pPr>
      <w:r>
        <w:t>4.</w:t>
      </w:r>
      <w:r>
        <w:tab/>
      </w:r>
      <w:r w:rsidR="008E3620">
        <w:t>One could argue that o</w:t>
      </w:r>
      <w:r w:rsidR="008E3620">
        <w:rPr>
          <w:color w:val="000000"/>
        </w:rPr>
        <w:t xml:space="preserve">nly packaging agreed according to </w:t>
      </w:r>
      <w:r>
        <w:rPr>
          <w:color w:val="000000"/>
        </w:rPr>
        <w:t>c</w:t>
      </w:r>
      <w:r w:rsidR="008E3620" w:rsidRPr="003F776B">
        <w:rPr>
          <w:color w:val="000000"/>
        </w:rPr>
        <w:t>hap</w:t>
      </w:r>
      <w:r>
        <w:rPr>
          <w:color w:val="000000"/>
        </w:rPr>
        <w:t>ter</w:t>
      </w:r>
      <w:r w:rsidR="008E3620" w:rsidRPr="003F776B">
        <w:rPr>
          <w:color w:val="000000"/>
        </w:rPr>
        <w:t xml:space="preserve">6.3 (P620) subject to stricter tests (9 m </w:t>
      </w:r>
      <w:r w:rsidR="008E3620">
        <w:rPr>
          <w:color w:val="000000"/>
        </w:rPr>
        <w:t>drop test</w:t>
      </w:r>
      <w:r w:rsidR="008E3620" w:rsidRPr="003F776B">
        <w:rPr>
          <w:color w:val="000000"/>
        </w:rPr>
        <w:t xml:space="preserve">), that are more expensive and </w:t>
      </w:r>
      <w:r w:rsidR="008E3620">
        <w:rPr>
          <w:color w:val="000000"/>
        </w:rPr>
        <w:t xml:space="preserve">whose code for designating types display the marking “class 6.2”, </w:t>
      </w:r>
      <w:proofErr w:type="gramStart"/>
      <w:r w:rsidR="008E3620">
        <w:rPr>
          <w:color w:val="000000"/>
        </w:rPr>
        <w:t>are allowed to</w:t>
      </w:r>
      <w:proofErr w:type="gramEnd"/>
      <w:r w:rsidR="008E3620">
        <w:rPr>
          <w:color w:val="000000"/>
        </w:rPr>
        <w:t xml:space="preserve"> be used after the five</w:t>
      </w:r>
      <w:r w:rsidR="006D0F98">
        <w:rPr>
          <w:color w:val="000000"/>
        </w:rPr>
        <w:t>-</w:t>
      </w:r>
      <w:r w:rsidR="008E3620">
        <w:rPr>
          <w:color w:val="000000"/>
        </w:rPr>
        <w:t xml:space="preserve">year period. Altogether, this means that these </w:t>
      </w:r>
      <w:proofErr w:type="spellStart"/>
      <w:r w:rsidR="008E3620">
        <w:rPr>
          <w:color w:val="000000"/>
        </w:rPr>
        <w:t>packagings</w:t>
      </w:r>
      <w:proofErr w:type="spellEnd"/>
      <w:r w:rsidR="008E3620">
        <w:rPr>
          <w:color w:val="000000"/>
        </w:rPr>
        <w:t xml:space="preserve"> have a dedicated use for category A infectious substances.</w:t>
      </w:r>
      <w:r w:rsidR="008E3620" w:rsidRPr="003F776B">
        <w:rPr>
          <w:color w:val="000000"/>
        </w:rPr>
        <w:t xml:space="preserve"> </w:t>
      </w:r>
      <w:r w:rsidR="008E3620">
        <w:rPr>
          <w:color w:val="000000"/>
        </w:rPr>
        <w:t xml:space="preserve">As a matter </w:t>
      </w:r>
      <w:r>
        <w:rPr>
          <w:color w:val="000000"/>
        </w:rPr>
        <w:t>of</w:t>
      </w:r>
      <w:r w:rsidR="008E3620">
        <w:rPr>
          <w:color w:val="000000"/>
        </w:rPr>
        <w:t xml:space="preserve"> fact, t</w:t>
      </w:r>
      <w:r w:rsidR="008E3620" w:rsidRPr="003F776B">
        <w:rPr>
          <w:color w:val="000000"/>
        </w:rPr>
        <w:t xml:space="preserve">his is not the case with the </w:t>
      </w:r>
      <w:proofErr w:type="spellStart"/>
      <w:r w:rsidR="008E3620" w:rsidRPr="003F776B">
        <w:rPr>
          <w:color w:val="000000"/>
        </w:rPr>
        <w:t>packaging</w:t>
      </w:r>
      <w:r>
        <w:rPr>
          <w:color w:val="000000"/>
        </w:rPr>
        <w:t>s</w:t>
      </w:r>
      <w:proofErr w:type="spellEnd"/>
      <w:r w:rsidR="008E3620" w:rsidRPr="003F776B">
        <w:rPr>
          <w:color w:val="000000"/>
        </w:rPr>
        <w:t xml:space="preserve"> </w:t>
      </w:r>
      <w:r w:rsidR="008E3620">
        <w:rPr>
          <w:color w:val="000000"/>
        </w:rPr>
        <w:t xml:space="preserve">for UN 3459 </w:t>
      </w:r>
      <w:r w:rsidR="008E3620" w:rsidRPr="003F776B">
        <w:rPr>
          <w:color w:val="000000"/>
        </w:rPr>
        <w:t xml:space="preserve">in the new P622. It is therefore conceivable that they are intended first for other products and then for the transport </w:t>
      </w:r>
      <w:r w:rsidR="008E3620">
        <w:rPr>
          <w:color w:val="000000"/>
        </w:rPr>
        <w:t xml:space="preserve">waste </w:t>
      </w:r>
      <w:r w:rsidR="008E3620" w:rsidRPr="003F776B">
        <w:rPr>
          <w:color w:val="000000"/>
        </w:rPr>
        <w:t xml:space="preserve">of </w:t>
      </w:r>
      <w:r w:rsidR="008E3620">
        <w:rPr>
          <w:color w:val="000000"/>
        </w:rPr>
        <w:t>UN 3549</w:t>
      </w:r>
      <w:r w:rsidR="008E3620" w:rsidRPr="003F776B">
        <w:rPr>
          <w:color w:val="000000"/>
        </w:rPr>
        <w:t xml:space="preserve">. </w:t>
      </w:r>
      <w:r w:rsidR="008E3620">
        <w:rPr>
          <w:color w:val="000000"/>
        </w:rPr>
        <w:t>In fact it is true that r</w:t>
      </w:r>
      <w:r w:rsidR="008E3620" w:rsidRPr="003F776B">
        <w:rPr>
          <w:color w:val="000000"/>
        </w:rPr>
        <w:t xml:space="preserve">euse, whether for other </w:t>
      </w:r>
      <w:r w:rsidR="008E3620">
        <w:rPr>
          <w:color w:val="000000"/>
        </w:rPr>
        <w:t xml:space="preserve">dangerous goods </w:t>
      </w:r>
      <w:r w:rsidR="008E3620" w:rsidRPr="003F776B">
        <w:rPr>
          <w:color w:val="000000"/>
        </w:rPr>
        <w:t xml:space="preserve">or </w:t>
      </w:r>
      <w:r w:rsidR="008E3620">
        <w:rPr>
          <w:color w:val="000000"/>
        </w:rPr>
        <w:t xml:space="preserve">only </w:t>
      </w:r>
      <w:r w:rsidR="008E3620" w:rsidRPr="003F776B">
        <w:rPr>
          <w:color w:val="000000"/>
        </w:rPr>
        <w:t>for UN 3549, is also not excluded</w:t>
      </w:r>
      <w:r w:rsidR="008E3620">
        <w:rPr>
          <w:color w:val="000000"/>
        </w:rPr>
        <w:t xml:space="preserve"> for outer </w:t>
      </w:r>
      <w:proofErr w:type="spellStart"/>
      <w:r w:rsidR="008E3620">
        <w:rPr>
          <w:color w:val="000000"/>
        </w:rPr>
        <w:t>packaging</w:t>
      </w:r>
      <w:r>
        <w:rPr>
          <w:color w:val="000000"/>
        </w:rPr>
        <w:t>s</w:t>
      </w:r>
      <w:proofErr w:type="spellEnd"/>
      <w:r w:rsidR="008E3620">
        <w:rPr>
          <w:color w:val="000000"/>
        </w:rPr>
        <w:t xml:space="preserve"> listed in P622 and even if the test foreseen in </w:t>
      </w:r>
      <w:r>
        <w:rPr>
          <w:color w:val="000000"/>
        </w:rPr>
        <w:t>ch</w:t>
      </w:r>
      <w:r w:rsidR="008E3620">
        <w:rPr>
          <w:color w:val="000000"/>
        </w:rPr>
        <w:t xml:space="preserve">apter 6.3, particularly the drop test of 9 m is </w:t>
      </w:r>
      <w:r>
        <w:rPr>
          <w:color w:val="000000"/>
        </w:rPr>
        <w:t>stricter than</w:t>
      </w:r>
      <w:r w:rsidR="008E3620">
        <w:rPr>
          <w:color w:val="000000"/>
        </w:rPr>
        <w:t xml:space="preserve"> the drop text of 1,8 m for PG I </w:t>
      </w:r>
      <w:proofErr w:type="spellStart"/>
      <w:r w:rsidR="008E3620">
        <w:rPr>
          <w:color w:val="000000"/>
        </w:rPr>
        <w:t>packaging</w:t>
      </w:r>
      <w:r>
        <w:rPr>
          <w:color w:val="000000"/>
        </w:rPr>
        <w:t>s</w:t>
      </w:r>
      <w:proofErr w:type="spellEnd"/>
      <w:r w:rsidR="008E3620">
        <w:rPr>
          <w:color w:val="000000"/>
        </w:rPr>
        <w:t xml:space="preserve"> for UN 3549, w</w:t>
      </w:r>
      <w:r w:rsidR="008E3620">
        <w:t xml:space="preserve">e wonder if this </w:t>
      </w:r>
      <w:r w:rsidR="008E3620" w:rsidRPr="00EC2CAC">
        <w:t xml:space="preserve">9 </w:t>
      </w:r>
      <w:r w:rsidR="008E3620">
        <w:t xml:space="preserve">m drop test applying to UN 2814 and 2900 </w:t>
      </w:r>
      <w:r w:rsidR="008E3620" w:rsidRPr="00EC2CAC">
        <w:t xml:space="preserve">is the explanation </w:t>
      </w:r>
      <w:r w:rsidR="008E3620">
        <w:t xml:space="preserve">justifying </w:t>
      </w:r>
      <w:r w:rsidR="008E3620" w:rsidRPr="00EC2CAC">
        <w:t xml:space="preserve">to exceed 5 years. </w:t>
      </w:r>
      <w:r w:rsidR="008E3620">
        <w:t xml:space="preserve">We believe instead that it is more </w:t>
      </w:r>
      <w:r w:rsidR="008E3620" w:rsidRPr="00EC2CAC">
        <w:t xml:space="preserve">the type of products transported, </w:t>
      </w:r>
      <w:r w:rsidR="008E3620">
        <w:t xml:space="preserve">that is </w:t>
      </w:r>
      <w:r w:rsidR="008E3620" w:rsidRPr="00EC2CAC">
        <w:t>infectious materials</w:t>
      </w:r>
      <w:r w:rsidR="008E3620">
        <w:t xml:space="preserve"> having </w:t>
      </w:r>
      <w:r w:rsidR="008E3620" w:rsidRPr="00EC2CAC">
        <w:t>no influence on the resistance of the packaging in the long term</w:t>
      </w:r>
      <w:r w:rsidR="008E3620">
        <w:t xml:space="preserve">, which determines the possibility to extend their use after 5 years as it is </w:t>
      </w:r>
      <w:proofErr w:type="gramStart"/>
      <w:r w:rsidR="008E3620">
        <w:t>actually the</w:t>
      </w:r>
      <w:proofErr w:type="gramEnd"/>
      <w:r w:rsidR="008E3620">
        <w:t xml:space="preserve"> case for UN </w:t>
      </w:r>
      <w:r>
        <w:t xml:space="preserve">Nos. </w:t>
      </w:r>
      <w:r w:rsidR="008E3620">
        <w:t>2814</w:t>
      </w:r>
      <w:r>
        <w:t xml:space="preserve"> and </w:t>
      </w:r>
      <w:r w:rsidR="008E3620">
        <w:t xml:space="preserve">2900. </w:t>
      </w:r>
    </w:p>
    <w:p w14:paraId="273C50E4" w14:textId="1A3C815B" w:rsidR="008E3620" w:rsidRDefault="00F60240" w:rsidP="008E3620">
      <w:pPr>
        <w:pStyle w:val="SingleTxtG"/>
      </w:pPr>
      <w:r>
        <w:t>5.</w:t>
      </w:r>
      <w:r>
        <w:tab/>
      </w:r>
      <w:r w:rsidR="008E3620">
        <w:t>It seems then that the same criteria should apply for UN 3549. This means that for plastics drums and jerricans, in order to limit their duration of use, only the kind of product carried during the 5 years period is relevant. I</w:t>
      </w:r>
      <w:r w:rsidR="008E3620" w:rsidRPr="009272FA">
        <w:t>f it is guaranteed that P622</w:t>
      </w:r>
      <w:r w:rsidR="008E3620">
        <w:t xml:space="preserve"> plastic </w:t>
      </w:r>
      <w:r w:rsidR="008E3620" w:rsidRPr="009272FA">
        <w:t xml:space="preserve">packaging </w:t>
      </w:r>
      <w:r w:rsidR="008E3620">
        <w:t>are</w:t>
      </w:r>
      <w:r w:rsidR="008E3620" w:rsidRPr="009272FA">
        <w:t xml:space="preserve"> only used for infectious materials, </w:t>
      </w:r>
      <w:r w:rsidR="008E3620">
        <w:t xml:space="preserve">it </w:t>
      </w:r>
      <w:r w:rsidR="008E3620" w:rsidRPr="009272FA">
        <w:t xml:space="preserve">could be considered to give them </w:t>
      </w:r>
      <w:r w:rsidR="008E3620">
        <w:t xml:space="preserve">the same </w:t>
      </w:r>
      <w:r w:rsidR="008E3620" w:rsidRPr="009272FA">
        <w:t>durat</w:t>
      </w:r>
      <w:r w:rsidR="008E3620">
        <w:t xml:space="preserve">ion of use as for UN </w:t>
      </w:r>
      <w:r>
        <w:t xml:space="preserve">Nos </w:t>
      </w:r>
      <w:r w:rsidR="008E3620">
        <w:t>2814</w:t>
      </w:r>
      <w:r>
        <w:t xml:space="preserve"> and </w:t>
      </w:r>
      <w:r w:rsidR="008E3620">
        <w:t>2900 of more than 5 years</w:t>
      </w:r>
      <w:r w:rsidR="008E3620" w:rsidRPr="009272FA">
        <w:t xml:space="preserve"> without the approval on a case-by-case basis of the authority as provided for on 4.1.1.15</w:t>
      </w:r>
      <w:r w:rsidR="008E3620">
        <w:t xml:space="preserve">. </w:t>
      </w:r>
      <w:r w:rsidR="008E3620" w:rsidRPr="009272FA">
        <w:t>In principle, the</w:t>
      </w:r>
      <w:r w:rsidR="008E3620">
        <w:t xml:space="preserve"> plastic </w:t>
      </w:r>
      <w:proofErr w:type="spellStart"/>
      <w:r w:rsidR="008E3620">
        <w:t>packagings</w:t>
      </w:r>
      <w:proofErr w:type="spellEnd"/>
      <w:r w:rsidR="008E3620">
        <w:t xml:space="preserve"> could </w:t>
      </w:r>
      <w:r w:rsidR="008E3620" w:rsidRPr="009272FA">
        <w:t xml:space="preserve">have the same </w:t>
      </w:r>
      <w:r w:rsidR="008E3620">
        <w:t xml:space="preserve">use </w:t>
      </w:r>
      <w:r w:rsidR="008E3620" w:rsidRPr="009272FA">
        <w:t xml:space="preserve">as those </w:t>
      </w:r>
      <w:r w:rsidR="008E3620">
        <w:t xml:space="preserve">for UN </w:t>
      </w:r>
      <w:r>
        <w:t xml:space="preserve">Nos </w:t>
      </w:r>
      <w:r w:rsidR="008E3620">
        <w:t>2814</w:t>
      </w:r>
      <w:r>
        <w:t xml:space="preserve"> and </w:t>
      </w:r>
      <w:r w:rsidR="008E3620">
        <w:t>2900.</w:t>
      </w:r>
    </w:p>
    <w:p w14:paraId="4FF7FC3D" w14:textId="33F26394" w:rsidR="008E3620" w:rsidRPr="00486B58" w:rsidRDefault="00F60240" w:rsidP="008E3620">
      <w:pPr>
        <w:pStyle w:val="SingleTxtG"/>
      </w:pPr>
      <w:r>
        <w:t>6.</w:t>
      </w:r>
      <w:r>
        <w:tab/>
      </w:r>
      <w:r w:rsidR="008E3620">
        <w:t xml:space="preserve">A further argument in favour of the use of plastics drums and jerricans after 5 years is that the limitation of 5 years does not exist for plastic large </w:t>
      </w:r>
      <w:proofErr w:type="spellStart"/>
      <w:r w:rsidR="008E3620">
        <w:t>packagings</w:t>
      </w:r>
      <w:proofErr w:type="spellEnd"/>
      <w:r w:rsidR="008E3620">
        <w:t xml:space="preserve"> conforming to LP622 used for UN 3549. The reason is probably because large </w:t>
      </w:r>
      <w:proofErr w:type="spellStart"/>
      <w:r w:rsidR="008E3620">
        <w:t>packaging</w:t>
      </w:r>
      <w:r>
        <w:t>s</w:t>
      </w:r>
      <w:proofErr w:type="spellEnd"/>
      <w:r w:rsidR="008E3620">
        <w:t xml:space="preserve"> are not in contact with the products as is also the case of plastics drums and jerricans used as outer </w:t>
      </w:r>
      <w:proofErr w:type="spellStart"/>
      <w:r w:rsidR="008E3620">
        <w:t>packaging</w:t>
      </w:r>
      <w:r>
        <w:t>s</w:t>
      </w:r>
      <w:proofErr w:type="spellEnd"/>
      <w:r w:rsidR="008E3620">
        <w:t xml:space="preserve"> according to P622.</w:t>
      </w:r>
    </w:p>
    <w:p w14:paraId="77949FF3" w14:textId="23CA0DD2" w:rsidR="008E3620" w:rsidRDefault="008E3620" w:rsidP="008E3620">
      <w:pPr>
        <w:pStyle w:val="H23G"/>
      </w:pPr>
      <w:r>
        <w:tab/>
      </w:r>
      <w:r>
        <w:tab/>
      </w:r>
      <w:r w:rsidRPr="00911992">
        <w:t>Regarding 4.1.8.4</w:t>
      </w:r>
    </w:p>
    <w:p w14:paraId="1BC92DC8" w14:textId="39E2D943" w:rsidR="008E3620" w:rsidRDefault="00F60240" w:rsidP="008E3620">
      <w:pPr>
        <w:pStyle w:val="SingleTxtG"/>
      </w:pPr>
      <w:r>
        <w:t>7.</w:t>
      </w:r>
      <w:r>
        <w:tab/>
      </w:r>
      <w:r w:rsidR="008E3620">
        <w:t xml:space="preserve">We wonder if the intention was to forbid the reuse of </w:t>
      </w:r>
      <w:proofErr w:type="spellStart"/>
      <w:r w:rsidR="008E3620">
        <w:t>packagings</w:t>
      </w:r>
      <w:proofErr w:type="spellEnd"/>
      <w:r w:rsidR="008E3620">
        <w:t xml:space="preserve">. Even if such a possibility is not possible at every disposal plant, there is no real reason to forbid it. During the development of the texts for the new entry UN 3549 by the Sub-Committee, the possibility of reuse had been suggested by one of the participants but has not been maintained in the text in the final version presented during the </w:t>
      </w:r>
      <w:r>
        <w:t>51</w:t>
      </w:r>
      <w:r w:rsidRPr="006D0F98">
        <w:t>st</w:t>
      </w:r>
      <w:r>
        <w:t xml:space="preserve"> </w:t>
      </w:r>
      <w:r w:rsidR="006D0F98">
        <w:t xml:space="preserve">session </w:t>
      </w:r>
      <w:r>
        <w:t>(July 2017)</w:t>
      </w:r>
      <w:r w:rsidR="008E3620">
        <w:t>. T</w:t>
      </w:r>
      <w:r w:rsidR="008E3620" w:rsidRPr="00EC2CAC">
        <w:t xml:space="preserve">here is </w:t>
      </w:r>
      <w:r w:rsidR="008E3620">
        <w:t xml:space="preserve">however </w:t>
      </w:r>
      <w:r w:rsidR="008E3620" w:rsidRPr="00EC2CAC">
        <w:t xml:space="preserve">nothing intended to prohibit </w:t>
      </w:r>
      <w:r w:rsidR="008E3620">
        <w:t>the reuse</w:t>
      </w:r>
      <w:r w:rsidR="008E3620" w:rsidRPr="00EC2CAC">
        <w:t xml:space="preserve"> of </w:t>
      </w:r>
      <w:r w:rsidR="008E3620">
        <w:t xml:space="preserve">packaging conforming to </w:t>
      </w:r>
      <w:r w:rsidR="008E3620" w:rsidRPr="00EC2CAC">
        <w:t>P622</w:t>
      </w:r>
      <w:r w:rsidR="008E3620">
        <w:t>.</w:t>
      </w:r>
    </w:p>
    <w:p w14:paraId="0FEE18EB" w14:textId="4EB5B043" w:rsidR="008E3620" w:rsidRDefault="00F60240" w:rsidP="008E3620">
      <w:pPr>
        <w:pStyle w:val="SingleTxtG"/>
      </w:pPr>
      <w:r>
        <w:t>8</w:t>
      </w:r>
      <w:r w:rsidR="008E3620">
        <w:t>.</w:t>
      </w:r>
      <w:r w:rsidR="008E3620">
        <w:tab/>
      </w:r>
      <w:r w:rsidR="008E3620" w:rsidRPr="009C0763">
        <w:t xml:space="preserve">Apart from the issue of </w:t>
      </w:r>
      <w:r w:rsidR="008E3620">
        <w:t>information about the content in 4.1.8.3,</w:t>
      </w:r>
      <w:r w:rsidR="008E3620" w:rsidRPr="009C0763">
        <w:t xml:space="preserve"> </w:t>
      </w:r>
      <w:r w:rsidR="008E3620">
        <w:t>the other provisions of 4.1.8 seem to be appropriate also for wastes of UN 3549.</w:t>
      </w:r>
    </w:p>
    <w:p w14:paraId="3C3E98E2" w14:textId="2B37DAC6" w:rsidR="008E3620" w:rsidRDefault="00F60240" w:rsidP="008E3620">
      <w:pPr>
        <w:pStyle w:val="SingleTxtG"/>
      </w:pPr>
      <w:r>
        <w:t>9</w:t>
      </w:r>
      <w:r w:rsidR="008E3620">
        <w:t>.</w:t>
      </w:r>
      <w:r w:rsidR="008E3620">
        <w:tab/>
        <w:t xml:space="preserve">We wonder if the intention was not to allow the reuse of </w:t>
      </w:r>
      <w:proofErr w:type="spellStart"/>
      <w:r w:rsidR="008E3620">
        <w:t>packagings</w:t>
      </w:r>
      <w:proofErr w:type="spellEnd"/>
      <w:r w:rsidR="008E3620">
        <w:t>. Even if such a possibility is not possible at every disposal plant, there is no real reason to forbid it.</w:t>
      </w:r>
    </w:p>
    <w:p w14:paraId="487BE1B4" w14:textId="782DE257" w:rsidR="008E3620" w:rsidRDefault="00F60240" w:rsidP="008E3620">
      <w:pPr>
        <w:pStyle w:val="SingleTxtG"/>
        <w:rPr>
          <w:color w:val="000000"/>
        </w:rPr>
      </w:pPr>
      <w:r>
        <w:t>10</w:t>
      </w:r>
      <w:r w:rsidR="008E3620">
        <w:t>.</w:t>
      </w:r>
      <w:r w:rsidR="008E3620">
        <w:tab/>
        <w:t xml:space="preserve">Another relevant question is the possibility to extent </w:t>
      </w:r>
      <w:r w:rsidR="008E3620">
        <w:rPr>
          <w:color w:val="000000"/>
        </w:rPr>
        <w:t xml:space="preserve">the period of use of plastic </w:t>
      </w:r>
      <w:proofErr w:type="spellStart"/>
      <w:r w:rsidR="008E3620">
        <w:rPr>
          <w:color w:val="000000"/>
        </w:rPr>
        <w:t>packaging</w:t>
      </w:r>
      <w:r>
        <w:rPr>
          <w:color w:val="000000"/>
        </w:rPr>
        <w:t>s</w:t>
      </w:r>
      <w:proofErr w:type="spellEnd"/>
      <w:r w:rsidR="008E3620">
        <w:rPr>
          <w:color w:val="000000"/>
        </w:rPr>
        <w:t xml:space="preserve"> beyond what is foreseen in 4.1.1.15 (5 years). According to the list of applicable </w:t>
      </w:r>
      <w:r w:rsidR="008E3620">
        <w:rPr>
          <w:color w:val="000000"/>
        </w:rPr>
        <w:lastRenderedPageBreak/>
        <w:t>provision</w:t>
      </w:r>
      <w:r>
        <w:rPr>
          <w:color w:val="000000"/>
        </w:rPr>
        <w:t>s</w:t>
      </w:r>
      <w:r w:rsidR="008E3620">
        <w:rPr>
          <w:color w:val="000000"/>
        </w:rPr>
        <w:t xml:space="preserve"> in 4.1.8.2, 4.1.1.15 is not applicable to UN 2814 and 2900. This means that only for th</w:t>
      </w:r>
      <w:r>
        <w:rPr>
          <w:color w:val="000000"/>
        </w:rPr>
        <w:t>ese</w:t>
      </w:r>
      <w:r w:rsidR="008E3620">
        <w:rPr>
          <w:color w:val="000000"/>
        </w:rPr>
        <w:t xml:space="preserve"> two entries the use of plastic </w:t>
      </w:r>
      <w:proofErr w:type="spellStart"/>
      <w:r w:rsidR="008E3620">
        <w:rPr>
          <w:color w:val="000000"/>
        </w:rPr>
        <w:t>packaging</w:t>
      </w:r>
      <w:r>
        <w:rPr>
          <w:color w:val="000000"/>
        </w:rPr>
        <w:t>s</w:t>
      </w:r>
      <w:proofErr w:type="spellEnd"/>
      <w:r w:rsidR="008E3620">
        <w:rPr>
          <w:color w:val="000000"/>
        </w:rPr>
        <w:t xml:space="preserve"> above the limits of use in 4.1.1.15 is allowed. For UN 3549 the texts don’t allow to use plastic </w:t>
      </w:r>
      <w:proofErr w:type="spellStart"/>
      <w:r w:rsidR="008E3620">
        <w:rPr>
          <w:color w:val="000000"/>
        </w:rPr>
        <w:t>packaging</w:t>
      </w:r>
      <w:r>
        <w:rPr>
          <w:color w:val="000000"/>
        </w:rPr>
        <w:t>s</w:t>
      </w:r>
      <w:proofErr w:type="spellEnd"/>
      <w:r w:rsidR="008E3620">
        <w:rPr>
          <w:color w:val="000000"/>
        </w:rPr>
        <w:t xml:space="preserve"> above the period specified in 4.1.1.15. </w:t>
      </w:r>
    </w:p>
    <w:p w14:paraId="538E9ACB" w14:textId="135112BA" w:rsidR="008E3620" w:rsidRPr="00486B58" w:rsidRDefault="00A71B65" w:rsidP="008E3620">
      <w:pPr>
        <w:pStyle w:val="SingleTxtG"/>
      </w:pPr>
      <w:r>
        <w:rPr>
          <w:color w:val="000000"/>
        </w:rPr>
        <w:t>11</w:t>
      </w:r>
      <w:r w:rsidR="008E3620">
        <w:rPr>
          <w:color w:val="000000"/>
        </w:rPr>
        <w:t>.</w:t>
      </w:r>
      <w:r w:rsidR="008E3620">
        <w:rPr>
          <w:color w:val="000000"/>
        </w:rPr>
        <w:tab/>
      </w:r>
      <w:r w:rsidR="008E3620" w:rsidRPr="00486B58">
        <w:t xml:space="preserve">There are some arguments which would justify </w:t>
      </w:r>
      <w:proofErr w:type="gramStart"/>
      <w:r w:rsidR="008E3620" w:rsidRPr="00486B58">
        <w:t>to apply</w:t>
      </w:r>
      <w:proofErr w:type="gramEnd"/>
      <w:r w:rsidR="008E3620" w:rsidRPr="00486B58">
        <w:t xml:space="preserve"> for UN 3549 the same rule of 4.1.8.</w:t>
      </w:r>
      <w:r w:rsidR="008E3620">
        <w:t>4</w:t>
      </w:r>
      <w:r w:rsidR="008E3620" w:rsidRPr="00486B58">
        <w:t xml:space="preserve"> as for UN 2814 and 2900: hospitals must have these packaging urgently available when a patient appears with a disease of this type, so that these </w:t>
      </w:r>
      <w:proofErr w:type="spellStart"/>
      <w:r w:rsidR="008E3620" w:rsidRPr="00486B58">
        <w:t>packaging</w:t>
      </w:r>
      <w:r>
        <w:t>s</w:t>
      </w:r>
      <w:proofErr w:type="spellEnd"/>
      <w:r w:rsidR="008E3620" w:rsidRPr="00486B58">
        <w:t xml:space="preserve"> must exist in the hospital stock. However, as this type of disease is relatively rare, it is likely that </w:t>
      </w:r>
      <w:proofErr w:type="spellStart"/>
      <w:r w:rsidR="008E3620" w:rsidRPr="00486B58">
        <w:t>packagings</w:t>
      </w:r>
      <w:proofErr w:type="spellEnd"/>
      <w:r w:rsidR="008E3620" w:rsidRPr="00486B58">
        <w:t xml:space="preserve"> will not be used regularly and will remain in hospital stocks for a long time without being used. A 5-year limit only for </w:t>
      </w:r>
      <w:proofErr w:type="spellStart"/>
      <w:r w:rsidR="008E3620" w:rsidRPr="00486B58">
        <w:t>packaging</w:t>
      </w:r>
      <w:r>
        <w:t>s</w:t>
      </w:r>
      <w:proofErr w:type="spellEnd"/>
      <w:r w:rsidR="008E3620" w:rsidRPr="00486B58">
        <w:t xml:space="preserve"> for medical waste of Category A is not justified. This limit of use is maybe justified for </w:t>
      </w:r>
      <w:proofErr w:type="spellStart"/>
      <w:r w:rsidR="008E3620" w:rsidRPr="00486B58">
        <w:t>packagings</w:t>
      </w:r>
      <w:proofErr w:type="spellEnd"/>
      <w:r w:rsidR="008E3620" w:rsidRPr="00486B58">
        <w:t xml:space="preserve"> which have been used with different contents or filled with dangerous goods under ambient conditions likely to influence the performances of the packaging. This should not be the case for new </w:t>
      </w:r>
      <w:proofErr w:type="spellStart"/>
      <w:r w:rsidR="008E3620" w:rsidRPr="00486B58">
        <w:t>packagings</w:t>
      </w:r>
      <w:proofErr w:type="spellEnd"/>
      <w:r w:rsidR="008E3620" w:rsidRPr="00486B58">
        <w:t xml:space="preserve"> stored in hospitals, awaiting the arrival of patients with diseases of category A or for </w:t>
      </w:r>
      <w:proofErr w:type="spellStart"/>
      <w:r w:rsidR="008E3620" w:rsidRPr="00486B58">
        <w:t>packagings</w:t>
      </w:r>
      <w:proofErr w:type="spellEnd"/>
      <w:r w:rsidR="008E3620" w:rsidRPr="00486B58">
        <w:t xml:space="preserve"> dedicated to the carriage of UN No. 3549. </w:t>
      </w:r>
      <w:r w:rsidR="008E3620">
        <w:t xml:space="preserve">The outer </w:t>
      </w:r>
      <w:proofErr w:type="spellStart"/>
      <w:r w:rsidR="008E3620">
        <w:t>packaging</w:t>
      </w:r>
      <w:r>
        <w:t>s</w:t>
      </w:r>
      <w:proofErr w:type="spellEnd"/>
      <w:r w:rsidR="008E3620">
        <w:t xml:space="preserve"> are not directly in contact with the products and the solid infectious substances are unlikely to be so aggressive that they could change the structure of the </w:t>
      </w:r>
      <w:proofErr w:type="spellStart"/>
      <w:r w:rsidR="008E3620">
        <w:t>packagings</w:t>
      </w:r>
      <w:proofErr w:type="spellEnd"/>
      <w:r w:rsidR="008E3620">
        <w:t xml:space="preserve"> at all.</w:t>
      </w:r>
    </w:p>
    <w:p w14:paraId="20D546DF" w14:textId="52E5DF8F" w:rsidR="008E3620" w:rsidRDefault="00A71B65" w:rsidP="008E3620">
      <w:pPr>
        <w:pStyle w:val="SingleTxtG"/>
        <w:rPr>
          <w:color w:val="000000"/>
        </w:rPr>
      </w:pPr>
      <w:r>
        <w:rPr>
          <w:color w:val="000000"/>
        </w:rPr>
        <w:t>12</w:t>
      </w:r>
      <w:r w:rsidR="008E3620">
        <w:rPr>
          <w:color w:val="000000"/>
        </w:rPr>
        <w:t>.</w:t>
      </w:r>
      <w:r w:rsidR="008E3620">
        <w:rPr>
          <w:color w:val="000000"/>
        </w:rPr>
        <w:tab/>
        <w:t xml:space="preserve">Only </w:t>
      </w:r>
      <w:proofErr w:type="spellStart"/>
      <w:r w:rsidR="008E3620">
        <w:rPr>
          <w:color w:val="000000"/>
        </w:rPr>
        <w:t>packaging</w:t>
      </w:r>
      <w:r>
        <w:rPr>
          <w:color w:val="000000"/>
        </w:rPr>
        <w:t>s</w:t>
      </w:r>
      <w:proofErr w:type="spellEnd"/>
      <w:r w:rsidR="008E3620">
        <w:rPr>
          <w:color w:val="000000"/>
        </w:rPr>
        <w:t xml:space="preserve"> agreed according to </w:t>
      </w:r>
      <w:r w:rsidR="008E3620" w:rsidRPr="003F776B">
        <w:rPr>
          <w:color w:val="000000"/>
        </w:rPr>
        <w:t>Chap</w:t>
      </w:r>
      <w:r>
        <w:rPr>
          <w:color w:val="000000"/>
        </w:rPr>
        <w:t>ter</w:t>
      </w:r>
      <w:r w:rsidR="008E3620" w:rsidRPr="003F776B">
        <w:rPr>
          <w:color w:val="000000"/>
        </w:rPr>
        <w:t xml:space="preserve"> 6.3 (P620) </w:t>
      </w:r>
      <w:r w:rsidR="008E3620">
        <w:rPr>
          <w:color w:val="000000"/>
        </w:rPr>
        <w:t xml:space="preserve">that </w:t>
      </w:r>
      <w:r w:rsidR="008E3620" w:rsidRPr="003F776B">
        <w:rPr>
          <w:color w:val="000000"/>
        </w:rPr>
        <w:t xml:space="preserve">are subjected to stricter tests (9 m </w:t>
      </w:r>
      <w:r w:rsidR="008E3620">
        <w:rPr>
          <w:color w:val="000000"/>
        </w:rPr>
        <w:t>drop test</w:t>
      </w:r>
      <w:r w:rsidR="008E3620" w:rsidRPr="003F776B">
        <w:rPr>
          <w:color w:val="000000"/>
        </w:rPr>
        <w:t xml:space="preserve">), that are more expensive and </w:t>
      </w:r>
      <w:r w:rsidR="008E3620">
        <w:rPr>
          <w:color w:val="000000"/>
        </w:rPr>
        <w:t xml:space="preserve">whose code for designating types display the marking “class 6.2” </w:t>
      </w:r>
      <w:proofErr w:type="gramStart"/>
      <w:r w:rsidR="008E3620">
        <w:rPr>
          <w:color w:val="000000"/>
        </w:rPr>
        <w:t>are allowed to</w:t>
      </w:r>
      <w:proofErr w:type="gramEnd"/>
      <w:r w:rsidR="008E3620">
        <w:rPr>
          <w:color w:val="000000"/>
        </w:rPr>
        <w:t xml:space="preserve"> be used after the five</w:t>
      </w:r>
      <w:r w:rsidR="00D207B0">
        <w:rPr>
          <w:color w:val="000000"/>
        </w:rPr>
        <w:t>-</w:t>
      </w:r>
      <w:r w:rsidR="008E3620">
        <w:rPr>
          <w:color w:val="000000"/>
        </w:rPr>
        <w:t xml:space="preserve">year period. Altogether, this means that these </w:t>
      </w:r>
      <w:proofErr w:type="spellStart"/>
      <w:r w:rsidR="008E3620">
        <w:rPr>
          <w:color w:val="000000"/>
        </w:rPr>
        <w:t>packagings</w:t>
      </w:r>
      <w:proofErr w:type="spellEnd"/>
      <w:r w:rsidR="008E3620">
        <w:rPr>
          <w:color w:val="000000"/>
        </w:rPr>
        <w:t xml:space="preserve"> have a dedicated use for category A infectious substances.</w:t>
      </w:r>
      <w:r w:rsidR="008E3620" w:rsidRPr="003F776B">
        <w:rPr>
          <w:color w:val="000000"/>
        </w:rPr>
        <w:t xml:space="preserve"> It is</w:t>
      </w:r>
      <w:r w:rsidR="008E3620">
        <w:rPr>
          <w:color w:val="000000"/>
        </w:rPr>
        <w:t xml:space="preserve"> in fact</w:t>
      </w:r>
      <w:r w:rsidR="008E3620" w:rsidRPr="003F776B">
        <w:rPr>
          <w:color w:val="000000"/>
        </w:rPr>
        <w:t xml:space="preserve"> unlikely, although not excluded, that </w:t>
      </w:r>
      <w:r w:rsidR="008E3620">
        <w:rPr>
          <w:color w:val="000000"/>
        </w:rPr>
        <w:t xml:space="preserve">these </w:t>
      </w:r>
      <w:r w:rsidR="008E3620" w:rsidRPr="003F776B">
        <w:rPr>
          <w:color w:val="000000"/>
        </w:rPr>
        <w:t xml:space="preserve">expensive </w:t>
      </w:r>
      <w:proofErr w:type="spellStart"/>
      <w:r w:rsidR="008E3620" w:rsidRPr="003F776B">
        <w:rPr>
          <w:color w:val="000000"/>
        </w:rPr>
        <w:t>packaging</w:t>
      </w:r>
      <w:r>
        <w:rPr>
          <w:color w:val="000000"/>
        </w:rPr>
        <w:t>s</w:t>
      </w:r>
      <w:proofErr w:type="spellEnd"/>
      <w:r w:rsidR="008E3620" w:rsidRPr="003F776B">
        <w:rPr>
          <w:color w:val="000000"/>
        </w:rPr>
        <w:t xml:space="preserve"> will be used for </w:t>
      </w:r>
      <w:r w:rsidR="008E3620">
        <w:rPr>
          <w:color w:val="000000"/>
        </w:rPr>
        <w:t xml:space="preserve">carriage </w:t>
      </w:r>
      <w:r w:rsidR="008E3620" w:rsidRPr="003F776B">
        <w:rPr>
          <w:color w:val="000000"/>
        </w:rPr>
        <w:t xml:space="preserve">other than </w:t>
      </w:r>
      <w:r>
        <w:rPr>
          <w:color w:val="000000"/>
        </w:rPr>
        <w:t xml:space="preserve">for </w:t>
      </w:r>
      <w:r w:rsidR="008E3620" w:rsidRPr="003F776B">
        <w:rPr>
          <w:color w:val="000000"/>
        </w:rPr>
        <w:t xml:space="preserve">the transport of Category A infectious materials. This is </w:t>
      </w:r>
      <w:r w:rsidR="008E3620">
        <w:rPr>
          <w:color w:val="000000"/>
        </w:rPr>
        <w:t xml:space="preserve">however </w:t>
      </w:r>
      <w:r w:rsidR="008E3620" w:rsidRPr="003F776B">
        <w:rPr>
          <w:color w:val="000000"/>
        </w:rPr>
        <w:t xml:space="preserve">not the case with the packaging </w:t>
      </w:r>
      <w:r w:rsidR="008E3620">
        <w:rPr>
          <w:color w:val="000000"/>
        </w:rPr>
        <w:t xml:space="preserve">for UN 3459 </w:t>
      </w:r>
      <w:r w:rsidR="008E3620" w:rsidRPr="003F776B">
        <w:rPr>
          <w:color w:val="000000"/>
        </w:rPr>
        <w:t xml:space="preserve">in the new P622. It is therefore conceivable that they are intended first for other products and then for the transport </w:t>
      </w:r>
      <w:r>
        <w:rPr>
          <w:color w:val="000000"/>
        </w:rPr>
        <w:t xml:space="preserve">of </w:t>
      </w:r>
      <w:r w:rsidR="008E3620">
        <w:rPr>
          <w:color w:val="000000"/>
        </w:rPr>
        <w:t>waste</w:t>
      </w:r>
      <w:r>
        <w:rPr>
          <w:color w:val="000000"/>
        </w:rPr>
        <w:t>s</w:t>
      </w:r>
      <w:r w:rsidR="008E3620">
        <w:rPr>
          <w:color w:val="000000"/>
        </w:rPr>
        <w:t xml:space="preserve"> </w:t>
      </w:r>
      <w:r w:rsidR="008E3620" w:rsidRPr="003F776B">
        <w:rPr>
          <w:color w:val="000000"/>
        </w:rPr>
        <w:t xml:space="preserve">of </w:t>
      </w:r>
      <w:r w:rsidR="008E3620">
        <w:rPr>
          <w:color w:val="000000"/>
        </w:rPr>
        <w:t>UN 3549</w:t>
      </w:r>
      <w:r w:rsidR="008E3620" w:rsidRPr="003F776B">
        <w:rPr>
          <w:color w:val="000000"/>
        </w:rPr>
        <w:t xml:space="preserve">. Reuse, whether for other products or for UN 3549, is also not excluded. </w:t>
      </w:r>
    </w:p>
    <w:p w14:paraId="310CACC8" w14:textId="706753D7" w:rsidR="008E3620" w:rsidRDefault="00A71B65" w:rsidP="008E3620">
      <w:pPr>
        <w:pStyle w:val="SingleTxtG"/>
        <w:rPr>
          <w:color w:val="000000"/>
        </w:rPr>
      </w:pPr>
      <w:r>
        <w:rPr>
          <w:color w:val="000000"/>
        </w:rPr>
        <w:t>13</w:t>
      </w:r>
      <w:r w:rsidR="008E3620">
        <w:rPr>
          <w:color w:val="000000"/>
        </w:rPr>
        <w:t>.</w:t>
      </w:r>
      <w:r w:rsidR="008E3620">
        <w:rPr>
          <w:color w:val="000000"/>
        </w:rPr>
        <w:tab/>
        <w:t xml:space="preserve">In order to achieve the purpose for </w:t>
      </w:r>
      <w:r w:rsidR="008E3620" w:rsidRPr="00B84F72">
        <w:t>plastics drums and jerricans</w:t>
      </w:r>
      <w:r w:rsidR="008E3620">
        <w:rPr>
          <w:color w:val="000000"/>
        </w:rPr>
        <w:t xml:space="preserve"> for UN 3549 to follow the same rules as the </w:t>
      </w:r>
      <w:proofErr w:type="spellStart"/>
      <w:r w:rsidR="008E3620">
        <w:rPr>
          <w:color w:val="000000"/>
        </w:rPr>
        <w:t>pacakagings</w:t>
      </w:r>
      <w:proofErr w:type="spellEnd"/>
      <w:r w:rsidR="008E3620">
        <w:rPr>
          <w:color w:val="000000"/>
        </w:rPr>
        <w:t xml:space="preserve"> for UN 2814 and 2900 the heading of 4.1.8 should be changed</w:t>
      </w:r>
      <w:r>
        <w:rPr>
          <w:color w:val="000000"/>
        </w:rPr>
        <w:t>.</w:t>
      </w:r>
    </w:p>
    <w:p w14:paraId="4E4D5158" w14:textId="2C900C47" w:rsidR="008E3620" w:rsidRDefault="00A71B65" w:rsidP="008E3620">
      <w:pPr>
        <w:pStyle w:val="SingleTxtG"/>
        <w:rPr>
          <w:color w:val="000000"/>
        </w:rPr>
      </w:pPr>
      <w:r>
        <w:rPr>
          <w:color w:val="000000"/>
        </w:rPr>
        <w:t>14.</w:t>
      </w:r>
      <w:r>
        <w:rPr>
          <w:color w:val="000000"/>
        </w:rPr>
        <w:tab/>
      </w:r>
      <w:r w:rsidR="008E3620">
        <w:rPr>
          <w:color w:val="000000"/>
        </w:rPr>
        <w:t>We do believe</w:t>
      </w:r>
      <w:r w:rsidR="006D0F98">
        <w:rPr>
          <w:color w:val="000000"/>
        </w:rPr>
        <w:t>,</w:t>
      </w:r>
      <w:r w:rsidR="008E3620">
        <w:rPr>
          <w:color w:val="000000"/>
        </w:rPr>
        <w:t xml:space="preserve"> </w:t>
      </w:r>
      <w:r>
        <w:rPr>
          <w:color w:val="000000"/>
        </w:rPr>
        <w:t>however</w:t>
      </w:r>
      <w:r w:rsidR="006D0F98">
        <w:rPr>
          <w:color w:val="000000"/>
        </w:rPr>
        <w:t>,</w:t>
      </w:r>
      <w:r>
        <w:rPr>
          <w:color w:val="000000"/>
        </w:rPr>
        <w:t xml:space="preserve"> </w:t>
      </w:r>
      <w:r w:rsidR="008E3620">
        <w:rPr>
          <w:color w:val="000000"/>
        </w:rPr>
        <w:t xml:space="preserve">that </w:t>
      </w:r>
      <w:r w:rsidR="008E3620" w:rsidRPr="00B84F72">
        <w:t>plastics drums and jerricans</w:t>
      </w:r>
      <w:r w:rsidR="008E3620">
        <w:rPr>
          <w:color w:val="000000"/>
        </w:rPr>
        <w:t xml:space="preserve"> for UN 3549 should be allowed to follow the same rules as the </w:t>
      </w:r>
      <w:proofErr w:type="spellStart"/>
      <w:r w:rsidR="008E3620">
        <w:rPr>
          <w:color w:val="000000"/>
        </w:rPr>
        <w:t>pacakagings</w:t>
      </w:r>
      <w:proofErr w:type="spellEnd"/>
      <w:r w:rsidR="008E3620">
        <w:rPr>
          <w:color w:val="000000"/>
        </w:rPr>
        <w:t xml:space="preserve"> for UN 2814 and 2900. As it is already the case in </w:t>
      </w:r>
      <w:r>
        <w:rPr>
          <w:color w:val="000000"/>
        </w:rPr>
        <w:t xml:space="preserve">packing </w:t>
      </w:r>
      <w:r w:rsidR="008E3620">
        <w:rPr>
          <w:color w:val="000000"/>
        </w:rPr>
        <w:t>instruction P621 for wastes of infectious substances of category B, it is proposed to add the exclusion of 4.1.1.15 for them</w:t>
      </w:r>
      <w:r w:rsidR="008E3620">
        <w:rPr>
          <w:szCs w:val="24"/>
          <w:lang w:val="en-US"/>
        </w:rPr>
        <w:t>, under the condition of dedicated use to substances of class 6.2</w:t>
      </w:r>
      <w:r w:rsidR="008E3620">
        <w:rPr>
          <w:color w:val="000000"/>
        </w:rPr>
        <w:t>. This should guarantee a safe transport event if the new packaging has exceeded the 5-year period.</w:t>
      </w:r>
    </w:p>
    <w:p w14:paraId="07366AE6" w14:textId="77777777" w:rsidR="008E3620" w:rsidRDefault="008E3620" w:rsidP="008E3620">
      <w:pPr>
        <w:pStyle w:val="HChG"/>
      </w:pPr>
      <w:r>
        <w:tab/>
      </w:r>
      <w:r>
        <w:tab/>
        <w:t>Proposal</w:t>
      </w:r>
    </w:p>
    <w:p w14:paraId="4DAFA96F" w14:textId="3725C510" w:rsidR="008E3620" w:rsidRPr="00164572" w:rsidRDefault="00A71B65" w:rsidP="008E3620">
      <w:pPr>
        <w:pStyle w:val="SingleTxtG"/>
      </w:pPr>
      <w:r w:rsidRPr="00164572">
        <w:t>15</w:t>
      </w:r>
      <w:r w:rsidR="008E3620" w:rsidRPr="00164572">
        <w:t>.</w:t>
      </w:r>
      <w:r w:rsidR="008E3620" w:rsidRPr="00164572">
        <w:tab/>
      </w:r>
      <w:r w:rsidRPr="00164572">
        <w:t xml:space="preserve">Amend </w:t>
      </w:r>
      <w:r w:rsidR="008E3620" w:rsidRPr="00164572">
        <w:t>4.1.8 as follows (added text underlined in bold, deleted text is strikethrough):</w:t>
      </w:r>
    </w:p>
    <w:p w14:paraId="6703E3C9" w14:textId="794E85FE" w:rsidR="008E3620" w:rsidRPr="00164572" w:rsidRDefault="00A71B65" w:rsidP="008E3620">
      <w:pPr>
        <w:pStyle w:val="SingleTxtG"/>
        <w:ind w:left="1701"/>
        <w:rPr>
          <w:b/>
          <w:bCs/>
        </w:rPr>
      </w:pPr>
      <w:r w:rsidRPr="00164572">
        <w:rPr>
          <w:b/>
          <w:bCs/>
        </w:rPr>
        <w:t>“</w:t>
      </w:r>
      <w:r w:rsidR="008E3620" w:rsidRPr="00164572">
        <w:rPr>
          <w:b/>
          <w:bCs/>
        </w:rPr>
        <w:t>4.1.8</w:t>
      </w:r>
      <w:r w:rsidR="008E3620" w:rsidRPr="00164572">
        <w:rPr>
          <w:b/>
          <w:bCs/>
        </w:rPr>
        <w:tab/>
        <w:t>Special packing provisions for infectious substances of Category A (Division 6.2, UN </w:t>
      </w:r>
      <w:r w:rsidR="006D0F98" w:rsidRPr="00164572">
        <w:rPr>
          <w:b/>
          <w:bCs/>
        </w:rPr>
        <w:t xml:space="preserve">Nos. </w:t>
      </w:r>
      <w:r w:rsidR="008E3620" w:rsidRPr="00164572">
        <w:rPr>
          <w:b/>
          <w:bCs/>
        </w:rPr>
        <w:t>2814</w:t>
      </w:r>
      <w:r w:rsidR="008E3620" w:rsidRPr="00164572">
        <w:rPr>
          <w:b/>
          <w:bCs/>
          <w:u w:val="single"/>
        </w:rPr>
        <w:t>,</w:t>
      </w:r>
      <w:r w:rsidR="008E3620" w:rsidRPr="00164572">
        <w:rPr>
          <w:b/>
          <w:bCs/>
          <w:strike/>
        </w:rPr>
        <w:t xml:space="preserve"> and</w:t>
      </w:r>
      <w:r w:rsidR="008E3620" w:rsidRPr="00164572">
        <w:rPr>
          <w:b/>
          <w:bCs/>
        </w:rPr>
        <w:t xml:space="preserve"> </w:t>
      </w:r>
      <w:r w:rsidR="008E3620" w:rsidRPr="00164572">
        <w:rPr>
          <w:b/>
          <w:bCs/>
          <w:strike/>
        </w:rPr>
        <w:t>UN</w:t>
      </w:r>
      <w:r w:rsidR="008E3620" w:rsidRPr="00164572">
        <w:rPr>
          <w:b/>
          <w:bCs/>
        </w:rPr>
        <w:t xml:space="preserve"> 2900 </w:t>
      </w:r>
      <w:r w:rsidR="008E3620" w:rsidRPr="00164572">
        <w:rPr>
          <w:b/>
          <w:bCs/>
          <w:u w:val="single"/>
        </w:rPr>
        <w:t>and 3549</w:t>
      </w:r>
      <w:r w:rsidR="008E3620" w:rsidRPr="00164572">
        <w:rPr>
          <w:b/>
          <w:bCs/>
        </w:rPr>
        <w:t>)</w:t>
      </w:r>
    </w:p>
    <w:p w14:paraId="1B467568" w14:textId="77777777" w:rsidR="008E3620" w:rsidRPr="00164572" w:rsidRDefault="008E3620" w:rsidP="00164572">
      <w:pPr>
        <w:pStyle w:val="SingleTxtG"/>
        <w:tabs>
          <w:tab w:val="left" w:pos="2552"/>
        </w:tabs>
        <w:ind w:left="1701"/>
      </w:pPr>
      <w:r w:rsidRPr="00164572">
        <w:t>4.1.8.1</w:t>
      </w:r>
      <w:r w:rsidRPr="00164572">
        <w:tab/>
      </w:r>
      <w:r w:rsidRPr="00164572">
        <w:rPr>
          <w:b/>
        </w:rPr>
        <w:tab/>
      </w:r>
      <w:r w:rsidRPr="00164572">
        <w:t>Consignors of infectious substances shall ensure that packages are prepared in such a manner that they arrive at their destination in good condition and present no hazard to persons or animals during transport.</w:t>
      </w:r>
    </w:p>
    <w:p w14:paraId="7912D305" w14:textId="3F05BEF8" w:rsidR="008E3620" w:rsidRPr="00E35622" w:rsidRDefault="008E3620" w:rsidP="00164572">
      <w:pPr>
        <w:pStyle w:val="SingleTxtG"/>
        <w:tabs>
          <w:tab w:val="left" w:pos="2552"/>
        </w:tabs>
        <w:ind w:left="1701"/>
      </w:pPr>
      <w:r w:rsidRPr="00164572">
        <w:t>4.1.8.2</w:t>
      </w:r>
      <w:r w:rsidRPr="00164572">
        <w:tab/>
      </w:r>
      <w:r w:rsidRPr="00164572">
        <w:tab/>
        <w:t xml:space="preserve">The definitions in 1.2.1 and the general packing provisions of 4.1.1.1 to 4.1.1.14, except 4.1.1.10 to 4.1.1.12, apply to infectious substances packages </w:t>
      </w:r>
      <w:r w:rsidRPr="00164572">
        <w:rPr>
          <w:b/>
          <w:u w:val="single"/>
        </w:rPr>
        <w:t>for UN 2814 and 2900</w:t>
      </w:r>
      <w:r w:rsidRPr="00164572">
        <w:t xml:space="preserve"> </w:t>
      </w:r>
      <w:r w:rsidRPr="00164572">
        <w:rPr>
          <w:b/>
          <w:u w:val="single"/>
        </w:rPr>
        <w:t xml:space="preserve">and containing packaging dedicated only to the </w:t>
      </w:r>
      <w:r w:rsidR="003525CF" w:rsidRPr="00164572">
        <w:rPr>
          <w:b/>
          <w:u w:val="single"/>
        </w:rPr>
        <w:t xml:space="preserve">transport </w:t>
      </w:r>
      <w:r w:rsidRPr="00164572">
        <w:rPr>
          <w:b/>
          <w:u w:val="single"/>
        </w:rPr>
        <w:t>of UN 3549</w:t>
      </w:r>
      <w:r w:rsidRPr="00164572">
        <w:t xml:space="preserve">. However, liquids shall only be filled into </w:t>
      </w:r>
      <w:proofErr w:type="spellStart"/>
      <w:r w:rsidRPr="00164572">
        <w:t>packagings</w:t>
      </w:r>
      <w:proofErr w:type="spellEnd"/>
      <w:r w:rsidRPr="00164572">
        <w:t xml:space="preserve"> which have an appropriate resistance to the internal pressure that may develop under normal conditions of transport</w:t>
      </w:r>
    </w:p>
    <w:p w14:paraId="62366884" w14:textId="762E3528" w:rsidR="008E3620" w:rsidRPr="00E35622" w:rsidRDefault="008E3620" w:rsidP="008E3620">
      <w:pPr>
        <w:pStyle w:val="SingleTxtG"/>
        <w:tabs>
          <w:tab w:val="left" w:pos="2410"/>
        </w:tabs>
        <w:ind w:left="1701"/>
      </w:pPr>
      <w:r w:rsidRPr="00E35622">
        <w:lastRenderedPageBreak/>
        <w:t>4.1.8.3</w:t>
      </w:r>
      <w:r w:rsidRPr="00E35622">
        <w:tab/>
      </w:r>
      <w:r w:rsidRPr="00175915">
        <w:rPr>
          <w:b/>
          <w:u w:val="single"/>
        </w:rPr>
        <w:t xml:space="preserve">For UN 2814 and UN 2900 </w:t>
      </w:r>
      <w:proofErr w:type="spellStart"/>
      <w:r w:rsidRPr="00175915">
        <w:rPr>
          <w:strike/>
        </w:rPr>
        <w:t>A</w:t>
      </w:r>
      <w:r w:rsidRPr="00175915">
        <w:rPr>
          <w:b/>
          <w:u w:val="single"/>
        </w:rPr>
        <w:t>a</w:t>
      </w:r>
      <w:r w:rsidRPr="00E35622">
        <w:t>n</w:t>
      </w:r>
      <w:proofErr w:type="spellEnd"/>
      <w:r w:rsidRPr="00E35622">
        <w:t xml:space="preserve"> itemized list of contents shall be enclosed between the secondary packaging and the outer packaging. When the infectious substances to be transported are </w:t>
      </w:r>
      <w:proofErr w:type="gramStart"/>
      <w:r w:rsidRPr="00E35622">
        <w:t>unknown, but</w:t>
      </w:r>
      <w:proofErr w:type="gramEnd"/>
      <w:r w:rsidRPr="00E35622">
        <w:t xml:space="preserve"> suspected of meeting the criteria for inclusion in category A, the words “suspected category A infectious substance” shall be shown, in parentheses, following the proper shipping name on the document inside the outer packaging.</w:t>
      </w:r>
    </w:p>
    <w:p w14:paraId="5C5479FA" w14:textId="699C7464" w:rsidR="008E3620" w:rsidRPr="00E35622" w:rsidRDefault="008E3620" w:rsidP="00164572">
      <w:pPr>
        <w:pStyle w:val="SingleTxtG"/>
        <w:tabs>
          <w:tab w:val="left" w:pos="2552"/>
        </w:tabs>
        <w:ind w:left="1701"/>
      </w:pPr>
      <w:r w:rsidRPr="00E35622">
        <w:t>4.1.8.4</w:t>
      </w:r>
      <w:r w:rsidRPr="00E35622">
        <w:tab/>
        <w:t>Before an empty packaging is returned to the consignor, or sent elsewhere, it shall be disinfected or sterilized to nullify any hazard and any label or mark indicating that it had contained an infectious substance shall be removed or obliterated.</w:t>
      </w:r>
    </w:p>
    <w:p w14:paraId="2FD8467C" w14:textId="5A7C06DC" w:rsidR="008E3620" w:rsidRPr="00E35622" w:rsidRDefault="008E3620" w:rsidP="00164572">
      <w:pPr>
        <w:pStyle w:val="SingleTxtG"/>
        <w:tabs>
          <w:tab w:val="left" w:pos="2552"/>
        </w:tabs>
        <w:ind w:left="1701"/>
      </w:pPr>
      <w:r w:rsidRPr="00E35622">
        <w:t>4.1.8.5</w:t>
      </w:r>
      <w:r w:rsidRPr="00E35622">
        <w:tab/>
        <w:t>Provided an equivalent level of performance is maintained, the following variations in the primary receptacles placed within a secondary packaging are allowed without further testing of the completed package</w:t>
      </w:r>
      <w:r w:rsidR="003525CF">
        <w:t>.”.</w:t>
      </w:r>
    </w:p>
    <w:p w14:paraId="1714D4A6" w14:textId="63200CCC" w:rsidR="008E3620" w:rsidRPr="00164572" w:rsidRDefault="008E3620" w:rsidP="008E3620">
      <w:pPr>
        <w:pStyle w:val="SingleTxtG"/>
      </w:pPr>
      <w:r w:rsidRPr="00164572">
        <w:rPr>
          <w:szCs w:val="24"/>
          <w:lang w:val="en-US"/>
        </w:rPr>
        <w:t>1</w:t>
      </w:r>
      <w:r w:rsidR="003525CF" w:rsidRPr="00164572">
        <w:rPr>
          <w:szCs w:val="24"/>
          <w:lang w:val="en-US"/>
        </w:rPr>
        <w:t>6</w:t>
      </w:r>
      <w:r w:rsidRPr="00164572">
        <w:rPr>
          <w:szCs w:val="24"/>
          <w:lang w:val="en-US"/>
        </w:rPr>
        <w:t>.</w:t>
      </w:r>
      <w:r w:rsidRPr="00164572">
        <w:rPr>
          <w:szCs w:val="24"/>
          <w:lang w:val="en-US"/>
        </w:rPr>
        <w:tab/>
        <w:t>4.1.4.1, P622</w:t>
      </w:r>
      <w:r w:rsidRPr="00164572">
        <w:tab/>
        <w:t xml:space="preserve">Amend the second sentence to read as follows (the added text is shown in </w:t>
      </w:r>
      <w:r w:rsidRPr="00164572">
        <w:rPr>
          <w:b/>
          <w:bCs/>
        </w:rPr>
        <w:t>bold</w:t>
      </w:r>
      <w:r w:rsidRPr="00164572">
        <w:t>):</w:t>
      </w:r>
    </w:p>
    <w:p w14:paraId="152E905E" w14:textId="2D27862F" w:rsidR="008E3620" w:rsidRPr="00164572" w:rsidRDefault="008E3620" w:rsidP="008E3620">
      <w:pPr>
        <w:pStyle w:val="SingleTxtG"/>
        <w:ind w:left="1701"/>
      </w:pPr>
      <w:r w:rsidRPr="00164572">
        <w:rPr>
          <w:color w:val="000000"/>
        </w:rPr>
        <w:t xml:space="preserve">“The following </w:t>
      </w:r>
      <w:proofErr w:type="spellStart"/>
      <w:r w:rsidRPr="00164572">
        <w:rPr>
          <w:color w:val="000000"/>
        </w:rPr>
        <w:t>packagings</w:t>
      </w:r>
      <w:proofErr w:type="spellEnd"/>
      <w:r w:rsidRPr="00164572">
        <w:rPr>
          <w:color w:val="000000"/>
        </w:rPr>
        <w:t xml:space="preserve"> are authorized provided the general provisions of </w:t>
      </w:r>
      <w:r w:rsidRPr="00164572">
        <w:rPr>
          <w:b/>
          <w:color w:val="000000"/>
        </w:rPr>
        <w:t>4.1.1</w:t>
      </w:r>
      <w:r w:rsidRPr="00164572">
        <w:rPr>
          <w:b/>
          <w:color w:val="000000"/>
          <w:u w:val="single"/>
        </w:rPr>
        <w:t>,</w:t>
      </w:r>
      <w:r w:rsidRPr="00164572">
        <w:rPr>
          <w:b/>
          <w:strike/>
          <w:color w:val="000000"/>
        </w:rPr>
        <w:t xml:space="preserve"> </w:t>
      </w:r>
      <w:r w:rsidRPr="00164572">
        <w:rPr>
          <w:strike/>
          <w:color w:val="000000"/>
        </w:rPr>
        <w:t>and</w:t>
      </w:r>
      <w:r w:rsidRPr="00164572">
        <w:rPr>
          <w:b/>
          <w:color w:val="000000"/>
        </w:rPr>
        <w:t xml:space="preserve"> 4.1.3</w:t>
      </w:r>
      <w:r w:rsidRPr="00164572">
        <w:rPr>
          <w:color w:val="000000"/>
        </w:rPr>
        <w:t xml:space="preserve"> </w:t>
      </w:r>
      <w:r w:rsidRPr="00164572">
        <w:rPr>
          <w:b/>
          <w:color w:val="000000"/>
          <w:u w:val="single"/>
        </w:rPr>
        <w:t>and the</w:t>
      </w:r>
      <w:r w:rsidRPr="00164572">
        <w:rPr>
          <w:b/>
          <w:u w:val="single"/>
        </w:rPr>
        <w:t xml:space="preserve"> special packing provisions of </w:t>
      </w:r>
      <w:r w:rsidRPr="00164572">
        <w:rPr>
          <w:b/>
          <w:color w:val="000000"/>
          <w:u w:val="single"/>
        </w:rPr>
        <w:t>4.1.8</w:t>
      </w:r>
      <w:r w:rsidRPr="00164572">
        <w:rPr>
          <w:color w:val="000000"/>
        </w:rPr>
        <w:t xml:space="preserve"> are met</w:t>
      </w:r>
      <w:r w:rsidR="003525CF" w:rsidRPr="00164572">
        <w:rPr>
          <w:color w:val="000000"/>
        </w:rPr>
        <w:t>:</w:t>
      </w:r>
      <w:r w:rsidRPr="00164572">
        <w:t>”</w:t>
      </w:r>
      <w:r w:rsidR="003525CF" w:rsidRPr="00164572">
        <w:t>.</w:t>
      </w:r>
    </w:p>
    <w:p w14:paraId="36651222" w14:textId="5F204CF4" w:rsidR="008E3620" w:rsidRPr="00164572" w:rsidRDefault="008E3620" w:rsidP="008E3620">
      <w:pPr>
        <w:pStyle w:val="SingleTxtG"/>
        <w:ind w:firstLine="567"/>
      </w:pPr>
      <w:r w:rsidRPr="00164572">
        <w:t>Add a new paragraph 8</w:t>
      </w:r>
      <w:r w:rsidR="003525CF" w:rsidRPr="00164572">
        <w:t xml:space="preserve"> under</w:t>
      </w:r>
      <w:r w:rsidRPr="00164572">
        <w:t xml:space="preserve"> “Additional requirements”</w:t>
      </w:r>
      <w:r w:rsidR="003525CF" w:rsidRPr="00164572">
        <w:t xml:space="preserve"> to read as follows</w:t>
      </w:r>
      <w:r w:rsidRPr="00164572">
        <w:t>:</w:t>
      </w:r>
    </w:p>
    <w:p w14:paraId="5E756DBA" w14:textId="30DA6A54" w:rsidR="008E3620" w:rsidRPr="00164572" w:rsidRDefault="008E3620" w:rsidP="008E3620">
      <w:pPr>
        <w:spacing w:after="200"/>
        <w:ind w:left="1701" w:right="1134"/>
      </w:pPr>
      <w:r w:rsidRPr="00164572">
        <w:t xml:space="preserve">“8. </w:t>
      </w:r>
      <w:r w:rsidR="003525CF" w:rsidRPr="00164572">
        <w:t xml:space="preserve">The provisions of </w:t>
      </w:r>
      <w:r w:rsidRPr="00164572">
        <w:t xml:space="preserve">4.1.1.15 do not apply for plastics drums and jerricans used as outer packaging dedicated only to the </w:t>
      </w:r>
      <w:r w:rsidR="003525CF" w:rsidRPr="00164572">
        <w:t xml:space="preserve">transport </w:t>
      </w:r>
      <w:r w:rsidRPr="00164572">
        <w:t>of UN No. 3549.”</w:t>
      </w:r>
    </w:p>
    <w:p w14:paraId="59FF6E6E" w14:textId="5246C226" w:rsidR="008E3620" w:rsidRPr="00164572" w:rsidRDefault="008E3620" w:rsidP="00164572">
      <w:pPr>
        <w:spacing w:after="200"/>
        <w:ind w:left="1701" w:right="1134"/>
      </w:pPr>
      <w:proofErr w:type="gramStart"/>
      <w:r w:rsidRPr="00164572">
        <w:t>Alternatively</w:t>
      </w:r>
      <w:proofErr w:type="gramEnd"/>
      <w:r w:rsidRPr="00164572">
        <w:t xml:space="preserve"> this could be introduced in a special provision in Chapter 3.3</w:t>
      </w:r>
      <w:r w:rsidR="003525CF" w:rsidRPr="00164572">
        <w:t xml:space="preserve"> to read as </w:t>
      </w:r>
      <w:bookmarkStart w:id="0" w:name="_GoBack"/>
      <w:bookmarkEnd w:id="0"/>
      <w:r w:rsidR="003525CF" w:rsidRPr="00164572">
        <w:t>follows:</w:t>
      </w:r>
    </w:p>
    <w:p w14:paraId="373C6773" w14:textId="30EA6CAD" w:rsidR="008E3620" w:rsidRPr="00164572" w:rsidRDefault="008E3620" w:rsidP="00164572">
      <w:pPr>
        <w:tabs>
          <w:tab w:val="left" w:pos="2835"/>
        </w:tabs>
        <w:spacing w:after="200"/>
        <w:ind w:left="1701" w:right="1134"/>
        <w:jc w:val="both"/>
        <w:rPr>
          <w:lang w:val="en-US"/>
        </w:rPr>
      </w:pPr>
      <w:r w:rsidRPr="00164572">
        <w:t xml:space="preserve">“SPXYZ </w:t>
      </w:r>
      <w:r w:rsidR="00164572" w:rsidRPr="00164572">
        <w:tab/>
      </w:r>
      <w:proofErr w:type="gramStart"/>
      <w:r w:rsidR="006D0F98" w:rsidRPr="00164572">
        <w:t>T</w:t>
      </w:r>
      <w:r w:rsidR="003525CF" w:rsidRPr="00164572">
        <w:t>he</w:t>
      </w:r>
      <w:proofErr w:type="gramEnd"/>
      <w:r w:rsidR="003525CF" w:rsidRPr="00164572">
        <w:t xml:space="preserve"> provisions of </w:t>
      </w:r>
      <w:r w:rsidRPr="00164572">
        <w:t xml:space="preserve">4.1.1.15 do not apply for plastics drums and jerricans used as outer packaging dedicated only to the </w:t>
      </w:r>
      <w:r w:rsidR="003525CF" w:rsidRPr="00164572">
        <w:t xml:space="preserve">transport </w:t>
      </w:r>
      <w:r w:rsidRPr="00164572">
        <w:t>of UN No. 3549.”</w:t>
      </w:r>
    </w:p>
    <w:p w14:paraId="2359796D" w14:textId="12A3CC89" w:rsidR="008E3620" w:rsidRPr="00164572" w:rsidRDefault="008E3620" w:rsidP="008E3620">
      <w:pPr>
        <w:pStyle w:val="SingleTxtG"/>
      </w:pPr>
      <w:r w:rsidRPr="00164572">
        <w:t>1</w:t>
      </w:r>
      <w:r w:rsidR="003525CF" w:rsidRPr="00164572">
        <w:t>7</w:t>
      </w:r>
      <w:r w:rsidRPr="00164572">
        <w:t>.</w:t>
      </w:r>
      <w:r w:rsidRPr="00164572">
        <w:tab/>
        <w:t>Consequential amendments:</w:t>
      </w:r>
    </w:p>
    <w:p w14:paraId="3A940B7C" w14:textId="77777777" w:rsidR="008E3620" w:rsidRDefault="008E3620" w:rsidP="008E3620">
      <w:pPr>
        <w:pStyle w:val="SingleTxtG"/>
        <w:ind w:left="1701"/>
      </w:pPr>
      <w:r w:rsidRPr="00164572">
        <w:t>4.1.1 In the NOTE replace “</w:t>
      </w:r>
      <w:r w:rsidRPr="00164572">
        <w:rPr>
          <w:i/>
        </w:rPr>
        <w:t>Division 6.2</w:t>
      </w:r>
      <w:r w:rsidRPr="00164572">
        <w:rPr>
          <w:bCs/>
          <w:i/>
        </w:rPr>
        <w:t>, UN 2814 and UN 2900</w:t>
      </w:r>
      <w:r w:rsidRPr="00164572">
        <w:t>” by “</w:t>
      </w:r>
      <w:r w:rsidRPr="00164572">
        <w:rPr>
          <w:b/>
          <w:i/>
          <w:u w:val="single"/>
        </w:rPr>
        <w:t>Division 6.2</w:t>
      </w:r>
      <w:r w:rsidRPr="00164572">
        <w:rPr>
          <w:b/>
          <w:bCs/>
          <w:u w:val="single"/>
        </w:rPr>
        <w:t>, UN 2814, UN 2900 and UN 3549</w:t>
      </w:r>
      <w:r w:rsidRPr="00164572">
        <w:t>”.</w:t>
      </w:r>
    </w:p>
    <w:p w14:paraId="5C89796C" w14:textId="77777777" w:rsidR="008E3620" w:rsidRDefault="008E3620" w:rsidP="008E3620">
      <w:pPr>
        <w:pStyle w:val="HChG"/>
      </w:pPr>
      <w:r>
        <w:tab/>
      </w:r>
      <w:r>
        <w:tab/>
        <w:t>Justification</w:t>
      </w:r>
    </w:p>
    <w:p w14:paraId="21041B39" w14:textId="2FD07DAA" w:rsidR="008E3620" w:rsidRPr="00164572" w:rsidRDefault="003525CF" w:rsidP="008E3620">
      <w:pPr>
        <w:pStyle w:val="SingleTxtG"/>
        <w:rPr>
          <w:lang w:val="en-US"/>
        </w:rPr>
      </w:pPr>
      <w:r w:rsidRPr="00164572">
        <w:rPr>
          <w:lang w:val="en-US"/>
        </w:rPr>
        <w:t>1</w:t>
      </w:r>
      <w:r w:rsidR="008E3620" w:rsidRPr="00164572">
        <w:rPr>
          <w:lang w:val="en-US"/>
        </w:rPr>
        <w:t>8.</w:t>
      </w:r>
      <w:r w:rsidR="008E3620" w:rsidRPr="00164572">
        <w:rPr>
          <w:lang w:val="en-US"/>
        </w:rPr>
        <w:tab/>
        <w:t xml:space="preserve">Even if it could seem redundant, the change proposed to 4.1.8.2 excludes from the possibility to apply the exemptions to some provisions of 4.1.1 (4.1.1.15 and </w:t>
      </w:r>
      <w:r w:rsidR="008E3620" w:rsidRPr="00164572">
        <w:t xml:space="preserve">4.1.1.10 to 4.1.1.12) those </w:t>
      </w:r>
      <w:r w:rsidR="008E3620" w:rsidRPr="00164572">
        <w:rPr>
          <w:lang w:val="en-US"/>
        </w:rPr>
        <w:t xml:space="preserve">packages having </w:t>
      </w:r>
      <w:r w:rsidR="00FD761D" w:rsidRPr="00164572">
        <w:rPr>
          <w:lang w:val="en-US"/>
        </w:rPr>
        <w:t>been</w:t>
      </w:r>
      <w:r w:rsidR="008E3620" w:rsidRPr="00164572">
        <w:rPr>
          <w:lang w:val="en-US"/>
        </w:rPr>
        <w:t xml:space="preserve"> used for other kind of dangerous goods, particularly in </w:t>
      </w:r>
      <w:r w:rsidRPr="00164572">
        <w:rPr>
          <w:lang w:val="en-US"/>
        </w:rPr>
        <w:t xml:space="preserve">the </w:t>
      </w:r>
      <w:r w:rsidR="008E3620" w:rsidRPr="00164572">
        <w:rPr>
          <w:lang w:val="en-US"/>
        </w:rPr>
        <w:t xml:space="preserve">case of UN 3459. The possibility to use plastic drums and jerricans above 5 years should be limited to those </w:t>
      </w:r>
      <w:proofErr w:type="spellStart"/>
      <w:r w:rsidR="008E3620" w:rsidRPr="00164572">
        <w:rPr>
          <w:lang w:val="en-US"/>
        </w:rPr>
        <w:t>packagings</w:t>
      </w:r>
      <w:proofErr w:type="spellEnd"/>
      <w:r w:rsidR="008E3620" w:rsidRPr="00164572">
        <w:rPr>
          <w:lang w:val="en-US"/>
        </w:rPr>
        <w:t xml:space="preserve"> which were only used for medical waste of UN</w:t>
      </w:r>
      <w:r w:rsidR="006D0F98" w:rsidRPr="00164572">
        <w:rPr>
          <w:lang w:val="en-US"/>
        </w:rPr>
        <w:t> 3549</w:t>
      </w:r>
      <w:r w:rsidR="008E3620" w:rsidRPr="00164572">
        <w:rPr>
          <w:lang w:val="en-US"/>
        </w:rPr>
        <w:t xml:space="preserve">. </w:t>
      </w:r>
    </w:p>
    <w:p w14:paraId="35951E44" w14:textId="46CF17ED" w:rsidR="008E3620" w:rsidRDefault="003525CF" w:rsidP="008E3620">
      <w:pPr>
        <w:pStyle w:val="SingleTxtG"/>
        <w:rPr>
          <w:lang w:val="en-US"/>
        </w:rPr>
      </w:pPr>
      <w:r w:rsidRPr="00164572">
        <w:rPr>
          <w:lang w:val="en-US"/>
        </w:rPr>
        <w:t>19.</w:t>
      </w:r>
      <w:r w:rsidRPr="00164572">
        <w:rPr>
          <w:lang w:val="en-US"/>
        </w:rPr>
        <w:tab/>
      </w:r>
      <w:r w:rsidR="008E3620" w:rsidRPr="00164572">
        <w:rPr>
          <w:lang w:val="en-US"/>
        </w:rPr>
        <w:t>As explained</w:t>
      </w:r>
      <w:r w:rsidR="006D0F98" w:rsidRPr="00164572">
        <w:rPr>
          <w:lang w:val="en-US"/>
        </w:rPr>
        <w:t>,</w:t>
      </w:r>
      <w:r w:rsidR="008E3620" w:rsidRPr="00164572">
        <w:rPr>
          <w:lang w:val="en-US"/>
        </w:rPr>
        <w:t xml:space="preserve"> we do believe that for UN 3549 the information required in 4.1.8.3 is not necessary so 4.1.8.3 should apply only to UN 1814 and 2900.</w:t>
      </w:r>
      <w:r w:rsidR="008E3620">
        <w:rPr>
          <w:lang w:val="en-US"/>
        </w:rPr>
        <w:t xml:space="preserve"> </w:t>
      </w:r>
    </w:p>
    <w:p w14:paraId="72EDC865" w14:textId="76B173BB" w:rsidR="008E3620" w:rsidRPr="008E3620" w:rsidRDefault="008E3620" w:rsidP="008E3620">
      <w:pPr>
        <w:spacing w:before="240"/>
        <w:jc w:val="center"/>
        <w:rPr>
          <w:u w:val="single"/>
        </w:rPr>
      </w:pPr>
      <w:r>
        <w:rPr>
          <w:u w:val="single"/>
        </w:rPr>
        <w:tab/>
      </w:r>
      <w:r>
        <w:rPr>
          <w:u w:val="single"/>
        </w:rPr>
        <w:tab/>
      </w:r>
      <w:r>
        <w:rPr>
          <w:u w:val="single"/>
        </w:rPr>
        <w:tab/>
      </w:r>
    </w:p>
    <w:p w14:paraId="21F30EC5" w14:textId="048A5BDC" w:rsidR="008E3620" w:rsidRDefault="008E3620" w:rsidP="008E3620"/>
    <w:p w14:paraId="4AF2B48E" w14:textId="77777777" w:rsidR="008E3620" w:rsidRPr="008E3620" w:rsidRDefault="008E3620" w:rsidP="008E3620"/>
    <w:sectPr w:rsidR="008E3620" w:rsidRPr="008E3620" w:rsidSect="001D31FD">
      <w:headerReference w:type="even" r:id="rId12"/>
      <w:headerReference w:type="default" r:id="rId13"/>
      <w:footerReference w:type="even" r:id="rId14"/>
      <w:footerReference w:type="default" r:id="rId15"/>
      <w:headerReference w:type="first" r:id="rId16"/>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7CADB" w14:textId="77777777" w:rsidR="00AB2557" w:rsidRDefault="00AB2557"/>
  </w:endnote>
  <w:endnote w:type="continuationSeparator" w:id="0">
    <w:p w14:paraId="23247875" w14:textId="77777777" w:rsidR="00AB2557" w:rsidRDefault="00AB2557"/>
  </w:endnote>
  <w:endnote w:type="continuationNotice" w:id="1">
    <w:p w14:paraId="01043503" w14:textId="77777777" w:rsidR="00AB2557" w:rsidRDefault="00AB2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72A9" w14:textId="77777777" w:rsidR="006B20F6" w:rsidRPr="006D12B1" w:rsidRDefault="00566C4F"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F95BBB">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E697" w14:textId="77777777" w:rsidR="006B20F6" w:rsidRPr="006D12B1" w:rsidRDefault="006B20F6" w:rsidP="006D12B1">
    <w:pPr>
      <w:pStyle w:val="Footer"/>
      <w:tabs>
        <w:tab w:val="right" w:pos="9638"/>
      </w:tabs>
      <w:rPr>
        <w:b/>
        <w:sz w:val="18"/>
      </w:rPr>
    </w:pPr>
    <w:r>
      <w:tab/>
    </w:r>
    <w:r w:rsidR="00566C4F" w:rsidRPr="006D12B1">
      <w:rPr>
        <w:b/>
        <w:sz w:val="18"/>
      </w:rPr>
      <w:fldChar w:fldCharType="begin"/>
    </w:r>
    <w:r w:rsidRPr="006D12B1">
      <w:rPr>
        <w:b/>
        <w:sz w:val="18"/>
      </w:rPr>
      <w:instrText xml:space="preserve"> PAGE  \* MERGEFORMAT </w:instrText>
    </w:r>
    <w:r w:rsidR="00566C4F" w:rsidRPr="006D12B1">
      <w:rPr>
        <w:b/>
        <w:sz w:val="18"/>
      </w:rPr>
      <w:fldChar w:fldCharType="separate"/>
    </w:r>
    <w:r w:rsidR="007064F0">
      <w:rPr>
        <w:b/>
        <w:noProof/>
        <w:sz w:val="18"/>
      </w:rPr>
      <w:t>3</w:t>
    </w:r>
    <w:r w:rsidR="00566C4F"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26AD" w14:textId="77777777" w:rsidR="00AB2557" w:rsidRPr="000B175B" w:rsidRDefault="00AB2557" w:rsidP="000B175B">
      <w:pPr>
        <w:tabs>
          <w:tab w:val="right" w:pos="2155"/>
        </w:tabs>
        <w:spacing w:after="80"/>
        <w:ind w:left="680"/>
        <w:rPr>
          <w:u w:val="single"/>
        </w:rPr>
      </w:pPr>
      <w:r>
        <w:rPr>
          <w:u w:val="single"/>
        </w:rPr>
        <w:tab/>
      </w:r>
    </w:p>
  </w:footnote>
  <w:footnote w:type="continuationSeparator" w:id="0">
    <w:p w14:paraId="6A694774" w14:textId="77777777" w:rsidR="00AB2557" w:rsidRPr="00FC68B7" w:rsidRDefault="00AB2557" w:rsidP="00FC68B7">
      <w:pPr>
        <w:tabs>
          <w:tab w:val="left" w:pos="2155"/>
        </w:tabs>
        <w:spacing w:after="80"/>
        <w:ind w:left="680"/>
        <w:rPr>
          <w:u w:val="single"/>
        </w:rPr>
      </w:pPr>
      <w:r>
        <w:rPr>
          <w:u w:val="single"/>
        </w:rPr>
        <w:tab/>
      </w:r>
    </w:p>
  </w:footnote>
  <w:footnote w:type="continuationNotice" w:id="1">
    <w:p w14:paraId="35AF670F" w14:textId="77777777" w:rsidR="00AB2557" w:rsidRDefault="00AB25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9CAE" w14:textId="1E60FE7F" w:rsidR="006B20F6" w:rsidRPr="008E3620" w:rsidRDefault="008E3620">
    <w:pPr>
      <w:pStyle w:val="Header"/>
      <w:rPr>
        <w:lang w:val="fr-CH"/>
      </w:rPr>
    </w:pPr>
    <w:r>
      <w:rPr>
        <w:lang w:val="fr-CH"/>
      </w:rPr>
      <w:t>UN/SCETDG/56/INF.15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2273" w14:textId="087645E1" w:rsidR="006B20F6" w:rsidRPr="00570893" w:rsidRDefault="00A71B65" w:rsidP="006D12B1">
    <w:pPr>
      <w:pStyle w:val="Header"/>
      <w:jc w:val="right"/>
      <w:rPr>
        <w:lang w:val="fr-CH"/>
      </w:rPr>
    </w:pPr>
    <w:r>
      <w:rPr>
        <w:lang w:val="fr-CH"/>
      </w:rPr>
      <w:t>UN/SCETDG/56/INF.15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75DB" w14:textId="77777777" w:rsidR="001F4C6A" w:rsidRDefault="001F4C6A"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52A7AD6"/>
    <w:multiLevelType w:val="hybridMultilevel"/>
    <w:tmpl w:val="908E2036"/>
    <w:lvl w:ilvl="0" w:tplc="04090001">
      <w:start w:val="1"/>
      <w:numFmt w:val="bullet"/>
      <w:lvlText w:val=""/>
      <w:lvlJc w:val="left"/>
      <w:pPr>
        <w:ind w:left="1854" w:hanging="360"/>
      </w:pPr>
      <w:rPr>
        <w:rFonts w:ascii="Symbol" w:hAnsi="Symbol" w:hint="default"/>
      </w:rPr>
    </w:lvl>
    <w:lvl w:ilvl="1" w:tplc="ED84A942">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6"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37F5C5C"/>
    <w:multiLevelType w:val="hybridMultilevel"/>
    <w:tmpl w:val="AA1687D2"/>
    <w:lvl w:ilvl="0" w:tplc="0FD0244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36FC2758"/>
    <w:multiLevelType w:val="hybridMultilevel"/>
    <w:tmpl w:val="15F019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1" w15:restartNumberingAfterBreak="0">
    <w:nsid w:val="4E765756"/>
    <w:multiLevelType w:val="hybridMultilevel"/>
    <w:tmpl w:val="14F09E0C"/>
    <w:lvl w:ilvl="0" w:tplc="DC2E5604">
      <w:start w:val="1"/>
      <w:numFmt w:val="decimal"/>
      <w:lvlText w:val="%1."/>
      <w:lvlJc w:val="left"/>
      <w:pPr>
        <w:ind w:left="1494"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F000FF"/>
    <w:multiLevelType w:val="hybridMultilevel"/>
    <w:tmpl w:val="D5B8744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635506C9"/>
    <w:multiLevelType w:val="hybridMultilevel"/>
    <w:tmpl w:val="FD2AC7C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8"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1"/>
  </w:num>
  <w:num w:numId="14">
    <w:abstractNumId w:val="26"/>
  </w:num>
  <w:num w:numId="15">
    <w:abstractNumId w:val="29"/>
  </w:num>
  <w:num w:numId="16">
    <w:abstractNumId w:val="13"/>
  </w:num>
  <w:num w:numId="17">
    <w:abstractNumId w:val="19"/>
  </w:num>
  <w:num w:numId="18">
    <w:abstractNumId w:val="16"/>
  </w:num>
  <w:num w:numId="19">
    <w:abstractNumId w:val="28"/>
  </w:num>
  <w:num w:numId="20">
    <w:abstractNumId w:val="22"/>
  </w:num>
  <w:num w:numId="21">
    <w:abstractNumId w:val="15"/>
  </w:num>
  <w:num w:numId="22">
    <w:abstractNumId w:val="10"/>
  </w:num>
  <w:num w:numId="23">
    <w:abstractNumId w:val="27"/>
  </w:num>
  <w:num w:numId="24">
    <w:abstractNumId w:val="20"/>
  </w:num>
  <w:num w:numId="25">
    <w:abstractNumId w:val="17"/>
  </w:num>
  <w:num w:numId="26">
    <w:abstractNumId w:val="25"/>
  </w:num>
  <w:num w:numId="27">
    <w:abstractNumId w:val="21"/>
  </w:num>
  <w:num w:numId="28">
    <w:abstractNumId w:val="24"/>
  </w:num>
  <w:num w:numId="29">
    <w:abstractNumId w:val="14"/>
  </w:num>
  <w:num w:numId="3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0" w:nlCheck="1" w:checkStyle="0"/>
  <w:activeWritingStyle w:appName="MSWord" w:lang="de-DE" w:vendorID="64" w:dllVersion="0" w:nlCheck="1" w:checkStyle="0"/>
  <w:activeWritingStyle w:appName="MSWord" w:lang="fr-BE" w:vendorID="64" w:dllVersion="6" w:nlCheck="1" w:checkStyle="1"/>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B1"/>
    <w:rsid w:val="00001F58"/>
    <w:rsid w:val="00003D68"/>
    <w:rsid w:val="000239F9"/>
    <w:rsid w:val="00023C5F"/>
    <w:rsid w:val="00023F08"/>
    <w:rsid w:val="00026223"/>
    <w:rsid w:val="00047D68"/>
    <w:rsid w:val="00047F82"/>
    <w:rsid w:val="000504CE"/>
    <w:rsid w:val="00050F6B"/>
    <w:rsid w:val="00063D27"/>
    <w:rsid w:val="00070A5A"/>
    <w:rsid w:val="00071A63"/>
    <w:rsid w:val="00072C8C"/>
    <w:rsid w:val="000829F3"/>
    <w:rsid w:val="00083B73"/>
    <w:rsid w:val="00090291"/>
    <w:rsid w:val="00091419"/>
    <w:rsid w:val="0009150D"/>
    <w:rsid w:val="000931C0"/>
    <w:rsid w:val="000A254F"/>
    <w:rsid w:val="000A37DB"/>
    <w:rsid w:val="000A5147"/>
    <w:rsid w:val="000B175B"/>
    <w:rsid w:val="000B3A0F"/>
    <w:rsid w:val="000B6007"/>
    <w:rsid w:val="000C2086"/>
    <w:rsid w:val="000D11DE"/>
    <w:rsid w:val="000D38D6"/>
    <w:rsid w:val="000D58F6"/>
    <w:rsid w:val="000E0415"/>
    <w:rsid w:val="000F7AB3"/>
    <w:rsid w:val="0010561F"/>
    <w:rsid w:val="00115C6E"/>
    <w:rsid w:val="00117787"/>
    <w:rsid w:val="00120443"/>
    <w:rsid w:val="001206C9"/>
    <w:rsid w:val="00124953"/>
    <w:rsid w:val="00131D42"/>
    <w:rsid w:val="00144B44"/>
    <w:rsid w:val="00154E28"/>
    <w:rsid w:val="001633FB"/>
    <w:rsid w:val="00164487"/>
    <w:rsid w:val="00164572"/>
    <w:rsid w:val="00167786"/>
    <w:rsid w:val="00177795"/>
    <w:rsid w:val="001A537C"/>
    <w:rsid w:val="001B42B4"/>
    <w:rsid w:val="001B4B04"/>
    <w:rsid w:val="001C0631"/>
    <w:rsid w:val="001C2273"/>
    <w:rsid w:val="001C3159"/>
    <w:rsid w:val="001C6663"/>
    <w:rsid w:val="001C7526"/>
    <w:rsid w:val="001C7895"/>
    <w:rsid w:val="001D26DF"/>
    <w:rsid w:val="001D2FDC"/>
    <w:rsid w:val="001D31FD"/>
    <w:rsid w:val="001D646C"/>
    <w:rsid w:val="001D79DB"/>
    <w:rsid w:val="001F2D80"/>
    <w:rsid w:val="001F3FA0"/>
    <w:rsid w:val="001F4C6A"/>
    <w:rsid w:val="001F66AB"/>
    <w:rsid w:val="002016FA"/>
    <w:rsid w:val="00203655"/>
    <w:rsid w:val="00210B9C"/>
    <w:rsid w:val="002114DD"/>
    <w:rsid w:val="00211E0B"/>
    <w:rsid w:val="00212DFA"/>
    <w:rsid w:val="00213AFD"/>
    <w:rsid w:val="0022022E"/>
    <w:rsid w:val="00221E51"/>
    <w:rsid w:val="00225F05"/>
    <w:rsid w:val="002309A7"/>
    <w:rsid w:val="00237785"/>
    <w:rsid w:val="00241466"/>
    <w:rsid w:val="00241743"/>
    <w:rsid w:val="002467B9"/>
    <w:rsid w:val="00253F32"/>
    <w:rsid w:val="00263923"/>
    <w:rsid w:val="002656C7"/>
    <w:rsid w:val="00266652"/>
    <w:rsid w:val="002725CA"/>
    <w:rsid w:val="00274950"/>
    <w:rsid w:val="00280EB7"/>
    <w:rsid w:val="00286006"/>
    <w:rsid w:val="00286DC6"/>
    <w:rsid w:val="002B1CDA"/>
    <w:rsid w:val="002C1AE8"/>
    <w:rsid w:val="002D0CCD"/>
    <w:rsid w:val="002E376C"/>
    <w:rsid w:val="002E394C"/>
    <w:rsid w:val="002E3E7B"/>
    <w:rsid w:val="002E420A"/>
    <w:rsid w:val="0030379C"/>
    <w:rsid w:val="00306458"/>
    <w:rsid w:val="00306980"/>
    <w:rsid w:val="003107FA"/>
    <w:rsid w:val="00316518"/>
    <w:rsid w:val="00320533"/>
    <w:rsid w:val="0032058E"/>
    <w:rsid w:val="0032145E"/>
    <w:rsid w:val="003229D8"/>
    <w:rsid w:val="00323B59"/>
    <w:rsid w:val="00325290"/>
    <w:rsid w:val="00337633"/>
    <w:rsid w:val="0034759C"/>
    <w:rsid w:val="003525CF"/>
    <w:rsid w:val="0036127B"/>
    <w:rsid w:val="00362AB3"/>
    <w:rsid w:val="00365E68"/>
    <w:rsid w:val="00373BF8"/>
    <w:rsid w:val="003770E6"/>
    <w:rsid w:val="00384F6B"/>
    <w:rsid w:val="003863B7"/>
    <w:rsid w:val="0039277A"/>
    <w:rsid w:val="00397267"/>
    <w:rsid w:val="003972E0"/>
    <w:rsid w:val="003974CA"/>
    <w:rsid w:val="003A0C75"/>
    <w:rsid w:val="003A203B"/>
    <w:rsid w:val="003A25EB"/>
    <w:rsid w:val="003A58B0"/>
    <w:rsid w:val="003B3726"/>
    <w:rsid w:val="003C24C1"/>
    <w:rsid w:val="003C2CC4"/>
    <w:rsid w:val="003C3844"/>
    <w:rsid w:val="003C7B41"/>
    <w:rsid w:val="003D2C1E"/>
    <w:rsid w:val="003D3841"/>
    <w:rsid w:val="003D4B23"/>
    <w:rsid w:val="003E211B"/>
    <w:rsid w:val="003E5B28"/>
    <w:rsid w:val="00413FEE"/>
    <w:rsid w:val="00421B26"/>
    <w:rsid w:val="0042233A"/>
    <w:rsid w:val="004325CB"/>
    <w:rsid w:val="00437F3F"/>
    <w:rsid w:val="00442DF8"/>
    <w:rsid w:val="00446DE4"/>
    <w:rsid w:val="00454036"/>
    <w:rsid w:val="0046510E"/>
    <w:rsid w:val="00465781"/>
    <w:rsid w:val="00465AFB"/>
    <w:rsid w:val="00466CA5"/>
    <w:rsid w:val="00477705"/>
    <w:rsid w:val="00477D30"/>
    <w:rsid w:val="00483009"/>
    <w:rsid w:val="00485492"/>
    <w:rsid w:val="004B2C9D"/>
    <w:rsid w:val="004C1373"/>
    <w:rsid w:val="004C6FBA"/>
    <w:rsid w:val="004D56C3"/>
    <w:rsid w:val="004E05DD"/>
    <w:rsid w:val="004E0C20"/>
    <w:rsid w:val="004E5F44"/>
    <w:rsid w:val="004E768F"/>
    <w:rsid w:val="004F0881"/>
    <w:rsid w:val="004F3384"/>
    <w:rsid w:val="00524C27"/>
    <w:rsid w:val="00525F7F"/>
    <w:rsid w:val="00527910"/>
    <w:rsid w:val="00530504"/>
    <w:rsid w:val="00530A3F"/>
    <w:rsid w:val="00533B78"/>
    <w:rsid w:val="00534038"/>
    <w:rsid w:val="005420F2"/>
    <w:rsid w:val="00542E93"/>
    <w:rsid w:val="00544CB6"/>
    <w:rsid w:val="005500DD"/>
    <w:rsid w:val="005501BE"/>
    <w:rsid w:val="00563498"/>
    <w:rsid w:val="005649C7"/>
    <w:rsid w:val="00566C4F"/>
    <w:rsid w:val="00570893"/>
    <w:rsid w:val="00575122"/>
    <w:rsid w:val="00581F0C"/>
    <w:rsid w:val="00590144"/>
    <w:rsid w:val="00590E9D"/>
    <w:rsid w:val="00591271"/>
    <w:rsid w:val="0059588D"/>
    <w:rsid w:val="005A22CF"/>
    <w:rsid w:val="005B03C6"/>
    <w:rsid w:val="005B151F"/>
    <w:rsid w:val="005B3DB3"/>
    <w:rsid w:val="005B40ED"/>
    <w:rsid w:val="005B77F6"/>
    <w:rsid w:val="005C37B3"/>
    <w:rsid w:val="005C3AC1"/>
    <w:rsid w:val="005C7602"/>
    <w:rsid w:val="005D53BB"/>
    <w:rsid w:val="005D7B02"/>
    <w:rsid w:val="005F5E08"/>
    <w:rsid w:val="005F7326"/>
    <w:rsid w:val="00600B82"/>
    <w:rsid w:val="0060446B"/>
    <w:rsid w:val="00611FC4"/>
    <w:rsid w:val="006133E8"/>
    <w:rsid w:val="006176FB"/>
    <w:rsid w:val="00623635"/>
    <w:rsid w:val="00625E3D"/>
    <w:rsid w:val="00630C9C"/>
    <w:rsid w:val="00632868"/>
    <w:rsid w:val="0063419C"/>
    <w:rsid w:val="00637556"/>
    <w:rsid w:val="00640B26"/>
    <w:rsid w:val="0064599F"/>
    <w:rsid w:val="006500BA"/>
    <w:rsid w:val="006547FF"/>
    <w:rsid w:val="006641AF"/>
    <w:rsid w:val="00665835"/>
    <w:rsid w:val="006663B4"/>
    <w:rsid w:val="00666A12"/>
    <w:rsid w:val="00666C9B"/>
    <w:rsid w:val="00666E76"/>
    <w:rsid w:val="00674956"/>
    <w:rsid w:val="00675DB9"/>
    <w:rsid w:val="00680ECD"/>
    <w:rsid w:val="006949CA"/>
    <w:rsid w:val="006A17F4"/>
    <w:rsid w:val="006A4C5C"/>
    <w:rsid w:val="006A7392"/>
    <w:rsid w:val="006B20F6"/>
    <w:rsid w:val="006C0D34"/>
    <w:rsid w:val="006D0F98"/>
    <w:rsid w:val="006D12B1"/>
    <w:rsid w:val="006E564B"/>
    <w:rsid w:val="006F05B2"/>
    <w:rsid w:val="006F08D5"/>
    <w:rsid w:val="006F2F51"/>
    <w:rsid w:val="006F4574"/>
    <w:rsid w:val="00704CDB"/>
    <w:rsid w:val="007064F0"/>
    <w:rsid w:val="00711C13"/>
    <w:rsid w:val="007221B3"/>
    <w:rsid w:val="00724B47"/>
    <w:rsid w:val="0072632A"/>
    <w:rsid w:val="007436F8"/>
    <w:rsid w:val="00744314"/>
    <w:rsid w:val="0074549D"/>
    <w:rsid w:val="00753D31"/>
    <w:rsid w:val="00755330"/>
    <w:rsid w:val="007555F0"/>
    <w:rsid w:val="00755888"/>
    <w:rsid w:val="00765233"/>
    <w:rsid w:val="0077335F"/>
    <w:rsid w:val="00774DC9"/>
    <w:rsid w:val="007753C9"/>
    <w:rsid w:val="00780B56"/>
    <w:rsid w:val="00782BA8"/>
    <w:rsid w:val="00790791"/>
    <w:rsid w:val="0079329B"/>
    <w:rsid w:val="00796AE1"/>
    <w:rsid w:val="007A022A"/>
    <w:rsid w:val="007A717B"/>
    <w:rsid w:val="007B08A0"/>
    <w:rsid w:val="007B1A7E"/>
    <w:rsid w:val="007B6AE7"/>
    <w:rsid w:val="007B6BA5"/>
    <w:rsid w:val="007B77FB"/>
    <w:rsid w:val="007C2411"/>
    <w:rsid w:val="007C3390"/>
    <w:rsid w:val="007C4F4B"/>
    <w:rsid w:val="007E79E3"/>
    <w:rsid w:val="007F6611"/>
    <w:rsid w:val="00800367"/>
    <w:rsid w:val="00801E81"/>
    <w:rsid w:val="008175E9"/>
    <w:rsid w:val="00823B1A"/>
    <w:rsid w:val="008242D7"/>
    <w:rsid w:val="00824C37"/>
    <w:rsid w:val="0084047A"/>
    <w:rsid w:val="0084298D"/>
    <w:rsid w:val="008650F3"/>
    <w:rsid w:val="00871FD5"/>
    <w:rsid w:val="00876878"/>
    <w:rsid w:val="00884FD0"/>
    <w:rsid w:val="00886809"/>
    <w:rsid w:val="008910B9"/>
    <w:rsid w:val="00895E97"/>
    <w:rsid w:val="008971E9"/>
    <w:rsid w:val="008979B1"/>
    <w:rsid w:val="008A3016"/>
    <w:rsid w:val="008A3543"/>
    <w:rsid w:val="008A6B25"/>
    <w:rsid w:val="008A6C4F"/>
    <w:rsid w:val="008D53CE"/>
    <w:rsid w:val="008E071B"/>
    <w:rsid w:val="008E0E01"/>
    <w:rsid w:val="008E0E46"/>
    <w:rsid w:val="008E1F48"/>
    <w:rsid w:val="008E3620"/>
    <w:rsid w:val="008F79EE"/>
    <w:rsid w:val="00904B37"/>
    <w:rsid w:val="0091571F"/>
    <w:rsid w:val="00916CE1"/>
    <w:rsid w:val="00922550"/>
    <w:rsid w:val="009255A2"/>
    <w:rsid w:val="009344A6"/>
    <w:rsid w:val="009434B3"/>
    <w:rsid w:val="00945A5D"/>
    <w:rsid w:val="00946A04"/>
    <w:rsid w:val="009508F7"/>
    <w:rsid w:val="0095534D"/>
    <w:rsid w:val="0095690E"/>
    <w:rsid w:val="00957117"/>
    <w:rsid w:val="00960AFB"/>
    <w:rsid w:val="00963CBA"/>
    <w:rsid w:val="00981905"/>
    <w:rsid w:val="009854F2"/>
    <w:rsid w:val="0099124E"/>
    <w:rsid w:val="00991261"/>
    <w:rsid w:val="009A7613"/>
    <w:rsid w:val="009B371C"/>
    <w:rsid w:val="009B4C36"/>
    <w:rsid w:val="009B53E6"/>
    <w:rsid w:val="009C3ED5"/>
    <w:rsid w:val="009C4C96"/>
    <w:rsid w:val="009D1AAE"/>
    <w:rsid w:val="009D21EA"/>
    <w:rsid w:val="009D2254"/>
    <w:rsid w:val="009E34C3"/>
    <w:rsid w:val="009E523D"/>
    <w:rsid w:val="009F0F06"/>
    <w:rsid w:val="009F4BF2"/>
    <w:rsid w:val="00A1427D"/>
    <w:rsid w:val="00A2321F"/>
    <w:rsid w:val="00A3012E"/>
    <w:rsid w:val="00A310BE"/>
    <w:rsid w:val="00A357CC"/>
    <w:rsid w:val="00A37714"/>
    <w:rsid w:val="00A405E5"/>
    <w:rsid w:val="00A44CAE"/>
    <w:rsid w:val="00A50007"/>
    <w:rsid w:val="00A60C34"/>
    <w:rsid w:val="00A65944"/>
    <w:rsid w:val="00A71B65"/>
    <w:rsid w:val="00A72F22"/>
    <w:rsid w:val="00A73040"/>
    <w:rsid w:val="00A748A6"/>
    <w:rsid w:val="00A74A73"/>
    <w:rsid w:val="00A74EF3"/>
    <w:rsid w:val="00A75B6F"/>
    <w:rsid w:val="00A75EC9"/>
    <w:rsid w:val="00A8523D"/>
    <w:rsid w:val="00A879A4"/>
    <w:rsid w:val="00A90303"/>
    <w:rsid w:val="00A93914"/>
    <w:rsid w:val="00A93EFD"/>
    <w:rsid w:val="00A9451B"/>
    <w:rsid w:val="00A94E14"/>
    <w:rsid w:val="00AA6ADE"/>
    <w:rsid w:val="00AB2557"/>
    <w:rsid w:val="00AB5051"/>
    <w:rsid w:val="00AC12E0"/>
    <w:rsid w:val="00AC4017"/>
    <w:rsid w:val="00AC4345"/>
    <w:rsid w:val="00AD53E5"/>
    <w:rsid w:val="00AE06E2"/>
    <w:rsid w:val="00AF17E0"/>
    <w:rsid w:val="00AF523B"/>
    <w:rsid w:val="00AF6697"/>
    <w:rsid w:val="00B30179"/>
    <w:rsid w:val="00B304A8"/>
    <w:rsid w:val="00B3094C"/>
    <w:rsid w:val="00B3317B"/>
    <w:rsid w:val="00B34E51"/>
    <w:rsid w:val="00B4226A"/>
    <w:rsid w:val="00B431FF"/>
    <w:rsid w:val="00B571F2"/>
    <w:rsid w:val="00B62D3D"/>
    <w:rsid w:val="00B639CA"/>
    <w:rsid w:val="00B707EC"/>
    <w:rsid w:val="00B81E12"/>
    <w:rsid w:val="00B85A05"/>
    <w:rsid w:val="00B93068"/>
    <w:rsid w:val="00B94CD7"/>
    <w:rsid w:val="00B96D8A"/>
    <w:rsid w:val="00BA73C3"/>
    <w:rsid w:val="00BB0133"/>
    <w:rsid w:val="00BB027F"/>
    <w:rsid w:val="00BB0958"/>
    <w:rsid w:val="00BC603D"/>
    <w:rsid w:val="00BC73C7"/>
    <w:rsid w:val="00BC74E9"/>
    <w:rsid w:val="00BD36F7"/>
    <w:rsid w:val="00BE618E"/>
    <w:rsid w:val="00BF169C"/>
    <w:rsid w:val="00BF7DE7"/>
    <w:rsid w:val="00C21CDE"/>
    <w:rsid w:val="00C26C0B"/>
    <w:rsid w:val="00C32725"/>
    <w:rsid w:val="00C332DA"/>
    <w:rsid w:val="00C44E98"/>
    <w:rsid w:val="00C463DD"/>
    <w:rsid w:val="00C62F76"/>
    <w:rsid w:val="00C667E3"/>
    <w:rsid w:val="00C73CE6"/>
    <w:rsid w:val="00C745C3"/>
    <w:rsid w:val="00C7487E"/>
    <w:rsid w:val="00C75101"/>
    <w:rsid w:val="00C83125"/>
    <w:rsid w:val="00C97788"/>
    <w:rsid w:val="00CA2FB6"/>
    <w:rsid w:val="00CB4C2D"/>
    <w:rsid w:val="00CB64AE"/>
    <w:rsid w:val="00CC47DF"/>
    <w:rsid w:val="00CC5473"/>
    <w:rsid w:val="00CC5E90"/>
    <w:rsid w:val="00CC5FB1"/>
    <w:rsid w:val="00CD3225"/>
    <w:rsid w:val="00CD5FED"/>
    <w:rsid w:val="00CE46BA"/>
    <w:rsid w:val="00CE4A8F"/>
    <w:rsid w:val="00CE57DA"/>
    <w:rsid w:val="00CF03B5"/>
    <w:rsid w:val="00CF46F8"/>
    <w:rsid w:val="00CF5E82"/>
    <w:rsid w:val="00CF6A88"/>
    <w:rsid w:val="00CF6AC0"/>
    <w:rsid w:val="00CF7E49"/>
    <w:rsid w:val="00D0408E"/>
    <w:rsid w:val="00D11652"/>
    <w:rsid w:val="00D1626A"/>
    <w:rsid w:val="00D2031B"/>
    <w:rsid w:val="00D207B0"/>
    <w:rsid w:val="00D20CE5"/>
    <w:rsid w:val="00D23861"/>
    <w:rsid w:val="00D24605"/>
    <w:rsid w:val="00D25FE2"/>
    <w:rsid w:val="00D3033B"/>
    <w:rsid w:val="00D327F7"/>
    <w:rsid w:val="00D345BA"/>
    <w:rsid w:val="00D35BDD"/>
    <w:rsid w:val="00D36689"/>
    <w:rsid w:val="00D43252"/>
    <w:rsid w:val="00D46231"/>
    <w:rsid w:val="00D625F6"/>
    <w:rsid w:val="00D71E33"/>
    <w:rsid w:val="00D729F2"/>
    <w:rsid w:val="00D753D8"/>
    <w:rsid w:val="00D803A9"/>
    <w:rsid w:val="00D811EC"/>
    <w:rsid w:val="00D83B2B"/>
    <w:rsid w:val="00D87AEF"/>
    <w:rsid w:val="00D96CC5"/>
    <w:rsid w:val="00D978C6"/>
    <w:rsid w:val="00DA67AD"/>
    <w:rsid w:val="00DA720A"/>
    <w:rsid w:val="00DB2840"/>
    <w:rsid w:val="00DB6036"/>
    <w:rsid w:val="00DC25F4"/>
    <w:rsid w:val="00DD2FF2"/>
    <w:rsid w:val="00DD62B9"/>
    <w:rsid w:val="00DD66D0"/>
    <w:rsid w:val="00DF18E3"/>
    <w:rsid w:val="00E103D0"/>
    <w:rsid w:val="00E130AB"/>
    <w:rsid w:val="00E1345B"/>
    <w:rsid w:val="00E1679E"/>
    <w:rsid w:val="00E207EC"/>
    <w:rsid w:val="00E31E1E"/>
    <w:rsid w:val="00E53CC6"/>
    <w:rsid w:val="00E5644E"/>
    <w:rsid w:val="00E7260F"/>
    <w:rsid w:val="00E77BA6"/>
    <w:rsid w:val="00E81230"/>
    <w:rsid w:val="00E8535A"/>
    <w:rsid w:val="00E933C4"/>
    <w:rsid w:val="00E96386"/>
    <w:rsid w:val="00E96630"/>
    <w:rsid w:val="00E96952"/>
    <w:rsid w:val="00EA34E1"/>
    <w:rsid w:val="00EA6E78"/>
    <w:rsid w:val="00EA772F"/>
    <w:rsid w:val="00EB6832"/>
    <w:rsid w:val="00EC020C"/>
    <w:rsid w:val="00EC271A"/>
    <w:rsid w:val="00EC4D9F"/>
    <w:rsid w:val="00ED14CB"/>
    <w:rsid w:val="00ED4A3F"/>
    <w:rsid w:val="00ED6BE2"/>
    <w:rsid w:val="00ED7A2A"/>
    <w:rsid w:val="00EE4F84"/>
    <w:rsid w:val="00EE7FDC"/>
    <w:rsid w:val="00EF0043"/>
    <w:rsid w:val="00EF1D7F"/>
    <w:rsid w:val="00F0135D"/>
    <w:rsid w:val="00F22FBC"/>
    <w:rsid w:val="00F27432"/>
    <w:rsid w:val="00F37510"/>
    <w:rsid w:val="00F40E75"/>
    <w:rsid w:val="00F46C61"/>
    <w:rsid w:val="00F52545"/>
    <w:rsid w:val="00F54674"/>
    <w:rsid w:val="00F60240"/>
    <w:rsid w:val="00F608CD"/>
    <w:rsid w:val="00F845FF"/>
    <w:rsid w:val="00F87E27"/>
    <w:rsid w:val="00F90E26"/>
    <w:rsid w:val="00F9331F"/>
    <w:rsid w:val="00F95BBB"/>
    <w:rsid w:val="00FA0A6E"/>
    <w:rsid w:val="00FB7353"/>
    <w:rsid w:val="00FC4A05"/>
    <w:rsid w:val="00FC5F72"/>
    <w:rsid w:val="00FC68B7"/>
    <w:rsid w:val="00FD6B2B"/>
    <w:rsid w:val="00FD761D"/>
    <w:rsid w:val="00FE167B"/>
    <w:rsid w:val="00FE42D8"/>
    <w:rsid w:val="00FF03BB"/>
    <w:rsid w:val="00FF28C2"/>
    <w:rsid w:val="00FF52D7"/>
    <w:rsid w:val="00FF5E28"/>
    <w:rsid w:val="00FF5F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04191B"/>
  <w15:docId w15:val="{6085CDFB-DEC5-4FA4-A4D3-B34DCF76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5F44"/>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rPr>
      <w:lang w:eastAsia="fr-FR"/>
    </w:rPr>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qFormat/>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character" w:customStyle="1" w:styleId="HeaderChar">
    <w:name w:val="Header Char"/>
    <w:aliases w:val="6_G Char"/>
    <w:link w:val="Header"/>
    <w:uiPriority w:val="99"/>
    <w:rsid w:val="00675DB9"/>
    <w:rPr>
      <w:b/>
      <w:sz w:val="18"/>
      <w:lang w:eastAsia="en-US"/>
    </w:rPr>
  </w:style>
  <w:style w:type="paragraph" w:styleId="CommentSubject">
    <w:name w:val="annotation subject"/>
    <w:basedOn w:val="CommentText"/>
    <w:next w:val="CommentText"/>
    <w:link w:val="CommentSubjectChar"/>
    <w:semiHidden/>
    <w:unhideWhenUsed/>
    <w:rsid w:val="00D20CE5"/>
    <w:pPr>
      <w:suppressAutoHyphens/>
      <w:spacing w:line="240" w:lineRule="atLeast"/>
    </w:pPr>
    <w:rPr>
      <w:b/>
      <w:bCs/>
      <w:lang w:eastAsia="en-US"/>
    </w:rPr>
  </w:style>
  <w:style w:type="character" w:customStyle="1" w:styleId="CommentTextChar">
    <w:name w:val="Comment Text Char"/>
    <w:link w:val="CommentText"/>
    <w:uiPriority w:val="99"/>
    <w:semiHidden/>
    <w:rsid w:val="00D20CE5"/>
    <w:rPr>
      <w:lang w:val="en-GB" w:eastAsia="fr-FR"/>
    </w:rPr>
  </w:style>
  <w:style w:type="character" w:customStyle="1" w:styleId="CommentSubjectChar">
    <w:name w:val="Comment Subject Char"/>
    <w:link w:val="CommentSubject"/>
    <w:semiHidden/>
    <w:rsid w:val="00D20CE5"/>
    <w:rPr>
      <w:b/>
      <w:bCs/>
      <w:lang w:val="en-GB" w:eastAsia="fr-FR"/>
    </w:rPr>
  </w:style>
  <w:style w:type="character" w:customStyle="1" w:styleId="SingleTxtGCar">
    <w:name w:val="_ Single Txt_G Car"/>
    <w:rsid w:val="008E362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688">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AD9EBA13F3D4D944610359B871BE0" ma:contentTypeVersion="8" ma:contentTypeDescription="Create a new document." ma:contentTypeScope="" ma:versionID="6c8afc12d42cd3007a50b0fcde94c562">
  <xsd:schema xmlns:xsd="http://www.w3.org/2001/XMLSchema" xmlns:xs="http://www.w3.org/2001/XMLSchema" xmlns:p="http://schemas.microsoft.com/office/2006/metadata/properties" xmlns:ns3="32e2eb3e-52c0-43a9-b66b-53c93d71b614" targetNamespace="http://schemas.microsoft.com/office/2006/metadata/properties" ma:root="true" ma:fieldsID="eac867479c5f584e6aeae5cb61fa66d9" ns3:_="">
    <xsd:import namespace="32e2eb3e-52c0-43a9-b66b-53c93d71b6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2eb3e-52c0-43a9-b66b-53c93d71b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9CA0-52EC-4715-9191-09C9A9128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2eb3e-52c0-43a9-b66b-53c93d71b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F53D3-A2AB-4503-98ED-3143D8391D80}">
  <ds:schemaRefs>
    <ds:schemaRef ds:uri="http://schemas.microsoft.com/sharepoint/v3/contenttype/forms"/>
  </ds:schemaRefs>
</ds:datastoreItem>
</file>

<file path=customXml/itemProps3.xml><?xml version="1.0" encoding="utf-8"?>
<ds:datastoreItem xmlns:ds="http://schemas.openxmlformats.org/officeDocument/2006/customXml" ds:itemID="{8318A735-CE83-4EB6-AD2A-FDB373B59506}">
  <ds:schemaRefs>
    <ds:schemaRef ds:uri="http://schemas.microsoft.com/office/2006/documentManagement/types"/>
    <ds:schemaRef ds:uri="http://schemas.microsoft.com/office/infopath/2007/PartnerControls"/>
    <ds:schemaRef ds:uri="32e2eb3e-52c0-43a9-b66b-53c93d71b614"/>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5.xml><?xml version="1.0" encoding="utf-8"?>
<ds:datastoreItem xmlns:ds="http://schemas.openxmlformats.org/officeDocument/2006/customXml" ds:itemID="{6A750F7A-1093-4616-AADF-C3F327C3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67</TotalTime>
  <Pages>4</Pages>
  <Words>1932</Words>
  <Characters>11016</Characters>
  <Application>Microsoft Office Word</Application>
  <DocSecurity>0</DocSecurity>
  <Lines>91</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Laurence BERTHET</dc:creator>
  <cp:lastModifiedBy>RGC</cp:lastModifiedBy>
  <cp:revision>9</cp:revision>
  <cp:lastPrinted>2019-11-15T13:08:00Z</cp:lastPrinted>
  <dcterms:created xsi:type="dcterms:W3CDTF">2019-11-15T12:57:00Z</dcterms:created>
  <dcterms:modified xsi:type="dcterms:W3CDTF">2019-11-15T15:11:00Z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0x0101007C9AD9EBA13F3D4D944610359B871BE0</vt:lpwstr>
  </property>
</Properties>
</file>