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6144"/>
      </w:tblGrid>
      <w:tr w:rsidR="00963CBA" w:rsidRPr="0049211A" w14:paraId="2DF1FD48" w14:textId="77777777" w:rsidTr="00EE369A">
        <w:trPr>
          <w:trHeight w:val="851"/>
        </w:trPr>
        <w:tc>
          <w:tcPr>
            <w:tcW w:w="1259" w:type="dxa"/>
            <w:tcBorders>
              <w:bottom w:val="single" w:sz="4" w:space="0" w:color="auto"/>
            </w:tcBorders>
            <w:shd w:val="clear" w:color="auto" w:fill="auto"/>
          </w:tcPr>
          <w:p w14:paraId="2C9C0ABD" w14:textId="77777777" w:rsidR="00446DE4" w:rsidRPr="00E3141C" w:rsidRDefault="00446DE4" w:rsidP="000216CC">
            <w:pPr>
              <w:spacing w:after="80" w:line="340" w:lineRule="exact"/>
            </w:pPr>
          </w:p>
        </w:tc>
        <w:tc>
          <w:tcPr>
            <w:tcW w:w="2236" w:type="dxa"/>
            <w:tcBorders>
              <w:bottom w:val="single" w:sz="4" w:space="0" w:color="auto"/>
            </w:tcBorders>
            <w:shd w:val="clear" w:color="auto" w:fill="auto"/>
            <w:vAlign w:val="bottom"/>
          </w:tcPr>
          <w:p w14:paraId="7954B46C" w14:textId="77777777" w:rsidR="00446DE4" w:rsidRPr="00E3141C" w:rsidRDefault="00446DE4" w:rsidP="000216CC">
            <w:pPr>
              <w:spacing w:after="80" w:line="340" w:lineRule="exact"/>
              <w:rPr>
                <w:sz w:val="28"/>
                <w:szCs w:val="28"/>
              </w:rPr>
            </w:pPr>
          </w:p>
        </w:tc>
        <w:tc>
          <w:tcPr>
            <w:tcW w:w="6144" w:type="dxa"/>
            <w:tcBorders>
              <w:bottom w:val="single" w:sz="4" w:space="0" w:color="auto"/>
            </w:tcBorders>
            <w:shd w:val="clear" w:color="auto" w:fill="auto"/>
            <w:vAlign w:val="bottom"/>
          </w:tcPr>
          <w:p w14:paraId="419A832D" w14:textId="1F6D5DF3" w:rsidR="00FC215C" w:rsidRPr="0049211A" w:rsidRDefault="00FC215C" w:rsidP="00B666B2">
            <w:pPr>
              <w:jc w:val="right"/>
              <w:rPr>
                <w:b/>
                <w:sz w:val="40"/>
                <w:szCs w:val="40"/>
              </w:rPr>
            </w:pPr>
            <w:r w:rsidRPr="0049211A">
              <w:rPr>
                <w:b/>
                <w:sz w:val="40"/>
                <w:szCs w:val="40"/>
              </w:rPr>
              <w:t>UN/SCETDG/</w:t>
            </w:r>
            <w:r w:rsidR="00CE74ED" w:rsidRPr="0049211A">
              <w:rPr>
                <w:b/>
                <w:sz w:val="40"/>
                <w:szCs w:val="40"/>
              </w:rPr>
              <w:t>5</w:t>
            </w:r>
            <w:r w:rsidR="006A53DC">
              <w:rPr>
                <w:b/>
                <w:sz w:val="40"/>
                <w:szCs w:val="40"/>
              </w:rPr>
              <w:t>5</w:t>
            </w:r>
            <w:r w:rsidRPr="0049211A">
              <w:rPr>
                <w:b/>
                <w:sz w:val="40"/>
                <w:szCs w:val="40"/>
              </w:rPr>
              <w:t>/</w:t>
            </w:r>
            <w:r w:rsidR="008B602D">
              <w:rPr>
                <w:b/>
                <w:sz w:val="40"/>
                <w:szCs w:val="40"/>
              </w:rPr>
              <w:t>INF.</w:t>
            </w:r>
            <w:r w:rsidR="00EE369A">
              <w:rPr>
                <w:b/>
                <w:sz w:val="40"/>
                <w:szCs w:val="40"/>
              </w:rPr>
              <w:t>27</w:t>
            </w:r>
          </w:p>
          <w:p w14:paraId="5FA73D92" w14:textId="77777777" w:rsidR="000216CC" w:rsidRPr="0049211A" w:rsidRDefault="000216CC" w:rsidP="00497711">
            <w:pPr>
              <w:jc w:val="right"/>
            </w:pPr>
          </w:p>
        </w:tc>
      </w:tr>
    </w:tbl>
    <w:tbl>
      <w:tblPr>
        <w:tblW w:w="9645" w:type="dxa"/>
        <w:tblInd w:w="108" w:type="dxa"/>
        <w:tblLayout w:type="fixed"/>
        <w:tblLook w:val="04A0" w:firstRow="1" w:lastRow="0" w:firstColumn="1" w:lastColumn="0" w:noHBand="0" w:noVBand="1"/>
      </w:tblPr>
      <w:tblGrid>
        <w:gridCol w:w="5832"/>
        <w:gridCol w:w="3813"/>
      </w:tblGrid>
      <w:tr w:rsidR="00645A0B" w:rsidRPr="00793510" w14:paraId="726FABBB" w14:textId="77777777" w:rsidTr="00D73803">
        <w:tc>
          <w:tcPr>
            <w:tcW w:w="9645" w:type="dxa"/>
            <w:gridSpan w:val="2"/>
            <w:tcMar>
              <w:top w:w="142" w:type="dxa"/>
              <w:left w:w="108" w:type="dxa"/>
              <w:bottom w:w="142" w:type="dxa"/>
              <w:right w:w="108" w:type="dxa"/>
            </w:tcMar>
          </w:tcPr>
          <w:p w14:paraId="6F1ACE77" w14:textId="15AAD6B5" w:rsidR="00645A0B" w:rsidRPr="00793510" w:rsidRDefault="00645A0B" w:rsidP="004767B8">
            <w:pPr>
              <w:tabs>
                <w:tab w:val="right" w:pos="9214"/>
              </w:tabs>
              <w:rPr>
                <w:bCs/>
              </w:rPr>
            </w:pPr>
            <w:r w:rsidRPr="00EE369A">
              <w:rPr>
                <w:b/>
                <w:sz w:val="24"/>
                <w:szCs w:val="24"/>
              </w:rPr>
              <w:t>Committee of Experts on the Transport of Dangerous Goods</w:t>
            </w:r>
            <w:r w:rsidRPr="00EE369A">
              <w:rPr>
                <w:b/>
                <w:sz w:val="24"/>
                <w:szCs w:val="24"/>
              </w:rPr>
              <w:tab/>
            </w:r>
            <w:r w:rsidRPr="00EE369A">
              <w:rPr>
                <w:b/>
                <w:sz w:val="24"/>
                <w:szCs w:val="24"/>
              </w:rPr>
              <w:br/>
              <w:t>and on the Globally Harmonized System of Classification</w:t>
            </w:r>
            <w:r w:rsidRPr="00EE369A">
              <w:rPr>
                <w:b/>
                <w:sz w:val="24"/>
                <w:szCs w:val="24"/>
              </w:rPr>
              <w:br/>
              <w:t>and Labelling of Chemicals</w:t>
            </w:r>
            <w:r w:rsidRPr="00793510">
              <w:rPr>
                <w:bCs/>
              </w:rPr>
              <w:tab/>
            </w:r>
            <w:r w:rsidR="004767B8" w:rsidRPr="00EE369A">
              <w:rPr>
                <w:b/>
              </w:rPr>
              <w:t>1</w:t>
            </w:r>
            <w:r w:rsidR="00EE369A">
              <w:rPr>
                <w:b/>
              </w:rPr>
              <w:t>4</w:t>
            </w:r>
            <w:r w:rsidR="006A53DC" w:rsidRPr="00EE369A">
              <w:rPr>
                <w:b/>
              </w:rPr>
              <w:t xml:space="preserve"> </w:t>
            </w:r>
            <w:r w:rsidR="004767B8" w:rsidRPr="00EE369A">
              <w:rPr>
                <w:b/>
              </w:rPr>
              <w:t>June</w:t>
            </w:r>
            <w:r w:rsidR="006216A1" w:rsidRPr="00EE369A">
              <w:rPr>
                <w:b/>
              </w:rPr>
              <w:t xml:space="preserve"> </w:t>
            </w:r>
            <w:r w:rsidR="006A53DC" w:rsidRPr="00EE369A">
              <w:rPr>
                <w:b/>
              </w:rPr>
              <w:t>2019</w:t>
            </w:r>
          </w:p>
        </w:tc>
      </w:tr>
      <w:tr w:rsidR="00645A0B" w:rsidRPr="00E3141C" w14:paraId="4C41D757" w14:textId="77777777" w:rsidTr="004767B8">
        <w:tc>
          <w:tcPr>
            <w:tcW w:w="5832" w:type="dxa"/>
            <w:tcMar>
              <w:top w:w="57" w:type="dxa"/>
              <w:left w:w="108" w:type="dxa"/>
              <w:bottom w:w="0" w:type="dxa"/>
              <w:right w:w="108" w:type="dxa"/>
            </w:tcMar>
            <w:vAlign w:val="center"/>
          </w:tcPr>
          <w:p w14:paraId="411C128E" w14:textId="77777777" w:rsidR="00645A0B" w:rsidRPr="0049211A" w:rsidRDefault="00645A0B" w:rsidP="00D73803">
            <w:pPr>
              <w:spacing w:before="40"/>
              <w:rPr>
                <w:b/>
              </w:rPr>
            </w:pPr>
            <w:r w:rsidRPr="0049211A">
              <w:rPr>
                <w:b/>
              </w:rPr>
              <w:t xml:space="preserve">Sub-Committee of Experts on the Transport of Dangerous Goods </w:t>
            </w:r>
          </w:p>
        </w:tc>
        <w:tc>
          <w:tcPr>
            <w:tcW w:w="3813" w:type="dxa"/>
            <w:tcMar>
              <w:top w:w="57" w:type="dxa"/>
              <w:left w:w="108" w:type="dxa"/>
              <w:bottom w:w="0" w:type="dxa"/>
              <w:right w:w="108" w:type="dxa"/>
            </w:tcMar>
            <w:vAlign w:val="center"/>
          </w:tcPr>
          <w:p w14:paraId="6D00A188" w14:textId="77777777" w:rsidR="00645A0B" w:rsidRPr="0049211A" w:rsidRDefault="00645A0B" w:rsidP="00165735">
            <w:pPr>
              <w:spacing w:before="120"/>
              <w:rPr>
                <w:b/>
              </w:rPr>
            </w:pPr>
          </w:p>
        </w:tc>
      </w:tr>
      <w:tr w:rsidR="00645A0B" w:rsidRPr="00E3141C" w14:paraId="3096E4C3" w14:textId="77777777" w:rsidTr="004767B8">
        <w:trPr>
          <w:trHeight w:val="201"/>
        </w:trPr>
        <w:tc>
          <w:tcPr>
            <w:tcW w:w="5832" w:type="dxa"/>
            <w:tcMar>
              <w:top w:w="57" w:type="dxa"/>
              <w:left w:w="108" w:type="dxa"/>
              <w:bottom w:w="0" w:type="dxa"/>
              <w:right w:w="108" w:type="dxa"/>
            </w:tcMar>
          </w:tcPr>
          <w:p w14:paraId="14EF050B" w14:textId="77777777" w:rsidR="00645A0B" w:rsidRPr="0049211A" w:rsidRDefault="00CE74ED" w:rsidP="00D73803">
            <w:pPr>
              <w:spacing w:line="240" w:lineRule="auto"/>
              <w:ind w:left="34" w:hanging="34"/>
              <w:rPr>
                <w:b/>
              </w:rPr>
            </w:pPr>
            <w:r w:rsidRPr="0049211A">
              <w:rPr>
                <w:b/>
              </w:rPr>
              <w:t>Fifty-</w:t>
            </w:r>
            <w:r w:rsidR="006A53DC">
              <w:rPr>
                <w:b/>
              </w:rPr>
              <w:t>fifth</w:t>
            </w:r>
            <w:r w:rsidRPr="0049211A">
              <w:rPr>
                <w:b/>
              </w:rPr>
              <w:t xml:space="preserve"> session</w:t>
            </w:r>
          </w:p>
        </w:tc>
        <w:tc>
          <w:tcPr>
            <w:tcW w:w="3813" w:type="dxa"/>
            <w:tcMar>
              <w:top w:w="57" w:type="dxa"/>
              <w:left w:w="108" w:type="dxa"/>
              <w:bottom w:w="0" w:type="dxa"/>
              <w:right w:w="108" w:type="dxa"/>
            </w:tcMar>
          </w:tcPr>
          <w:p w14:paraId="30A121B5" w14:textId="77777777" w:rsidR="00645A0B" w:rsidRPr="0049211A" w:rsidRDefault="00645A0B" w:rsidP="00D73803">
            <w:pPr>
              <w:spacing w:line="240" w:lineRule="auto"/>
              <w:ind w:left="34" w:hanging="34"/>
              <w:rPr>
                <w:b/>
              </w:rPr>
            </w:pPr>
          </w:p>
        </w:tc>
      </w:tr>
      <w:tr w:rsidR="00645A0B" w:rsidRPr="00E3141C" w14:paraId="1A73ABFE" w14:textId="77777777" w:rsidTr="004767B8">
        <w:tc>
          <w:tcPr>
            <w:tcW w:w="5832" w:type="dxa"/>
            <w:tcMar>
              <w:top w:w="28" w:type="dxa"/>
              <w:left w:w="108" w:type="dxa"/>
              <w:bottom w:w="0" w:type="dxa"/>
              <w:right w:w="108" w:type="dxa"/>
            </w:tcMar>
          </w:tcPr>
          <w:p w14:paraId="27D2D5AC" w14:textId="0B2ECD66" w:rsidR="00CE74ED" w:rsidRPr="0049211A" w:rsidRDefault="00CE74ED" w:rsidP="00CE74ED">
            <w:pPr>
              <w:tabs>
                <w:tab w:val="left" w:pos="6361"/>
                <w:tab w:val="left" w:pos="6939"/>
              </w:tabs>
              <w:spacing w:before="40"/>
              <w:outlineLvl w:val="0"/>
              <w:rPr>
                <w:bCs/>
              </w:rPr>
            </w:pPr>
            <w:r w:rsidRPr="0049211A">
              <w:t xml:space="preserve">Geneva, </w:t>
            </w:r>
            <w:r w:rsidR="006A53DC">
              <w:t>1</w:t>
            </w:r>
            <w:r w:rsidR="00EE369A">
              <w:t>-</w:t>
            </w:r>
            <w:r w:rsidR="006A53DC">
              <w:t>5</w:t>
            </w:r>
            <w:r w:rsidRPr="0049211A">
              <w:t xml:space="preserve"> </w:t>
            </w:r>
            <w:r w:rsidR="006A53DC">
              <w:t>July 2019</w:t>
            </w:r>
          </w:p>
          <w:p w14:paraId="5E5BF03D" w14:textId="1D8A89FD" w:rsidR="00645A0B" w:rsidRPr="0049211A" w:rsidRDefault="00A83451" w:rsidP="00EA48C4">
            <w:pPr>
              <w:spacing w:before="40"/>
              <w:ind w:left="34" w:hanging="34"/>
            </w:pPr>
            <w:r w:rsidRPr="0049211A">
              <w:t xml:space="preserve">Item </w:t>
            </w:r>
            <w:r w:rsidR="008B602D">
              <w:t>2</w:t>
            </w:r>
            <w:r w:rsidR="00EE369A">
              <w:t xml:space="preserve"> </w:t>
            </w:r>
            <w:r w:rsidR="008B602D">
              <w:t>(b)</w:t>
            </w:r>
            <w:r w:rsidRPr="0049211A">
              <w:t xml:space="preserve"> of the provisional agenda</w:t>
            </w:r>
          </w:p>
          <w:p w14:paraId="081C3C50" w14:textId="2E5D6135" w:rsidR="00645A0B" w:rsidRPr="00EE369A" w:rsidRDefault="00EE369A" w:rsidP="00EA48C4">
            <w:pPr>
              <w:spacing w:before="40"/>
              <w:ind w:left="34" w:hanging="34"/>
              <w:rPr>
                <w:b/>
                <w:bCs/>
              </w:rPr>
            </w:pPr>
            <w:r w:rsidRPr="00EE369A">
              <w:rPr>
                <w:b/>
                <w:bCs/>
              </w:rPr>
              <w:t>Explosives and related matters: i</w:t>
            </w:r>
            <w:r w:rsidR="008B602D" w:rsidRPr="00EE369A">
              <w:rPr>
                <w:b/>
                <w:bCs/>
              </w:rPr>
              <w:t>mprovement of test series 8</w:t>
            </w:r>
          </w:p>
        </w:tc>
        <w:tc>
          <w:tcPr>
            <w:tcW w:w="3813" w:type="dxa"/>
            <w:tcMar>
              <w:top w:w="28" w:type="dxa"/>
              <w:left w:w="108" w:type="dxa"/>
              <w:bottom w:w="0" w:type="dxa"/>
              <w:right w:w="108" w:type="dxa"/>
            </w:tcMar>
          </w:tcPr>
          <w:p w14:paraId="3E428EF9" w14:textId="77777777" w:rsidR="00645A0B" w:rsidRPr="0049211A" w:rsidRDefault="00645A0B" w:rsidP="000B6AD1">
            <w:pPr>
              <w:spacing w:before="40"/>
              <w:rPr>
                <w:b/>
                <w:bCs/>
              </w:rPr>
            </w:pPr>
          </w:p>
        </w:tc>
      </w:tr>
    </w:tbl>
    <w:p w14:paraId="6299F854" w14:textId="676AC91F" w:rsidR="00A83451" w:rsidRPr="00E3141C" w:rsidRDefault="008B65FB" w:rsidP="00E40D7C">
      <w:pPr>
        <w:pStyle w:val="HChG"/>
        <w:spacing w:before="280" w:after="200" w:line="240" w:lineRule="auto"/>
        <w:rPr>
          <w:rFonts w:eastAsia="MS Mincho"/>
          <w:lang w:val="en-GB" w:eastAsia="ja-JP"/>
        </w:rPr>
      </w:pPr>
      <w:r w:rsidRPr="00E3141C">
        <w:rPr>
          <w:rFonts w:eastAsia="MS Mincho"/>
          <w:lang w:val="en-GB" w:eastAsia="ja-JP"/>
        </w:rPr>
        <w:tab/>
      </w:r>
      <w:r w:rsidR="00B666B2" w:rsidRPr="00E3141C">
        <w:rPr>
          <w:rFonts w:eastAsia="MS Mincho"/>
          <w:lang w:val="en-GB" w:eastAsia="ja-JP"/>
        </w:rPr>
        <w:tab/>
      </w:r>
      <w:r w:rsidR="008B602D">
        <w:rPr>
          <w:rFonts w:eastAsia="MS Mincho"/>
          <w:lang w:val="en-GB" w:eastAsia="ja-JP"/>
        </w:rPr>
        <w:t>Recommendation</w:t>
      </w:r>
      <w:r w:rsidR="007703E2">
        <w:rPr>
          <w:rFonts w:eastAsia="MS Mincho"/>
          <w:lang w:val="en-GB" w:eastAsia="ja-JP"/>
        </w:rPr>
        <w:t>s</w:t>
      </w:r>
      <w:r w:rsidR="008B602D">
        <w:rPr>
          <w:rFonts w:eastAsia="MS Mincho"/>
          <w:lang w:val="en-GB" w:eastAsia="ja-JP"/>
        </w:rPr>
        <w:t xml:space="preserve"> on Test Series 8: </w:t>
      </w:r>
      <w:r w:rsidR="009F20B7">
        <w:rPr>
          <w:rFonts w:eastAsia="MS Mincho"/>
          <w:lang w:val="en-GB" w:eastAsia="ja-JP"/>
        </w:rPr>
        <w:t xml:space="preserve">Applicability of </w:t>
      </w:r>
      <w:r w:rsidR="008B602D">
        <w:rPr>
          <w:rFonts w:eastAsia="MS Mincho"/>
          <w:lang w:val="en-GB" w:eastAsia="ja-JP"/>
        </w:rPr>
        <w:t>Test Series 8</w:t>
      </w:r>
      <w:r w:rsidR="000F0831">
        <w:rPr>
          <w:rFonts w:eastAsia="MS Mincho"/>
          <w:lang w:val="en-GB" w:eastAsia="ja-JP"/>
        </w:rPr>
        <w:t xml:space="preserve"> </w:t>
      </w:r>
      <w:bookmarkStart w:id="0" w:name="_GoBack"/>
      <w:bookmarkEnd w:id="0"/>
      <w:r w:rsidR="008B602D">
        <w:rPr>
          <w:rFonts w:eastAsia="MS Mincho"/>
          <w:lang w:val="en-GB" w:eastAsia="ja-JP"/>
        </w:rPr>
        <w:t>(d)</w:t>
      </w:r>
    </w:p>
    <w:p w14:paraId="47D88C2D" w14:textId="77777777" w:rsidR="00B666B2" w:rsidRPr="00E3141C" w:rsidRDefault="00B666B2" w:rsidP="00E40D7C">
      <w:pPr>
        <w:pStyle w:val="H1G"/>
        <w:spacing w:before="280"/>
        <w:rPr>
          <w:lang w:eastAsia="ja-JP"/>
        </w:rPr>
      </w:pPr>
      <w:r w:rsidRPr="00E3141C">
        <w:rPr>
          <w:lang w:eastAsia="ja-JP"/>
        </w:rPr>
        <w:tab/>
      </w:r>
      <w:r w:rsidRPr="00E3141C">
        <w:rPr>
          <w:lang w:eastAsia="ja-JP"/>
        </w:rPr>
        <w:tab/>
      </w:r>
      <w:r w:rsidR="008B602D">
        <w:rPr>
          <w:lang w:eastAsia="ja-JP"/>
        </w:rPr>
        <w:t>Transmitted by the Institute of Makers of Explosives (IME)</w:t>
      </w:r>
    </w:p>
    <w:p w14:paraId="59867622" w14:textId="77777777" w:rsidR="008B602D" w:rsidRPr="008B602D" w:rsidRDefault="008B602D" w:rsidP="00EE369A">
      <w:pPr>
        <w:pStyle w:val="HChG"/>
      </w:pPr>
      <w:r>
        <w:rPr>
          <w:lang w:eastAsia="ja-JP"/>
        </w:rPr>
        <w:tab/>
      </w:r>
      <w:r>
        <w:rPr>
          <w:lang w:eastAsia="ja-JP"/>
        </w:rPr>
        <w:tab/>
      </w:r>
      <w:r w:rsidRPr="008B602D">
        <w:rPr>
          <w:lang w:eastAsia="ja-JP"/>
        </w:rPr>
        <w:t>Introduction</w:t>
      </w:r>
    </w:p>
    <w:p w14:paraId="166EE3C0" w14:textId="21A4A17B" w:rsidR="008B602D" w:rsidRPr="008B602D" w:rsidRDefault="00EE369A" w:rsidP="00EE369A">
      <w:pPr>
        <w:pStyle w:val="SingleTxtG"/>
      </w:pPr>
      <w:r>
        <w:tab/>
      </w:r>
      <w:r>
        <w:rPr>
          <w:lang w:val="fr-CH"/>
        </w:rPr>
        <w:t>1.</w:t>
      </w:r>
      <w:r>
        <w:tab/>
      </w:r>
      <w:r w:rsidR="008B602D" w:rsidRPr="008B602D">
        <w:t xml:space="preserve">At the fifty-fourth session of the Sub-committee of </w:t>
      </w:r>
      <w:r>
        <w:t>e</w:t>
      </w:r>
      <w:r w:rsidR="008B602D" w:rsidRPr="008B602D">
        <w:t xml:space="preserve">xperts on the Transport of Dangerous Goods the Working Group </w:t>
      </w:r>
      <w:r>
        <w:t xml:space="preserve">on Explosives </w:t>
      </w:r>
      <w:r w:rsidR="008B602D" w:rsidRPr="008B602D">
        <w:t>introduced the minimum burning pressure (MBP) test to further evaluate ammonium nitrate emulsions (ANE</w:t>
      </w:r>
      <w:r w:rsidR="005D7DE6">
        <w:t>s</w:t>
      </w:r>
      <w:r w:rsidR="008B602D" w:rsidRPr="008B602D">
        <w:t>) that produce positive outcomes in the 8</w:t>
      </w:r>
      <w:r>
        <w:t xml:space="preserve"> </w:t>
      </w:r>
      <w:r w:rsidR="008B602D" w:rsidRPr="008B602D">
        <w:t xml:space="preserve">(c) </w:t>
      </w:r>
      <w:proofErr w:type="spellStart"/>
      <w:r w:rsidR="008B602D" w:rsidRPr="008B602D">
        <w:t>Koenen</w:t>
      </w:r>
      <w:proofErr w:type="spellEnd"/>
      <w:r w:rsidR="008B602D" w:rsidRPr="008B602D">
        <w:t xml:space="preserve"> Test. If these ANE</w:t>
      </w:r>
      <w:r w:rsidR="00126A6E">
        <w:t>s</w:t>
      </w:r>
      <w:r w:rsidR="008B602D" w:rsidRPr="008B602D">
        <w:t xml:space="preserve"> meet certain criteria</w:t>
      </w:r>
      <w:r w:rsidR="00126A6E">
        <w:rPr>
          <w:rStyle w:val="FootnoteReference"/>
        </w:rPr>
        <w:footnoteReference w:id="2"/>
      </w:r>
      <w:r w:rsidR="008B602D" w:rsidRPr="008B602D">
        <w:t xml:space="preserve"> and pass the 8</w:t>
      </w:r>
      <w:r>
        <w:t xml:space="preserve"> </w:t>
      </w:r>
      <w:r w:rsidR="008B602D" w:rsidRPr="008B602D">
        <w:t xml:space="preserve">(e) test, they can be considered for classification as UN 3375 (Division 5.1). Designated as Test Series 8(e), the test was approved by the </w:t>
      </w:r>
      <w:r>
        <w:t>ninth s</w:t>
      </w:r>
      <w:r w:rsidR="008B602D" w:rsidRPr="008B602D">
        <w:t xml:space="preserve">ession of the </w:t>
      </w:r>
      <w:r>
        <w:t>TDG/GHS committee</w:t>
      </w:r>
      <w:r w:rsidR="008B602D" w:rsidRPr="008B602D">
        <w:t xml:space="preserve"> and will appear in the </w:t>
      </w:r>
      <w:r>
        <w:t>seventh r</w:t>
      </w:r>
      <w:r w:rsidR="008B602D" w:rsidRPr="008B602D">
        <w:t xml:space="preserve">evision of the Manual of Tests and Criteria once published.  </w:t>
      </w:r>
    </w:p>
    <w:p w14:paraId="3723F7B8" w14:textId="6DD76B37" w:rsidR="008B602D" w:rsidRPr="008B602D" w:rsidRDefault="00EE369A" w:rsidP="00EE369A">
      <w:pPr>
        <w:pStyle w:val="SingleTxtG"/>
      </w:pPr>
      <w:r>
        <w:tab/>
      </w:r>
      <w:r>
        <w:rPr>
          <w:lang w:val="fr-CH"/>
        </w:rPr>
        <w:t>2.</w:t>
      </w:r>
      <w:r>
        <w:tab/>
      </w:r>
      <w:r w:rsidR="008B602D" w:rsidRPr="008B602D">
        <w:t>If ANEs are to be transported in portable tanks they must also be subjected to the 8</w:t>
      </w:r>
      <w:r w:rsidR="00EB4196">
        <w:rPr>
          <w:lang w:val="fr-CH"/>
        </w:rPr>
        <w:t> </w:t>
      </w:r>
      <w:r w:rsidR="008B602D" w:rsidRPr="008B602D">
        <w:t xml:space="preserve">(d) </w:t>
      </w:r>
      <w:r>
        <w:t>v</w:t>
      </w:r>
      <w:r w:rsidR="008B602D" w:rsidRPr="008B602D">
        <w:t xml:space="preserve">ented </w:t>
      </w:r>
      <w:r>
        <w:t>p</w:t>
      </w:r>
      <w:r w:rsidR="008B602D" w:rsidRPr="008B602D">
        <w:t xml:space="preserve">ipe test to determine suitability for containment in portable tanks as an oxidizing substance for such transport. Since the </w:t>
      </w:r>
      <w:r>
        <w:t>v</w:t>
      </w:r>
      <w:r w:rsidR="008B602D" w:rsidRPr="008B602D">
        <w:t xml:space="preserve">ented </w:t>
      </w:r>
      <w:r>
        <w:t>p</w:t>
      </w:r>
      <w:r w:rsidR="008B602D" w:rsidRPr="008B602D">
        <w:t>ipe test is, in effect, a larger scale Koenen Test, the same limitations of the Koenen Test for certain ANEs also apply to the 8</w:t>
      </w:r>
      <w:r>
        <w:t xml:space="preserve"> </w:t>
      </w:r>
      <w:r w:rsidR="008B602D" w:rsidRPr="008B602D">
        <w:t>(d) test. This paper proposes that the MBP test, which measures an intrinsic property of the substance, is sufficient to confirm the suitability of ANE</w:t>
      </w:r>
      <w:r w:rsidR="00412C1F">
        <w:t>s</w:t>
      </w:r>
      <w:r w:rsidR="008B602D" w:rsidRPr="008B602D">
        <w:t xml:space="preserve"> for containment and transport in a portable tank.</w:t>
      </w:r>
    </w:p>
    <w:p w14:paraId="1A2E597B" w14:textId="68048EDE" w:rsidR="008B602D" w:rsidRPr="008B602D" w:rsidRDefault="00EE369A" w:rsidP="00EE369A">
      <w:pPr>
        <w:pStyle w:val="HChG"/>
      </w:pPr>
      <w:r>
        <w:tab/>
      </w:r>
      <w:r>
        <w:tab/>
      </w:r>
      <w:r w:rsidR="008B602D" w:rsidRPr="008B602D">
        <w:t>Background</w:t>
      </w:r>
    </w:p>
    <w:p w14:paraId="7F2B9115" w14:textId="7C391EFA" w:rsidR="00045F2A" w:rsidRPr="00045F2A" w:rsidRDefault="00EE369A" w:rsidP="00EE369A">
      <w:pPr>
        <w:pStyle w:val="SingleTxtG"/>
      </w:pPr>
      <w:r>
        <w:rPr>
          <w:lang w:val="fr-CH"/>
        </w:rPr>
        <w:tab/>
        <w:t>3.</w:t>
      </w:r>
      <w:r>
        <w:rPr>
          <w:lang w:val="fr-CH"/>
        </w:rPr>
        <w:tab/>
      </w:r>
      <w:r w:rsidR="000615EE" w:rsidRPr="002A7F37">
        <w:t>Ammonium nitrate emulsions (ANE</w:t>
      </w:r>
      <w:r w:rsidR="005D7DE6">
        <w:t>s</w:t>
      </w:r>
      <w:r w:rsidR="000615EE" w:rsidRPr="002A7F37">
        <w:t>), defined as UN 3375, have shown to give false positives in the 8</w:t>
      </w:r>
      <w:r w:rsidR="00EB4196">
        <w:rPr>
          <w:lang w:val="fr-CH"/>
        </w:rPr>
        <w:t xml:space="preserve"> </w:t>
      </w:r>
      <w:r w:rsidR="000615EE" w:rsidRPr="002A7F37">
        <w:t xml:space="preserve">(c) </w:t>
      </w:r>
      <w:proofErr w:type="spellStart"/>
      <w:r w:rsidR="000615EE" w:rsidRPr="002A7F37">
        <w:t>Koenen</w:t>
      </w:r>
      <w:proofErr w:type="spellEnd"/>
      <w:r w:rsidR="000615EE" w:rsidRPr="002A7F37">
        <w:t xml:space="preserve"> Test. This is a consequence of the high water content and relatively lower reactivity of ANEs compared to the substances tested in the 1950s when the Koenen Test was developed. The prolonged heating required for ANEs results in weakening of the steel tube and hence produces false positives.</w:t>
      </w:r>
    </w:p>
    <w:p w14:paraId="4569C4D2" w14:textId="76276896" w:rsidR="00045F2A" w:rsidRPr="008B602D" w:rsidRDefault="00EE369A" w:rsidP="00EE369A">
      <w:pPr>
        <w:pStyle w:val="SingleTxtG"/>
      </w:pPr>
      <w:r>
        <w:tab/>
      </w:r>
      <w:r>
        <w:rPr>
          <w:lang w:val="fr-CH"/>
        </w:rPr>
        <w:t>4.</w:t>
      </w:r>
      <w:r>
        <w:tab/>
      </w:r>
      <w:r w:rsidR="000615EE" w:rsidRPr="002A7F37">
        <w:t xml:space="preserve">To address this limitation of the </w:t>
      </w:r>
      <w:proofErr w:type="spellStart"/>
      <w:r w:rsidR="000615EE" w:rsidRPr="002A7F37">
        <w:t>Koenen</w:t>
      </w:r>
      <w:proofErr w:type="spellEnd"/>
      <w:r w:rsidR="000615EE" w:rsidRPr="002A7F37">
        <w:t xml:space="preserve"> Test for ANEs, the Explosives Working Group in December approved the minimum burning pressure (MBP) test 8</w:t>
      </w:r>
      <w:r>
        <w:rPr>
          <w:lang w:val="fr-CH"/>
        </w:rPr>
        <w:t xml:space="preserve"> </w:t>
      </w:r>
      <w:r w:rsidR="000615EE" w:rsidRPr="002A7F37">
        <w:t xml:space="preserve">(e) </w:t>
      </w:r>
      <w:r w:rsidR="005D7DE6">
        <w:t>to classify</w:t>
      </w:r>
      <w:r w:rsidR="000615EE" w:rsidRPr="002A7F37">
        <w:t xml:space="preserve"> ANEs </w:t>
      </w:r>
      <w:r w:rsidR="005D7DE6" w:rsidRPr="005D7DE6">
        <w:t xml:space="preserve">where the </w:t>
      </w:r>
      <w:proofErr w:type="spellStart"/>
      <w:r w:rsidR="005D7DE6" w:rsidRPr="005D7DE6">
        <w:t>Koenen</w:t>
      </w:r>
      <w:proofErr w:type="spellEnd"/>
      <w:r w:rsidR="005D7DE6" w:rsidRPr="005D7DE6">
        <w:t xml:space="preserve"> Test</w:t>
      </w:r>
      <w:r w:rsidR="003728C1">
        <w:t xml:space="preserve"> </w:t>
      </w:r>
      <w:r w:rsidR="000615EE" w:rsidRPr="002A7F37">
        <w:t xml:space="preserve">reaction time </w:t>
      </w:r>
      <w:r w:rsidR="005D7DE6">
        <w:t>exceeds</w:t>
      </w:r>
      <w:r w:rsidR="000615EE" w:rsidRPr="002A7F37">
        <w:t xml:space="preserve"> 60 seconds and </w:t>
      </w:r>
      <w:r w:rsidR="005D7DE6">
        <w:t>the substance’s</w:t>
      </w:r>
      <w:r w:rsidR="005D7DE6" w:rsidRPr="002A7F37">
        <w:t xml:space="preserve"> </w:t>
      </w:r>
      <w:r w:rsidR="000615EE" w:rsidRPr="002A7F37">
        <w:t xml:space="preserve">water content </w:t>
      </w:r>
      <w:r w:rsidR="005D7DE6">
        <w:t xml:space="preserve">is </w:t>
      </w:r>
      <w:r w:rsidR="000615EE" w:rsidRPr="002A7F37">
        <w:t>greater than 14</w:t>
      </w:r>
      <w:r>
        <w:rPr>
          <w:lang w:val="fr-CH"/>
        </w:rPr>
        <w:t> </w:t>
      </w:r>
      <w:r w:rsidR="000615EE" w:rsidRPr="002A7F37">
        <w:t>%.</w:t>
      </w:r>
      <w:r w:rsidR="00045F2A" w:rsidRPr="008B602D">
        <w:t xml:space="preserve"> </w:t>
      </w:r>
    </w:p>
    <w:p w14:paraId="5F0DFD8E" w14:textId="366662B8" w:rsidR="008B602D" w:rsidRPr="008B602D" w:rsidRDefault="00EE369A" w:rsidP="00EE369A">
      <w:pPr>
        <w:pStyle w:val="SingleTxtG"/>
      </w:pPr>
      <w:r>
        <w:lastRenderedPageBreak/>
        <w:tab/>
      </w:r>
      <w:r>
        <w:rPr>
          <w:lang w:val="fr-CH"/>
        </w:rPr>
        <w:t>5.</w:t>
      </w:r>
      <w:r>
        <w:tab/>
      </w:r>
      <w:r w:rsidR="000615EE" w:rsidRPr="002A7F37">
        <w:t>The 8</w:t>
      </w:r>
      <w:r>
        <w:rPr>
          <w:lang w:val="fr-CH"/>
        </w:rPr>
        <w:t xml:space="preserve"> </w:t>
      </w:r>
      <w:r w:rsidR="000615EE" w:rsidRPr="002A7F37">
        <w:t xml:space="preserve">(d) Test, which is in effect a scaled-up Koenen Test, is </w:t>
      </w:r>
      <w:r w:rsidR="005456AF" w:rsidRPr="005456AF">
        <w:t xml:space="preserve">considered as one suitable test </w:t>
      </w:r>
      <w:r w:rsidR="000615EE" w:rsidRPr="002A7F37">
        <w:t xml:space="preserve">for ANEs if these substances are to be transported in portable tanks as an oxidizing substance. The fact that classification of some ANEs will not be governed by the Koenen Test and instead by the MBP test creates an issue for these substances since the likelihood of </w:t>
      </w:r>
      <w:r w:rsidR="00E61538">
        <w:t xml:space="preserve">a false positive in </w:t>
      </w:r>
      <w:r w:rsidR="000615EE" w:rsidRPr="002A7F37">
        <w:t>the 8</w:t>
      </w:r>
      <w:r w:rsidR="00EB4196">
        <w:rPr>
          <w:lang w:val="fr-CH"/>
        </w:rPr>
        <w:t xml:space="preserve"> </w:t>
      </w:r>
      <w:r w:rsidR="000615EE" w:rsidRPr="002A7F37">
        <w:t>(d) test is almost a certainty.</w:t>
      </w:r>
    </w:p>
    <w:p w14:paraId="36C52BD8" w14:textId="6F108251" w:rsidR="00D546AF" w:rsidRDefault="00EE369A" w:rsidP="00EE369A">
      <w:pPr>
        <w:pStyle w:val="HChG"/>
      </w:pPr>
      <w:r>
        <w:tab/>
      </w:r>
      <w:r>
        <w:tab/>
      </w:r>
      <w:r w:rsidR="008B602D" w:rsidRPr="008B602D">
        <w:t>Discussion</w:t>
      </w:r>
    </w:p>
    <w:p w14:paraId="452FCF97" w14:textId="10E5F71A" w:rsidR="008B602D" w:rsidRDefault="00EE369A" w:rsidP="00EE369A">
      <w:pPr>
        <w:pStyle w:val="SingleTxtG"/>
      </w:pPr>
      <w:r>
        <w:tab/>
      </w:r>
      <w:r>
        <w:rPr>
          <w:lang w:val="fr-CH"/>
        </w:rPr>
        <w:t>6.</w:t>
      </w:r>
      <w:r>
        <w:tab/>
      </w:r>
      <w:r w:rsidR="008B602D" w:rsidRPr="008B602D">
        <w:t>One critical reason for introducing the MBP 8</w:t>
      </w:r>
      <w:r>
        <w:t xml:space="preserve"> </w:t>
      </w:r>
      <w:r w:rsidR="008B602D" w:rsidRPr="008B602D">
        <w:t>(e) test alternative to 8</w:t>
      </w:r>
      <w:r>
        <w:t xml:space="preserve"> </w:t>
      </w:r>
      <w:r w:rsidR="008B602D" w:rsidRPr="008B602D">
        <w:t xml:space="preserve">(c) was the inability of the Koenen Test to differentiate between ANEs of widely varying water contents, a key determinant of ANE reactivity. This issue is demonstrated in Figure 1 (reproduced from </w:t>
      </w:r>
      <w:r>
        <w:t xml:space="preserve">informal document </w:t>
      </w:r>
      <w:r w:rsidR="008B602D" w:rsidRPr="008B602D">
        <w:t>INF.22</w:t>
      </w:r>
      <w:r>
        <w:t xml:space="preserve"> (53</w:t>
      </w:r>
      <w:r w:rsidRPr="00EE369A">
        <w:rPr>
          <w:vertAlign w:val="superscript"/>
        </w:rPr>
        <w:t>rd</w:t>
      </w:r>
      <w:r>
        <w:t xml:space="preserve"> session)</w:t>
      </w:r>
      <w:r w:rsidR="008B602D" w:rsidRPr="008B602D">
        <w:t>) that clearly shows the superior differentiation capability of the 8</w:t>
      </w:r>
      <w:r>
        <w:t xml:space="preserve"> </w:t>
      </w:r>
      <w:r w:rsidR="008B602D" w:rsidRPr="008B602D">
        <w:t xml:space="preserve">(e) test. </w:t>
      </w:r>
    </w:p>
    <w:p w14:paraId="681FEAD7" w14:textId="14F838E4" w:rsidR="00EB4196" w:rsidRDefault="00EB4196" w:rsidP="00EB4196">
      <w:pPr>
        <w:pStyle w:val="SingleTxtG"/>
        <w:ind w:hanging="567"/>
        <w:jc w:val="center"/>
      </w:pPr>
      <w:r w:rsidRPr="008B602D">
        <w:rPr>
          <w:noProof/>
          <w:lang w:val="en-US"/>
        </w:rPr>
        <w:drawing>
          <wp:inline distT="0" distB="0" distL="0" distR="0" wp14:anchorId="11AB5208" wp14:editId="7476B028">
            <wp:extent cx="5486400" cy="412692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4126925"/>
                    </a:xfrm>
                    <a:prstGeom prst="rect">
                      <a:avLst/>
                    </a:prstGeom>
                    <a:noFill/>
                  </pic:spPr>
                </pic:pic>
              </a:graphicData>
            </a:graphic>
          </wp:inline>
        </w:drawing>
      </w:r>
    </w:p>
    <w:p w14:paraId="60CF70F7" w14:textId="112DAF5E" w:rsidR="00EB4196" w:rsidRPr="00EB4196" w:rsidRDefault="00EB4196" w:rsidP="00EB4196">
      <w:pPr>
        <w:pStyle w:val="SingleTxtG"/>
        <w:jc w:val="center"/>
        <w:rPr>
          <w:b/>
          <w:bCs/>
        </w:rPr>
      </w:pPr>
      <w:r w:rsidRPr="00EB4196">
        <w:rPr>
          <w:b/>
          <w:bCs/>
        </w:rPr>
        <w:t xml:space="preserve">Figure 1: Comparison of </w:t>
      </w:r>
      <w:proofErr w:type="spellStart"/>
      <w:r w:rsidRPr="00EB4196">
        <w:rPr>
          <w:b/>
          <w:bCs/>
        </w:rPr>
        <w:t>Koenen</w:t>
      </w:r>
      <w:proofErr w:type="spellEnd"/>
      <w:r w:rsidRPr="00EB4196">
        <w:rPr>
          <w:b/>
          <w:bCs/>
        </w:rPr>
        <w:t>, VPT, and MBP Tests for Ammonium Nitrate and Water-based Emulsion (ANWE) products with varying Water Content.  (MBP data after (1))</w:t>
      </w:r>
    </w:p>
    <w:p w14:paraId="563BB0B1" w14:textId="0F9692A7" w:rsidR="008B602D" w:rsidRPr="008B602D" w:rsidRDefault="00EE369A" w:rsidP="00EE369A">
      <w:pPr>
        <w:pStyle w:val="SingleTxtG"/>
      </w:pPr>
      <w:r>
        <w:tab/>
      </w:r>
      <w:r>
        <w:rPr>
          <w:lang w:val="fr-CH"/>
        </w:rPr>
        <w:t>7.</w:t>
      </w:r>
      <w:r>
        <w:tab/>
      </w:r>
      <w:r w:rsidR="008B602D" w:rsidRPr="008B602D">
        <w:t>A similar issue with lack of discrimination of water content has been identified in the Vented Pipe Test (8</w:t>
      </w:r>
      <w:r>
        <w:rPr>
          <w:lang w:val="fr-CH"/>
        </w:rPr>
        <w:t xml:space="preserve"> </w:t>
      </w:r>
      <w:r w:rsidR="008B602D" w:rsidRPr="008B602D">
        <w:t xml:space="preserve">(d)). Figure 1 </w:t>
      </w:r>
      <w:r w:rsidR="005456AF">
        <w:t>shows</w:t>
      </w:r>
      <w:r w:rsidR="005456AF" w:rsidRPr="008B602D">
        <w:t xml:space="preserve"> </w:t>
      </w:r>
      <w:r w:rsidR="008B602D" w:rsidRPr="008B602D">
        <w:t>results of 8</w:t>
      </w:r>
      <w:r>
        <w:rPr>
          <w:lang w:val="fr-CH"/>
        </w:rPr>
        <w:t xml:space="preserve"> </w:t>
      </w:r>
      <w:r w:rsidR="008B602D" w:rsidRPr="008B602D">
        <w:t>(d) test outcomes for ANEs as a function of their MBP for different water contents, and using a consistent fuel phase to that of</w:t>
      </w:r>
      <w:r w:rsidR="00AD41A0">
        <w:t xml:space="preserve"> a</w:t>
      </w:r>
      <w:r w:rsidR="00AD41A0" w:rsidRPr="00AD41A0">
        <w:t xml:space="preserve">mmonium </w:t>
      </w:r>
      <w:r w:rsidR="00AD41A0">
        <w:t>n</w:t>
      </w:r>
      <w:r w:rsidR="00AD41A0" w:rsidRPr="00AD41A0">
        <w:t xml:space="preserve">itrate and </w:t>
      </w:r>
      <w:r w:rsidR="00AD41A0">
        <w:t>w</w:t>
      </w:r>
      <w:r w:rsidR="00AD41A0" w:rsidRPr="00AD41A0">
        <w:t xml:space="preserve">ater-based </w:t>
      </w:r>
      <w:r w:rsidR="00AD41A0">
        <w:t>e</w:t>
      </w:r>
      <w:r w:rsidR="00AD41A0" w:rsidRPr="00AD41A0">
        <w:t>mulsions</w:t>
      </w:r>
      <w:r w:rsidR="008B602D" w:rsidRPr="008B602D">
        <w:t xml:space="preserve"> </w:t>
      </w:r>
      <w:r w:rsidR="00AD41A0">
        <w:t>(</w:t>
      </w:r>
      <w:r w:rsidR="008B602D" w:rsidRPr="008B602D">
        <w:t>ANWE</w:t>
      </w:r>
      <w:r w:rsidR="00AD41A0">
        <w:t>)</w:t>
      </w:r>
      <w:r w:rsidR="008B602D" w:rsidRPr="008B602D">
        <w:t xml:space="preserve"> Fuel 2.</w:t>
      </w:r>
    </w:p>
    <w:p w14:paraId="4AF6522A" w14:textId="20AD5163" w:rsidR="008B602D" w:rsidRDefault="00EE369A" w:rsidP="00EB4196">
      <w:pPr>
        <w:pStyle w:val="SingleTxtG"/>
        <w:spacing w:after="240"/>
      </w:pPr>
      <w:r>
        <w:tab/>
      </w:r>
      <w:r>
        <w:rPr>
          <w:lang w:val="fr-CH"/>
        </w:rPr>
        <w:t>8.</w:t>
      </w:r>
      <w:r>
        <w:tab/>
      </w:r>
      <w:r w:rsidR="008B602D" w:rsidRPr="008B602D">
        <w:t xml:space="preserve">Table 1 </w:t>
      </w:r>
      <w:r w:rsidR="00DA1C89" w:rsidRPr="008B602D">
        <w:t>summarizes</w:t>
      </w:r>
      <w:r w:rsidR="008B602D" w:rsidRPr="008B602D">
        <w:t xml:space="preserve"> Vented Pipe Tests outcomes for a wide range of ANEs, pure AN </w:t>
      </w:r>
      <w:proofErr w:type="spellStart"/>
      <w:r w:rsidR="00A72ABB">
        <w:t>p</w:t>
      </w:r>
      <w:r w:rsidR="008B602D" w:rsidRPr="008B602D">
        <w:t>rill</w:t>
      </w:r>
      <w:proofErr w:type="spellEnd"/>
      <w:r w:rsidR="008B602D" w:rsidRPr="008B602D">
        <w:t xml:space="preserve">, ANFO, and </w:t>
      </w:r>
      <w:r w:rsidR="00105589">
        <w:t>a</w:t>
      </w:r>
      <w:r w:rsidR="00DA1C89" w:rsidRPr="008B602D">
        <w:t>luminized</w:t>
      </w:r>
      <w:r w:rsidR="008B602D" w:rsidRPr="008B602D">
        <w:t xml:space="preserve"> ANFO. The ANFO and </w:t>
      </w:r>
      <w:r w:rsidR="00105589">
        <w:t>a</w:t>
      </w:r>
      <w:r w:rsidR="00DA1C89" w:rsidRPr="008B602D">
        <w:t>luminized</w:t>
      </w:r>
      <w:r w:rsidR="008B602D" w:rsidRPr="008B602D">
        <w:t xml:space="preserve"> ANFO results are referenced from work carried out by the US Bureau of Mines (Bajpayee, 1991) showing clearly that </w:t>
      </w:r>
      <w:proofErr w:type="spellStart"/>
      <w:r w:rsidR="008B602D" w:rsidRPr="008B602D">
        <w:t>Div</w:t>
      </w:r>
      <w:proofErr w:type="spellEnd"/>
      <w:r w:rsidR="008B602D" w:rsidRPr="008B602D">
        <w:t xml:space="preserve"> 1.5 products (ANFO with varying concentration</w:t>
      </w:r>
      <w:r w:rsidR="00A72ABB">
        <w:t>s</w:t>
      </w:r>
      <w:r w:rsidR="008B602D" w:rsidRPr="008B602D">
        <w:t xml:space="preserve"> of aluminum powder) gave negative results (i.e. passed) in the 8(d) test. This reinforces the issue of the 8(d) test failing to provide differentiated testing between ANEs of widely varying water contents.</w:t>
      </w:r>
    </w:p>
    <w:p w14:paraId="7B4B50BF" w14:textId="77777777" w:rsidR="00EB4196" w:rsidRPr="00EE369A" w:rsidRDefault="00EB4196" w:rsidP="00EB4196">
      <w:pPr>
        <w:spacing w:before="120" w:after="240"/>
        <w:jc w:val="center"/>
        <w:rPr>
          <w:rFonts w:eastAsia="Times"/>
          <w:b/>
          <w:iCs/>
          <w:lang w:val="en-AU" w:eastAsia="en-AU"/>
        </w:rPr>
      </w:pPr>
      <w:r w:rsidRPr="00EE369A">
        <w:rPr>
          <w:rFonts w:eastAsia="Times"/>
          <w:b/>
          <w:iCs/>
          <w:lang w:val="en-AU" w:eastAsia="en-AU"/>
        </w:rPr>
        <w:t>Table 1</w:t>
      </w:r>
      <w:r>
        <w:rPr>
          <w:rFonts w:eastAsia="Times"/>
          <w:b/>
          <w:iCs/>
          <w:lang w:val="en-AU" w:eastAsia="en-AU"/>
        </w:rPr>
        <w:t>:</w:t>
      </w:r>
      <w:r w:rsidRPr="00EE369A">
        <w:rPr>
          <w:rFonts w:eastAsia="Times"/>
          <w:b/>
          <w:iCs/>
          <w:lang w:val="en-AU" w:eastAsia="en-AU"/>
        </w:rPr>
        <w:t xml:space="preserve"> Vented Pipe Test outcomes</w:t>
      </w:r>
    </w:p>
    <w:tbl>
      <w:tblPr>
        <w:tblStyle w:val="TableGrid"/>
        <w:tblW w:w="0" w:type="auto"/>
        <w:jc w:val="center"/>
        <w:tblLook w:val="04A0" w:firstRow="1" w:lastRow="0" w:firstColumn="1" w:lastColumn="0" w:noHBand="0" w:noVBand="1"/>
      </w:tblPr>
      <w:tblGrid>
        <w:gridCol w:w="2547"/>
        <w:gridCol w:w="1417"/>
        <w:gridCol w:w="1843"/>
        <w:gridCol w:w="1559"/>
        <w:gridCol w:w="1418"/>
      </w:tblGrid>
      <w:tr w:rsidR="00EB4196" w:rsidRPr="008B602D" w14:paraId="75CB6E22" w14:textId="77777777" w:rsidTr="00830E75">
        <w:trPr>
          <w:jc w:val="center"/>
        </w:trPr>
        <w:tc>
          <w:tcPr>
            <w:tcW w:w="2547" w:type="dxa"/>
          </w:tcPr>
          <w:p w14:paraId="1365A39B" w14:textId="77777777" w:rsidR="00EB4196" w:rsidRPr="008B602D" w:rsidRDefault="00EB4196" w:rsidP="00830E75">
            <w:pPr>
              <w:jc w:val="center"/>
            </w:pPr>
            <w:r w:rsidRPr="008B602D">
              <w:t>Test Description</w:t>
            </w:r>
          </w:p>
        </w:tc>
        <w:tc>
          <w:tcPr>
            <w:tcW w:w="1417" w:type="dxa"/>
            <w:vAlign w:val="center"/>
          </w:tcPr>
          <w:p w14:paraId="3D421A4B" w14:textId="77777777" w:rsidR="00EB4196" w:rsidRPr="008B602D" w:rsidRDefault="00EB4196" w:rsidP="00830E75">
            <w:pPr>
              <w:jc w:val="center"/>
            </w:pPr>
            <w:r w:rsidRPr="008B602D">
              <w:t>Test Details</w:t>
            </w:r>
          </w:p>
        </w:tc>
        <w:tc>
          <w:tcPr>
            <w:tcW w:w="1843" w:type="dxa"/>
            <w:vAlign w:val="center"/>
          </w:tcPr>
          <w:p w14:paraId="2BF796CC" w14:textId="77777777" w:rsidR="00EB4196" w:rsidRPr="008B602D" w:rsidRDefault="00EB4196" w:rsidP="00830E75">
            <w:pPr>
              <w:jc w:val="center"/>
            </w:pPr>
            <w:r w:rsidRPr="008B602D">
              <w:t xml:space="preserve">Water Content in </w:t>
            </w:r>
            <w:r w:rsidRPr="004C416E">
              <w:t>ANWE</w:t>
            </w:r>
            <w:r>
              <w:t>*</w:t>
            </w:r>
            <w:r w:rsidRPr="008B602D">
              <w:t xml:space="preserve"> (%w/w)</w:t>
            </w:r>
          </w:p>
        </w:tc>
        <w:tc>
          <w:tcPr>
            <w:tcW w:w="1559" w:type="dxa"/>
            <w:vAlign w:val="center"/>
          </w:tcPr>
          <w:p w14:paraId="5460EAFF" w14:textId="77777777" w:rsidR="00EB4196" w:rsidRPr="008B602D" w:rsidRDefault="00EB4196" w:rsidP="00830E75">
            <w:pPr>
              <w:jc w:val="center"/>
            </w:pPr>
            <w:r w:rsidRPr="008B602D">
              <w:t>Calculated MBP</w:t>
            </w:r>
            <w:r w:rsidRPr="008B602D">
              <w:rPr>
                <w:vertAlign w:val="superscript"/>
              </w:rPr>
              <w:t>*</w:t>
            </w:r>
            <w:r>
              <w:rPr>
                <w:vertAlign w:val="superscript"/>
              </w:rPr>
              <w:t>*</w:t>
            </w:r>
            <w:r w:rsidRPr="008B602D">
              <w:t xml:space="preserve"> (MPa)</w:t>
            </w:r>
          </w:p>
        </w:tc>
        <w:tc>
          <w:tcPr>
            <w:tcW w:w="1418" w:type="dxa"/>
            <w:vAlign w:val="center"/>
          </w:tcPr>
          <w:p w14:paraId="25241F24" w14:textId="77777777" w:rsidR="00EB4196" w:rsidRPr="008B602D" w:rsidRDefault="00EB4196" w:rsidP="00830E75">
            <w:pPr>
              <w:jc w:val="center"/>
            </w:pPr>
            <w:r w:rsidRPr="008B602D">
              <w:t>Test Outcome</w:t>
            </w:r>
          </w:p>
        </w:tc>
      </w:tr>
      <w:tr w:rsidR="00EB4196" w:rsidRPr="008B602D" w14:paraId="69342E27" w14:textId="77777777" w:rsidTr="00830E75">
        <w:trPr>
          <w:jc w:val="center"/>
        </w:trPr>
        <w:tc>
          <w:tcPr>
            <w:tcW w:w="2547" w:type="dxa"/>
          </w:tcPr>
          <w:p w14:paraId="184D0830" w14:textId="77777777" w:rsidR="00EB4196" w:rsidRPr="008B602D" w:rsidRDefault="00EB4196" w:rsidP="00830E75">
            <w:r w:rsidRPr="004C416E">
              <w:t>ANWE</w:t>
            </w:r>
            <w:r w:rsidRPr="008B602D">
              <w:t xml:space="preserve"> with Fuel 2</w:t>
            </w:r>
          </w:p>
        </w:tc>
        <w:tc>
          <w:tcPr>
            <w:tcW w:w="1417" w:type="dxa"/>
            <w:vAlign w:val="center"/>
          </w:tcPr>
          <w:p w14:paraId="5E3FDA66" w14:textId="77777777" w:rsidR="00EB4196" w:rsidRPr="008B602D" w:rsidRDefault="00EB4196" w:rsidP="00830E75">
            <w:pPr>
              <w:jc w:val="center"/>
            </w:pPr>
            <w:r w:rsidRPr="008B602D">
              <w:t xml:space="preserve">Reference </w:t>
            </w:r>
            <w:r>
              <w:t>(</w:t>
            </w:r>
            <w:r w:rsidRPr="008B602D">
              <w:t>2</w:t>
            </w:r>
            <w:r>
              <w:t>)</w:t>
            </w:r>
          </w:p>
        </w:tc>
        <w:tc>
          <w:tcPr>
            <w:tcW w:w="1843" w:type="dxa"/>
          </w:tcPr>
          <w:p w14:paraId="52AA6766" w14:textId="77777777" w:rsidR="00EB4196" w:rsidRPr="008B602D" w:rsidRDefault="00EB4196" w:rsidP="00830E75">
            <w:pPr>
              <w:jc w:val="center"/>
            </w:pPr>
            <w:r w:rsidRPr="008B602D">
              <w:t>24.8</w:t>
            </w:r>
          </w:p>
        </w:tc>
        <w:tc>
          <w:tcPr>
            <w:tcW w:w="1559" w:type="dxa"/>
          </w:tcPr>
          <w:p w14:paraId="6E4DA6EB" w14:textId="77777777" w:rsidR="00EB4196" w:rsidRPr="008B602D" w:rsidRDefault="00EB4196" w:rsidP="00830E75">
            <w:pPr>
              <w:jc w:val="center"/>
            </w:pPr>
            <w:r w:rsidRPr="008B602D">
              <w:t>14.2</w:t>
            </w:r>
          </w:p>
        </w:tc>
        <w:tc>
          <w:tcPr>
            <w:tcW w:w="1418" w:type="dxa"/>
          </w:tcPr>
          <w:p w14:paraId="340970AB" w14:textId="77777777" w:rsidR="00EB4196" w:rsidRPr="008B602D" w:rsidRDefault="00EB4196" w:rsidP="00830E75">
            <w:pPr>
              <w:jc w:val="center"/>
            </w:pPr>
            <w:r w:rsidRPr="008B602D">
              <w:t>Negative</w:t>
            </w:r>
          </w:p>
        </w:tc>
      </w:tr>
      <w:tr w:rsidR="00EB4196" w:rsidRPr="008B602D" w14:paraId="155DE9CB" w14:textId="77777777" w:rsidTr="00830E75">
        <w:trPr>
          <w:jc w:val="center"/>
        </w:trPr>
        <w:tc>
          <w:tcPr>
            <w:tcW w:w="2547" w:type="dxa"/>
          </w:tcPr>
          <w:p w14:paraId="11DB8CCD" w14:textId="77777777" w:rsidR="00EB4196" w:rsidRPr="008B602D" w:rsidRDefault="00EB4196" w:rsidP="00830E75">
            <w:r w:rsidRPr="004C416E">
              <w:t>ANWE</w:t>
            </w:r>
            <w:r w:rsidRPr="008B602D">
              <w:t xml:space="preserve"> with Fuel 2</w:t>
            </w:r>
          </w:p>
        </w:tc>
        <w:tc>
          <w:tcPr>
            <w:tcW w:w="1417" w:type="dxa"/>
            <w:vAlign w:val="center"/>
          </w:tcPr>
          <w:p w14:paraId="2EB546E7" w14:textId="77777777" w:rsidR="00EB4196" w:rsidRPr="008B602D" w:rsidRDefault="00EB4196" w:rsidP="00830E75">
            <w:pPr>
              <w:jc w:val="center"/>
            </w:pPr>
            <w:r w:rsidRPr="008B602D">
              <w:t xml:space="preserve">Reference </w:t>
            </w:r>
            <w:r>
              <w:t>(</w:t>
            </w:r>
            <w:r w:rsidRPr="008B602D">
              <w:t>2</w:t>
            </w:r>
            <w:r>
              <w:t>)</w:t>
            </w:r>
          </w:p>
        </w:tc>
        <w:tc>
          <w:tcPr>
            <w:tcW w:w="1843" w:type="dxa"/>
          </w:tcPr>
          <w:p w14:paraId="7B6DC8C2" w14:textId="77777777" w:rsidR="00EB4196" w:rsidRPr="008B602D" w:rsidRDefault="00EB4196" w:rsidP="00830E75">
            <w:pPr>
              <w:jc w:val="center"/>
            </w:pPr>
            <w:r w:rsidRPr="008B602D">
              <w:t>18.5</w:t>
            </w:r>
          </w:p>
        </w:tc>
        <w:tc>
          <w:tcPr>
            <w:tcW w:w="1559" w:type="dxa"/>
          </w:tcPr>
          <w:p w14:paraId="3DBBA733" w14:textId="77777777" w:rsidR="00EB4196" w:rsidRPr="008B602D" w:rsidRDefault="00EB4196" w:rsidP="00830E75">
            <w:pPr>
              <w:jc w:val="center"/>
            </w:pPr>
            <w:r w:rsidRPr="008B602D">
              <w:t>9.5</w:t>
            </w:r>
          </w:p>
        </w:tc>
        <w:tc>
          <w:tcPr>
            <w:tcW w:w="1418" w:type="dxa"/>
          </w:tcPr>
          <w:p w14:paraId="630A1895" w14:textId="77777777" w:rsidR="00EB4196" w:rsidRPr="008B602D" w:rsidRDefault="00EB4196" w:rsidP="00830E75">
            <w:pPr>
              <w:jc w:val="center"/>
            </w:pPr>
            <w:r w:rsidRPr="008B602D">
              <w:t>Negative</w:t>
            </w:r>
          </w:p>
        </w:tc>
      </w:tr>
      <w:tr w:rsidR="00EB4196" w:rsidRPr="008B602D" w14:paraId="2BD80516" w14:textId="77777777" w:rsidTr="00830E75">
        <w:trPr>
          <w:jc w:val="center"/>
        </w:trPr>
        <w:tc>
          <w:tcPr>
            <w:tcW w:w="2547" w:type="dxa"/>
          </w:tcPr>
          <w:p w14:paraId="4EDEC62B" w14:textId="77777777" w:rsidR="00EB4196" w:rsidRPr="008B602D" w:rsidRDefault="00EB4196" w:rsidP="00830E75">
            <w:r w:rsidRPr="004C416E">
              <w:t>ANWE</w:t>
            </w:r>
            <w:r w:rsidRPr="008B602D">
              <w:t xml:space="preserve"> with Fuel 2</w:t>
            </w:r>
          </w:p>
        </w:tc>
        <w:tc>
          <w:tcPr>
            <w:tcW w:w="1417" w:type="dxa"/>
            <w:vAlign w:val="center"/>
          </w:tcPr>
          <w:p w14:paraId="53654D04" w14:textId="77777777" w:rsidR="00EB4196" w:rsidRPr="008B602D" w:rsidRDefault="00EB4196" w:rsidP="00830E75">
            <w:pPr>
              <w:jc w:val="center"/>
            </w:pPr>
            <w:r w:rsidRPr="008B602D">
              <w:t xml:space="preserve">Reference </w:t>
            </w:r>
            <w:r>
              <w:t>(</w:t>
            </w:r>
            <w:r w:rsidRPr="008B602D">
              <w:t>3</w:t>
            </w:r>
            <w:r>
              <w:t>)</w:t>
            </w:r>
          </w:p>
        </w:tc>
        <w:tc>
          <w:tcPr>
            <w:tcW w:w="1843" w:type="dxa"/>
          </w:tcPr>
          <w:p w14:paraId="704873C8" w14:textId="77777777" w:rsidR="00EB4196" w:rsidRPr="008B602D" w:rsidRDefault="00EB4196" w:rsidP="00830E75">
            <w:pPr>
              <w:jc w:val="center"/>
            </w:pPr>
            <w:r w:rsidRPr="008B602D">
              <w:t>17</w:t>
            </w:r>
          </w:p>
        </w:tc>
        <w:tc>
          <w:tcPr>
            <w:tcW w:w="1559" w:type="dxa"/>
          </w:tcPr>
          <w:p w14:paraId="268EBDFD" w14:textId="77777777" w:rsidR="00EB4196" w:rsidRPr="008B602D" w:rsidRDefault="00EB4196" w:rsidP="00830E75">
            <w:pPr>
              <w:jc w:val="center"/>
            </w:pPr>
            <w:r w:rsidRPr="008B602D">
              <w:t>8.4</w:t>
            </w:r>
          </w:p>
        </w:tc>
        <w:tc>
          <w:tcPr>
            <w:tcW w:w="1418" w:type="dxa"/>
          </w:tcPr>
          <w:p w14:paraId="4D1B4FFA" w14:textId="77777777" w:rsidR="00EB4196" w:rsidRPr="008B602D" w:rsidRDefault="00EB4196" w:rsidP="00830E75">
            <w:pPr>
              <w:jc w:val="center"/>
            </w:pPr>
            <w:r w:rsidRPr="008B602D">
              <w:t>Negative</w:t>
            </w:r>
          </w:p>
        </w:tc>
      </w:tr>
      <w:tr w:rsidR="00EB4196" w:rsidRPr="008B602D" w14:paraId="1A8260BA" w14:textId="77777777" w:rsidTr="00830E75">
        <w:trPr>
          <w:jc w:val="center"/>
        </w:trPr>
        <w:tc>
          <w:tcPr>
            <w:tcW w:w="2547" w:type="dxa"/>
          </w:tcPr>
          <w:p w14:paraId="1947D99D" w14:textId="77777777" w:rsidR="00EB4196" w:rsidRPr="008B602D" w:rsidRDefault="00EB4196" w:rsidP="00830E75">
            <w:r w:rsidRPr="004C416E">
              <w:t>ANWE</w:t>
            </w:r>
            <w:r w:rsidRPr="008B602D">
              <w:t xml:space="preserve"> with Fuel 2</w:t>
            </w:r>
          </w:p>
        </w:tc>
        <w:tc>
          <w:tcPr>
            <w:tcW w:w="1417" w:type="dxa"/>
            <w:vAlign w:val="center"/>
          </w:tcPr>
          <w:p w14:paraId="74740D7C" w14:textId="77777777" w:rsidR="00EB4196" w:rsidRPr="008B602D" w:rsidRDefault="00EB4196" w:rsidP="00830E75">
            <w:pPr>
              <w:jc w:val="center"/>
            </w:pPr>
            <w:r w:rsidRPr="008B602D">
              <w:t xml:space="preserve">Reference </w:t>
            </w:r>
            <w:r>
              <w:t>(</w:t>
            </w:r>
            <w:r w:rsidRPr="008B602D">
              <w:t>2</w:t>
            </w:r>
            <w:r>
              <w:t>)</w:t>
            </w:r>
          </w:p>
        </w:tc>
        <w:tc>
          <w:tcPr>
            <w:tcW w:w="1843" w:type="dxa"/>
          </w:tcPr>
          <w:p w14:paraId="233649C1" w14:textId="77777777" w:rsidR="00EB4196" w:rsidRPr="008B602D" w:rsidRDefault="00EB4196" w:rsidP="00830E75">
            <w:pPr>
              <w:jc w:val="center"/>
            </w:pPr>
            <w:r w:rsidRPr="008B602D">
              <w:t>15.8</w:t>
            </w:r>
          </w:p>
        </w:tc>
        <w:tc>
          <w:tcPr>
            <w:tcW w:w="1559" w:type="dxa"/>
          </w:tcPr>
          <w:p w14:paraId="74B846C1" w14:textId="77777777" w:rsidR="00EB4196" w:rsidRPr="008B602D" w:rsidRDefault="00EB4196" w:rsidP="00830E75">
            <w:pPr>
              <w:jc w:val="center"/>
            </w:pPr>
            <w:r w:rsidRPr="008B602D">
              <w:t>7.5</w:t>
            </w:r>
          </w:p>
        </w:tc>
        <w:tc>
          <w:tcPr>
            <w:tcW w:w="1418" w:type="dxa"/>
          </w:tcPr>
          <w:p w14:paraId="5C7F4B8E" w14:textId="77777777" w:rsidR="00EB4196" w:rsidRPr="008B602D" w:rsidRDefault="00EB4196" w:rsidP="00830E75">
            <w:pPr>
              <w:jc w:val="center"/>
            </w:pPr>
            <w:r w:rsidRPr="008B602D">
              <w:t>Negative</w:t>
            </w:r>
          </w:p>
        </w:tc>
      </w:tr>
      <w:tr w:rsidR="00EB4196" w:rsidRPr="008B602D" w14:paraId="11DB0383" w14:textId="77777777" w:rsidTr="00830E75">
        <w:trPr>
          <w:jc w:val="center"/>
        </w:trPr>
        <w:tc>
          <w:tcPr>
            <w:tcW w:w="2547" w:type="dxa"/>
          </w:tcPr>
          <w:p w14:paraId="16C586C1" w14:textId="77777777" w:rsidR="00EB4196" w:rsidRPr="008B602D" w:rsidRDefault="00EB4196" w:rsidP="00830E75">
            <w:r w:rsidRPr="004C416E">
              <w:t>ANWE</w:t>
            </w:r>
            <w:r w:rsidRPr="008B602D">
              <w:t xml:space="preserve"> with Fuel 2</w:t>
            </w:r>
          </w:p>
        </w:tc>
        <w:tc>
          <w:tcPr>
            <w:tcW w:w="1417" w:type="dxa"/>
            <w:vAlign w:val="center"/>
          </w:tcPr>
          <w:p w14:paraId="32CF6305" w14:textId="77777777" w:rsidR="00EB4196" w:rsidRPr="008B602D" w:rsidRDefault="00EB4196" w:rsidP="00830E75">
            <w:pPr>
              <w:jc w:val="center"/>
            </w:pPr>
            <w:r w:rsidRPr="008B602D">
              <w:t xml:space="preserve">Reference </w:t>
            </w:r>
            <w:r>
              <w:t>(</w:t>
            </w:r>
            <w:r w:rsidRPr="008B602D">
              <w:t>3</w:t>
            </w:r>
            <w:r>
              <w:t>)</w:t>
            </w:r>
          </w:p>
        </w:tc>
        <w:tc>
          <w:tcPr>
            <w:tcW w:w="1843" w:type="dxa"/>
          </w:tcPr>
          <w:p w14:paraId="5916868A" w14:textId="77777777" w:rsidR="00EB4196" w:rsidRPr="008B602D" w:rsidRDefault="00EB4196" w:rsidP="00830E75">
            <w:pPr>
              <w:jc w:val="center"/>
            </w:pPr>
            <w:r w:rsidRPr="008B602D">
              <w:t>13</w:t>
            </w:r>
          </w:p>
        </w:tc>
        <w:tc>
          <w:tcPr>
            <w:tcW w:w="1559" w:type="dxa"/>
          </w:tcPr>
          <w:p w14:paraId="50344029" w14:textId="77777777" w:rsidR="00EB4196" w:rsidRPr="008B602D" w:rsidRDefault="00EB4196" w:rsidP="00830E75">
            <w:pPr>
              <w:jc w:val="center"/>
            </w:pPr>
            <w:r w:rsidRPr="008B602D">
              <w:t>5.4</w:t>
            </w:r>
          </w:p>
        </w:tc>
        <w:tc>
          <w:tcPr>
            <w:tcW w:w="1418" w:type="dxa"/>
          </w:tcPr>
          <w:p w14:paraId="7F8E5189" w14:textId="77777777" w:rsidR="00EB4196" w:rsidRPr="008B602D" w:rsidRDefault="00EB4196" w:rsidP="00830E75">
            <w:pPr>
              <w:jc w:val="center"/>
            </w:pPr>
            <w:r w:rsidRPr="008B602D">
              <w:t>Negative</w:t>
            </w:r>
          </w:p>
        </w:tc>
      </w:tr>
      <w:tr w:rsidR="00EB4196" w:rsidRPr="008B602D" w14:paraId="10BC2570" w14:textId="77777777" w:rsidTr="00830E75">
        <w:trPr>
          <w:jc w:val="center"/>
        </w:trPr>
        <w:tc>
          <w:tcPr>
            <w:tcW w:w="2547" w:type="dxa"/>
          </w:tcPr>
          <w:p w14:paraId="1A226D1E" w14:textId="77777777" w:rsidR="00EB4196" w:rsidRPr="008B602D" w:rsidRDefault="00EB4196" w:rsidP="00830E75">
            <w:r w:rsidRPr="008B602D">
              <w:t xml:space="preserve">AN </w:t>
            </w:r>
            <w:proofErr w:type="spellStart"/>
            <w:r w:rsidRPr="008B602D">
              <w:t>Prill</w:t>
            </w:r>
            <w:proofErr w:type="spellEnd"/>
            <w:r w:rsidRPr="008B602D">
              <w:t xml:space="preserve"> 100%w/w</w:t>
            </w:r>
          </w:p>
        </w:tc>
        <w:tc>
          <w:tcPr>
            <w:tcW w:w="1417" w:type="dxa"/>
            <w:vAlign w:val="center"/>
          </w:tcPr>
          <w:p w14:paraId="35C0D80A" w14:textId="77777777" w:rsidR="00EB4196" w:rsidRPr="008B602D" w:rsidRDefault="00EB4196" w:rsidP="00830E75">
            <w:pPr>
              <w:jc w:val="center"/>
            </w:pPr>
            <w:r w:rsidRPr="008B602D">
              <w:t xml:space="preserve">Reference </w:t>
            </w:r>
            <w:r>
              <w:t>(</w:t>
            </w:r>
            <w:r w:rsidRPr="008B602D">
              <w:t>2</w:t>
            </w:r>
            <w:r>
              <w:t>)</w:t>
            </w:r>
          </w:p>
        </w:tc>
        <w:tc>
          <w:tcPr>
            <w:tcW w:w="1843" w:type="dxa"/>
          </w:tcPr>
          <w:p w14:paraId="422CBDB1" w14:textId="77777777" w:rsidR="00EB4196" w:rsidRPr="008B602D" w:rsidRDefault="00EB4196" w:rsidP="00830E75">
            <w:pPr>
              <w:jc w:val="center"/>
            </w:pPr>
            <w:r w:rsidRPr="008B602D">
              <w:t>0</w:t>
            </w:r>
          </w:p>
        </w:tc>
        <w:tc>
          <w:tcPr>
            <w:tcW w:w="1559" w:type="dxa"/>
          </w:tcPr>
          <w:p w14:paraId="497602C5" w14:textId="77777777" w:rsidR="00EB4196" w:rsidRPr="008B602D" w:rsidRDefault="00EB4196" w:rsidP="00830E75">
            <w:pPr>
              <w:jc w:val="center"/>
              <w:rPr>
                <w:vertAlign w:val="superscript"/>
              </w:rPr>
            </w:pPr>
            <w:r w:rsidRPr="008B602D">
              <w:t>Not applicable</w:t>
            </w:r>
            <w:r w:rsidRPr="008B602D">
              <w:rPr>
                <w:vertAlign w:val="superscript"/>
              </w:rPr>
              <w:t>**</w:t>
            </w:r>
            <w:r>
              <w:rPr>
                <w:vertAlign w:val="superscript"/>
              </w:rPr>
              <w:t>*</w:t>
            </w:r>
          </w:p>
        </w:tc>
        <w:tc>
          <w:tcPr>
            <w:tcW w:w="1418" w:type="dxa"/>
          </w:tcPr>
          <w:p w14:paraId="4F5526BE" w14:textId="77777777" w:rsidR="00EB4196" w:rsidRPr="008B602D" w:rsidRDefault="00EB4196" w:rsidP="00830E75">
            <w:pPr>
              <w:jc w:val="center"/>
            </w:pPr>
            <w:r w:rsidRPr="008B602D">
              <w:t>Negative</w:t>
            </w:r>
          </w:p>
        </w:tc>
      </w:tr>
      <w:tr w:rsidR="00EB4196" w:rsidRPr="008B602D" w14:paraId="010B970D" w14:textId="77777777" w:rsidTr="00830E75">
        <w:tblPrEx>
          <w:jc w:val="left"/>
        </w:tblPrEx>
        <w:tc>
          <w:tcPr>
            <w:tcW w:w="2547" w:type="dxa"/>
          </w:tcPr>
          <w:p w14:paraId="1CF4E812" w14:textId="77777777" w:rsidR="00EB4196" w:rsidRPr="008B602D" w:rsidRDefault="00EB4196" w:rsidP="00830E75">
            <w:r w:rsidRPr="008B602D">
              <w:t>ANFO</w:t>
            </w:r>
          </w:p>
          <w:p w14:paraId="7A77BEB8" w14:textId="77777777" w:rsidR="00EB4196" w:rsidRPr="008B602D" w:rsidRDefault="00EB4196" w:rsidP="00830E75">
            <w:r w:rsidRPr="008B602D">
              <w:t xml:space="preserve">(94% </w:t>
            </w:r>
            <w:proofErr w:type="spellStart"/>
            <w:r w:rsidRPr="008B602D">
              <w:t>Prill</w:t>
            </w:r>
            <w:proofErr w:type="spellEnd"/>
            <w:r w:rsidRPr="008B602D">
              <w:t>, 6% Fuel Oil)</w:t>
            </w:r>
          </w:p>
        </w:tc>
        <w:tc>
          <w:tcPr>
            <w:tcW w:w="1417" w:type="dxa"/>
            <w:vAlign w:val="center"/>
          </w:tcPr>
          <w:p w14:paraId="5EDCA449" w14:textId="77777777" w:rsidR="00EB4196" w:rsidRPr="008B602D" w:rsidRDefault="00EB4196" w:rsidP="00830E75">
            <w:pPr>
              <w:jc w:val="center"/>
            </w:pPr>
            <w:r w:rsidRPr="008B602D">
              <w:t xml:space="preserve">Reference </w:t>
            </w:r>
            <w:r>
              <w:t>(</w:t>
            </w:r>
            <w:r w:rsidRPr="008B602D">
              <w:t>4</w:t>
            </w:r>
            <w:r>
              <w:t>)</w:t>
            </w:r>
          </w:p>
        </w:tc>
        <w:tc>
          <w:tcPr>
            <w:tcW w:w="1843" w:type="dxa"/>
          </w:tcPr>
          <w:p w14:paraId="51975FB5" w14:textId="77777777" w:rsidR="00EB4196" w:rsidRPr="008B602D" w:rsidRDefault="00EB4196" w:rsidP="00830E75">
            <w:pPr>
              <w:jc w:val="center"/>
            </w:pPr>
            <w:r w:rsidRPr="008B602D">
              <w:t>0</w:t>
            </w:r>
          </w:p>
        </w:tc>
        <w:tc>
          <w:tcPr>
            <w:tcW w:w="1559" w:type="dxa"/>
          </w:tcPr>
          <w:p w14:paraId="373F7EC4" w14:textId="77777777" w:rsidR="00EB4196" w:rsidRPr="008B602D" w:rsidRDefault="00EB4196" w:rsidP="00830E75">
            <w:pPr>
              <w:jc w:val="center"/>
            </w:pPr>
            <w:r w:rsidRPr="008B602D">
              <w:t>Not applicable</w:t>
            </w:r>
            <w:r w:rsidRPr="008B602D">
              <w:rPr>
                <w:vertAlign w:val="superscript"/>
              </w:rPr>
              <w:t>**</w:t>
            </w:r>
            <w:r>
              <w:rPr>
                <w:vertAlign w:val="superscript"/>
              </w:rPr>
              <w:t>*</w:t>
            </w:r>
          </w:p>
        </w:tc>
        <w:tc>
          <w:tcPr>
            <w:tcW w:w="1418" w:type="dxa"/>
          </w:tcPr>
          <w:p w14:paraId="19EF0125" w14:textId="77777777" w:rsidR="00EB4196" w:rsidRPr="008B602D" w:rsidRDefault="00EB4196" w:rsidP="00830E75">
            <w:pPr>
              <w:jc w:val="center"/>
            </w:pPr>
            <w:r w:rsidRPr="008B602D">
              <w:t>Negative</w:t>
            </w:r>
          </w:p>
        </w:tc>
      </w:tr>
      <w:tr w:rsidR="00EB4196" w:rsidRPr="008B602D" w14:paraId="07FC07A2" w14:textId="77777777" w:rsidTr="00830E75">
        <w:tblPrEx>
          <w:jc w:val="left"/>
        </w:tblPrEx>
        <w:tc>
          <w:tcPr>
            <w:tcW w:w="2547" w:type="dxa"/>
          </w:tcPr>
          <w:p w14:paraId="34AE8073" w14:textId="77777777" w:rsidR="00EB4196" w:rsidRPr="008B602D" w:rsidRDefault="00EB4196" w:rsidP="00830E75">
            <w:r w:rsidRPr="008B602D">
              <w:t xml:space="preserve">Aluminised ANFO </w:t>
            </w:r>
          </w:p>
          <w:p w14:paraId="2582947F" w14:textId="77777777" w:rsidR="00EB4196" w:rsidRPr="008B602D" w:rsidRDefault="00EB4196" w:rsidP="00830E75">
            <w:r w:rsidRPr="008B602D">
              <w:t>98% ANFO, 2% Al</w:t>
            </w:r>
          </w:p>
        </w:tc>
        <w:tc>
          <w:tcPr>
            <w:tcW w:w="1417" w:type="dxa"/>
            <w:vAlign w:val="center"/>
          </w:tcPr>
          <w:p w14:paraId="1D878D84" w14:textId="77777777" w:rsidR="00EB4196" w:rsidRPr="008B602D" w:rsidRDefault="00EB4196" w:rsidP="00830E75">
            <w:pPr>
              <w:jc w:val="center"/>
            </w:pPr>
            <w:r w:rsidRPr="008B602D">
              <w:t xml:space="preserve">Reference </w:t>
            </w:r>
            <w:r>
              <w:t>(</w:t>
            </w:r>
            <w:r w:rsidRPr="008B602D">
              <w:t>4</w:t>
            </w:r>
            <w:r>
              <w:t>)</w:t>
            </w:r>
          </w:p>
        </w:tc>
        <w:tc>
          <w:tcPr>
            <w:tcW w:w="1843" w:type="dxa"/>
          </w:tcPr>
          <w:p w14:paraId="744CB3B7" w14:textId="77777777" w:rsidR="00EB4196" w:rsidRPr="008B602D" w:rsidRDefault="00EB4196" w:rsidP="00830E75">
            <w:pPr>
              <w:jc w:val="center"/>
            </w:pPr>
            <w:r w:rsidRPr="008B602D">
              <w:t>0</w:t>
            </w:r>
          </w:p>
        </w:tc>
        <w:tc>
          <w:tcPr>
            <w:tcW w:w="1559" w:type="dxa"/>
          </w:tcPr>
          <w:p w14:paraId="3D9762DD" w14:textId="77777777" w:rsidR="00EB4196" w:rsidRPr="008B602D" w:rsidRDefault="00EB4196" w:rsidP="00830E75">
            <w:pPr>
              <w:jc w:val="center"/>
            </w:pPr>
            <w:r w:rsidRPr="008B602D">
              <w:t>Not applicable</w:t>
            </w:r>
            <w:r w:rsidRPr="008B602D">
              <w:rPr>
                <w:vertAlign w:val="superscript"/>
              </w:rPr>
              <w:t>**</w:t>
            </w:r>
            <w:r>
              <w:rPr>
                <w:vertAlign w:val="superscript"/>
              </w:rPr>
              <w:t>*</w:t>
            </w:r>
          </w:p>
        </w:tc>
        <w:tc>
          <w:tcPr>
            <w:tcW w:w="1418" w:type="dxa"/>
          </w:tcPr>
          <w:p w14:paraId="73B87F64" w14:textId="77777777" w:rsidR="00EB4196" w:rsidRPr="008B602D" w:rsidRDefault="00EB4196" w:rsidP="00830E75">
            <w:pPr>
              <w:jc w:val="center"/>
            </w:pPr>
            <w:r w:rsidRPr="008B602D">
              <w:t>Negative</w:t>
            </w:r>
          </w:p>
        </w:tc>
      </w:tr>
      <w:tr w:rsidR="00EB4196" w:rsidRPr="008B602D" w14:paraId="11423D87" w14:textId="77777777" w:rsidTr="00830E75">
        <w:tblPrEx>
          <w:jc w:val="left"/>
        </w:tblPrEx>
        <w:tc>
          <w:tcPr>
            <w:tcW w:w="2547" w:type="dxa"/>
          </w:tcPr>
          <w:p w14:paraId="6ABD7F55" w14:textId="77777777" w:rsidR="00EB4196" w:rsidRPr="008B602D" w:rsidRDefault="00EB4196" w:rsidP="00830E75">
            <w:r w:rsidRPr="008B602D">
              <w:t xml:space="preserve">Aluminised ANFO </w:t>
            </w:r>
          </w:p>
          <w:p w14:paraId="02CAC38A" w14:textId="77777777" w:rsidR="00EB4196" w:rsidRPr="008B602D" w:rsidRDefault="00EB4196" w:rsidP="00830E75">
            <w:r w:rsidRPr="008B602D">
              <w:t>96% ANFO, 4% Al</w:t>
            </w:r>
          </w:p>
        </w:tc>
        <w:tc>
          <w:tcPr>
            <w:tcW w:w="1417" w:type="dxa"/>
            <w:vAlign w:val="center"/>
          </w:tcPr>
          <w:p w14:paraId="37BC2893" w14:textId="77777777" w:rsidR="00EB4196" w:rsidRPr="008B602D" w:rsidRDefault="00EB4196" w:rsidP="00830E75">
            <w:pPr>
              <w:jc w:val="center"/>
            </w:pPr>
            <w:r w:rsidRPr="008B602D">
              <w:t xml:space="preserve">Reference </w:t>
            </w:r>
            <w:r>
              <w:t>(</w:t>
            </w:r>
            <w:r w:rsidRPr="008B602D">
              <w:t>4</w:t>
            </w:r>
            <w:r>
              <w:t>)</w:t>
            </w:r>
          </w:p>
        </w:tc>
        <w:tc>
          <w:tcPr>
            <w:tcW w:w="1843" w:type="dxa"/>
          </w:tcPr>
          <w:p w14:paraId="486D6606" w14:textId="77777777" w:rsidR="00EB4196" w:rsidRPr="008B602D" w:rsidRDefault="00EB4196" w:rsidP="00830E75">
            <w:pPr>
              <w:jc w:val="center"/>
            </w:pPr>
            <w:r w:rsidRPr="008B602D">
              <w:t>0</w:t>
            </w:r>
          </w:p>
        </w:tc>
        <w:tc>
          <w:tcPr>
            <w:tcW w:w="1559" w:type="dxa"/>
          </w:tcPr>
          <w:p w14:paraId="27EFBDC3" w14:textId="77777777" w:rsidR="00EB4196" w:rsidRPr="008B602D" w:rsidRDefault="00EB4196" w:rsidP="00830E75">
            <w:pPr>
              <w:jc w:val="center"/>
            </w:pPr>
            <w:r w:rsidRPr="008B602D">
              <w:t>Not applicable</w:t>
            </w:r>
            <w:r w:rsidRPr="008B602D">
              <w:rPr>
                <w:vertAlign w:val="superscript"/>
              </w:rPr>
              <w:t>**</w:t>
            </w:r>
            <w:r>
              <w:rPr>
                <w:vertAlign w:val="superscript"/>
              </w:rPr>
              <w:t>*</w:t>
            </w:r>
          </w:p>
        </w:tc>
        <w:tc>
          <w:tcPr>
            <w:tcW w:w="1418" w:type="dxa"/>
          </w:tcPr>
          <w:p w14:paraId="334FA38E" w14:textId="77777777" w:rsidR="00EB4196" w:rsidRPr="008B602D" w:rsidRDefault="00EB4196" w:rsidP="00830E75">
            <w:pPr>
              <w:jc w:val="center"/>
            </w:pPr>
            <w:r w:rsidRPr="008B602D">
              <w:t>Negative</w:t>
            </w:r>
          </w:p>
        </w:tc>
      </w:tr>
      <w:tr w:rsidR="00EB4196" w:rsidRPr="008B602D" w14:paraId="262F91F4" w14:textId="77777777" w:rsidTr="00830E75">
        <w:tblPrEx>
          <w:jc w:val="left"/>
        </w:tblPrEx>
        <w:tc>
          <w:tcPr>
            <w:tcW w:w="2547" w:type="dxa"/>
          </w:tcPr>
          <w:p w14:paraId="353F2DB3" w14:textId="77777777" w:rsidR="00EB4196" w:rsidRPr="008B602D" w:rsidRDefault="00EB4196" w:rsidP="00830E75">
            <w:r w:rsidRPr="008B602D">
              <w:t xml:space="preserve">Aluminised ANFO </w:t>
            </w:r>
          </w:p>
          <w:p w14:paraId="53C8F4B5" w14:textId="77777777" w:rsidR="00EB4196" w:rsidRPr="008B602D" w:rsidRDefault="00EB4196" w:rsidP="00830E75">
            <w:r w:rsidRPr="008B602D">
              <w:t>94% ANFO, 6% Al</w:t>
            </w:r>
          </w:p>
        </w:tc>
        <w:tc>
          <w:tcPr>
            <w:tcW w:w="1417" w:type="dxa"/>
            <w:vAlign w:val="center"/>
          </w:tcPr>
          <w:p w14:paraId="5F60A4EF" w14:textId="77777777" w:rsidR="00EB4196" w:rsidRPr="008B602D" w:rsidRDefault="00EB4196" w:rsidP="00830E75">
            <w:pPr>
              <w:jc w:val="center"/>
            </w:pPr>
            <w:r w:rsidRPr="008B602D">
              <w:t xml:space="preserve">Reference </w:t>
            </w:r>
            <w:r>
              <w:t>(</w:t>
            </w:r>
            <w:r w:rsidRPr="008B602D">
              <w:t>3</w:t>
            </w:r>
            <w:r>
              <w:t>)</w:t>
            </w:r>
          </w:p>
        </w:tc>
        <w:tc>
          <w:tcPr>
            <w:tcW w:w="1843" w:type="dxa"/>
          </w:tcPr>
          <w:p w14:paraId="19A45538" w14:textId="77777777" w:rsidR="00EB4196" w:rsidRPr="008B602D" w:rsidRDefault="00EB4196" w:rsidP="00830E75">
            <w:pPr>
              <w:jc w:val="center"/>
            </w:pPr>
            <w:r w:rsidRPr="008B602D">
              <w:t>0</w:t>
            </w:r>
          </w:p>
        </w:tc>
        <w:tc>
          <w:tcPr>
            <w:tcW w:w="1559" w:type="dxa"/>
          </w:tcPr>
          <w:p w14:paraId="50660A80" w14:textId="77777777" w:rsidR="00EB4196" w:rsidRPr="008B602D" w:rsidRDefault="00EB4196" w:rsidP="00830E75">
            <w:pPr>
              <w:jc w:val="center"/>
            </w:pPr>
            <w:r w:rsidRPr="008B602D">
              <w:t>Not applicable</w:t>
            </w:r>
            <w:r w:rsidRPr="008B602D">
              <w:rPr>
                <w:vertAlign w:val="superscript"/>
              </w:rPr>
              <w:t>**</w:t>
            </w:r>
            <w:r>
              <w:rPr>
                <w:vertAlign w:val="superscript"/>
              </w:rPr>
              <w:t>*</w:t>
            </w:r>
          </w:p>
        </w:tc>
        <w:tc>
          <w:tcPr>
            <w:tcW w:w="1418" w:type="dxa"/>
          </w:tcPr>
          <w:p w14:paraId="75ADC370" w14:textId="77777777" w:rsidR="00EB4196" w:rsidRPr="008B602D" w:rsidRDefault="00EB4196" w:rsidP="00830E75">
            <w:pPr>
              <w:jc w:val="center"/>
            </w:pPr>
            <w:r w:rsidRPr="008B602D">
              <w:t>Negative</w:t>
            </w:r>
          </w:p>
        </w:tc>
      </w:tr>
    </w:tbl>
    <w:p w14:paraId="09FF17A2" w14:textId="77777777" w:rsidR="00EB4196" w:rsidRPr="00EE369A" w:rsidRDefault="00EB4196" w:rsidP="00EB4196">
      <w:pPr>
        <w:pStyle w:val="SingleTxtG"/>
        <w:spacing w:before="240"/>
        <w:rPr>
          <w:i/>
          <w:iCs/>
        </w:rPr>
      </w:pPr>
      <w:r w:rsidRPr="00EE369A">
        <w:rPr>
          <w:i/>
          <w:iCs/>
        </w:rPr>
        <w:t>Notes:</w:t>
      </w:r>
    </w:p>
    <w:p w14:paraId="1A3A5B19" w14:textId="77777777" w:rsidR="00EB4196" w:rsidRPr="004C416E" w:rsidRDefault="00EB4196" w:rsidP="00EB4196">
      <w:pPr>
        <w:pStyle w:val="SingleTxtG"/>
      </w:pPr>
      <w:r w:rsidRPr="004C416E">
        <w:t xml:space="preserve">* Ammonium </w:t>
      </w:r>
      <w:r>
        <w:t>n</w:t>
      </w:r>
      <w:r w:rsidRPr="004C416E">
        <w:t xml:space="preserve">itrate and </w:t>
      </w:r>
      <w:r>
        <w:t>w</w:t>
      </w:r>
      <w:r w:rsidRPr="004C416E">
        <w:t xml:space="preserve">ater-based </w:t>
      </w:r>
      <w:r>
        <w:t>e</w:t>
      </w:r>
      <w:r w:rsidRPr="004C416E">
        <w:t>mulsions</w:t>
      </w:r>
    </w:p>
    <w:p w14:paraId="4BC59F3B" w14:textId="77777777" w:rsidR="00EB4196" w:rsidRPr="008B602D" w:rsidRDefault="00EB4196" w:rsidP="00EB4196">
      <w:pPr>
        <w:pStyle w:val="SingleTxtG"/>
      </w:pPr>
      <w:r w:rsidRPr="008B602D">
        <w:t>*</w:t>
      </w:r>
      <w:r>
        <w:t>*</w:t>
      </w:r>
      <w:r w:rsidRPr="008B602D">
        <w:t xml:space="preserve"> As described by </w:t>
      </w:r>
      <w:r>
        <w:t xml:space="preserve">Reference </w:t>
      </w:r>
      <w:r w:rsidRPr="008B602D">
        <w:t>(1)</w:t>
      </w:r>
    </w:p>
    <w:p w14:paraId="777A6968" w14:textId="77777777" w:rsidR="00EB4196" w:rsidRPr="008B602D" w:rsidRDefault="00EB4196" w:rsidP="00EB4196">
      <w:pPr>
        <w:pStyle w:val="SingleTxtG"/>
      </w:pPr>
      <w:r w:rsidRPr="008B602D">
        <w:t>**</w:t>
      </w:r>
      <w:r>
        <w:t>*</w:t>
      </w:r>
      <w:r w:rsidRPr="008B602D">
        <w:t xml:space="preserve"> Note: Minimum Burning Pressure measurement of discrete solids, such as AN </w:t>
      </w:r>
      <w:proofErr w:type="spellStart"/>
      <w:r w:rsidRPr="008B602D">
        <w:t>prills</w:t>
      </w:r>
      <w:proofErr w:type="spellEnd"/>
      <w:r w:rsidRPr="008B602D">
        <w:t xml:space="preserve"> and ANFO are not physically applicable. </w:t>
      </w:r>
    </w:p>
    <w:p w14:paraId="2E2AA5DB" w14:textId="77777777" w:rsidR="00EB4196" w:rsidRPr="008B602D" w:rsidRDefault="00EB4196" w:rsidP="00EB4196">
      <w:pPr>
        <w:pStyle w:val="SingleTxtG"/>
      </w:pPr>
      <w:r w:rsidRPr="008B602D">
        <w:t>REFERENCES</w:t>
      </w:r>
    </w:p>
    <w:p w14:paraId="35298BC4" w14:textId="10687A3E" w:rsidR="00EB4196" w:rsidRPr="008B602D" w:rsidRDefault="00EB4196" w:rsidP="00EB4196">
      <w:pPr>
        <w:pStyle w:val="SingleTxtG"/>
        <w:ind w:left="1701" w:hanging="141"/>
      </w:pPr>
      <w:r>
        <w:rPr>
          <w:rFonts w:cstheme="minorHAnsi"/>
        </w:rPr>
        <w:tab/>
      </w:r>
      <w:r>
        <w:rPr>
          <w:rFonts w:cstheme="minorHAnsi"/>
          <w:lang w:val="fr-CH"/>
        </w:rPr>
        <w:t>(1)</w:t>
      </w:r>
      <w:r>
        <w:rPr>
          <w:rFonts w:cstheme="minorHAnsi"/>
        </w:rPr>
        <w:tab/>
      </w:r>
      <w:r w:rsidRPr="008C2CBB">
        <w:rPr>
          <w:rFonts w:cstheme="minorHAnsi"/>
        </w:rPr>
        <w:t xml:space="preserve">C. </w:t>
      </w:r>
      <w:proofErr w:type="spellStart"/>
      <w:r w:rsidRPr="008C2CBB">
        <w:rPr>
          <w:rFonts w:cstheme="minorHAnsi"/>
        </w:rPr>
        <w:t>Badeen</w:t>
      </w:r>
      <w:proofErr w:type="spellEnd"/>
      <w:r w:rsidRPr="008C2CBB">
        <w:rPr>
          <w:rFonts w:cstheme="minorHAnsi"/>
        </w:rPr>
        <w:t xml:space="preserve">, S. </w:t>
      </w:r>
      <w:proofErr w:type="spellStart"/>
      <w:r w:rsidRPr="008C2CBB">
        <w:rPr>
          <w:rFonts w:cstheme="minorHAnsi"/>
        </w:rPr>
        <w:t>Goldthorp</w:t>
      </w:r>
      <w:proofErr w:type="spellEnd"/>
      <w:r w:rsidRPr="008C2CBB">
        <w:rPr>
          <w:rFonts w:cstheme="minorHAnsi"/>
        </w:rPr>
        <w:t xml:space="preserve">, R. Turcotte, H. Feng, S.K. Chan, I. </w:t>
      </w:r>
      <w:proofErr w:type="spellStart"/>
      <w:r w:rsidRPr="008C2CBB">
        <w:rPr>
          <w:rFonts w:cstheme="minorHAnsi"/>
        </w:rPr>
        <w:t>Alilovic</w:t>
      </w:r>
      <w:proofErr w:type="spellEnd"/>
      <w:r w:rsidRPr="008C2CBB">
        <w:rPr>
          <w:rFonts w:cstheme="minorHAnsi"/>
        </w:rPr>
        <w:t xml:space="preserve">, Effect </w:t>
      </w:r>
      <w:r>
        <w:rPr>
          <w:rFonts w:cstheme="minorHAnsi"/>
        </w:rPr>
        <w:tab/>
      </w:r>
      <w:r w:rsidRPr="008C2CBB">
        <w:rPr>
          <w:rFonts w:cstheme="minorHAnsi"/>
        </w:rPr>
        <w:t xml:space="preserve">of Ingredients on the Minimum Burning Pressure of Ammonium Nitrate Emulsions, </w:t>
      </w:r>
      <w:r>
        <w:rPr>
          <w:rFonts w:cstheme="minorHAnsi"/>
        </w:rPr>
        <w:tab/>
      </w:r>
      <w:r w:rsidRPr="008C2CBB">
        <w:rPr>
          <w:rFonts w:cstheme="minorHAnsi"/>
        </w:rPr>
        <w:t xml:space="preserve">Proceedings of the </w:t>
      </w:r>
      <w:r w:rsidRPr="008C2CBB">
        <w:rPr>
          <w:rFonts w:cstheme="minorHAnsi"/>
          <w:i/>
          <w:lang w:val="en-CA"/>
        </w:rPr>
        <w:t>40</w:t>
      </w:r>
      <w:r w:rsidRPr="008C2CBB">
        <w:rPr>
          <w:rFonts w:cstheme="minorHAnsi"/>
          <w:i/>
          <w:vertAlign w:val="superscript"/>
          <w:lang w:val="en-CA"/>
        </w:rPr>
        <w:t>th</w:t>
      </w:r>
      <w:r w:rsidRPr="008C2CBB">
        <w:rPr>
          <w:rFonts w:cstheme="minorHAnsi"/>
          <w:i/>
          <w:lang w:val="en-CA"/>
        </w:rPr>
        <w:t xml:space="preserve"> Annual Conference on Explosives and Blasting Techniques</w:t>
      </w:r>
      <w:r w:rsidRPr="008C2CBB">
        <w:rPr>
          <w:rFonts w:cstheme="minorHAnsi"/>
          <w:lang w:val="en-CA"/>
        </w:rPr>
        <w:t xml:space="preserve">, </w:t>
      </w:r>
      <w:r>
        <w:rPr>
          <w:rFonts w:cstheme="minorHAnsi"/>
          <w:lang w:val="en-CA"/>
        </w:rPr>
        <w:tab/>
      </w:r>
      <w:r w:rsidRPr="008C2CBB">
        <w:rPr>
          <w:rFonts w:cstheme="minorHAnsi"/>
          <w:lang w:val="en-CA"/>
        </w:rPr>
        <w:t>International Society of Explosives Engineers, Denver, CO, USA, February 2014.</w:t>
      </w:r>
    </w:p>
    <w:p w14:paraId="15E3A371" w14:textId="77777777" w:rsidR="00EB4196" w:rsidRPr="008B602D" w:rsidRDefault="00EB4196" w:rsidP="00EB4196">
      <w:pPr>
        <w:pStyle w:val="SingleTxtG"/>
        <w:ind w:left="1701" w:hanging="283"/>
      </w:pPr>
      <w:r>
        <w:tab/>
      </w:r>
      <w:r>
        <w:rPr>
          <w:lang w:val="fr-CH"/>
        </w:rPr>
        <w:t>(2)</w:t>
      </w:r>
      <w:r>
        <w:tab/>
      </w:r>
      <w:r w:rsidRPr="008B602D">
        <w:t>Orica internal testing for UN Test Series 8 d(</w:t>
      </w:r>
      <w:proofErr w:type="spellStart"/>
      <w:r w:rsidRPr="008B602D">
        <w:t>i</w:t>
      </w:r>
      <w:proofErr w:type="spellEnd"/>
      <w:r w:rsidRPr="008B602D">
        <w:t>) with ANWE Fuel Type 2.</w:t>
      </w:r>
    </w:p>
    <w:p w14:paraId="5901D33B" w14:textId="77777777" w:rsidR="00EB4196" w:rsidRPr="008B602D" w:rsidRDefault="00EB4196" w:rsidP="00EB4196">
      <w:pPr>
        <w:pStyle w:val="SingleTxtG"/>
        <w:ind w:left="1701" w:hanging="283"/>
      </w:pPr>
      <w:r>
        <w:tab/>
      </w:r>
      <w:r>
        <w:rPr>
          <w:lang w:val="fr-CH"/>
        </w:rPr>
        <w:t>(3)</w:t>
      </w:r>
      <w:r>
        <w:tab/>
      </w:r>
      <w:r w:rsidRPr="008B602D">
        <w:t>Orica internal testing for UN Test Series 8 d(i</w:t>
      </w:r>
      <w:r>
        <w:t>i</w:t>
      </w:r>
      <w:r w:rsidRPr="008B602D">
        <w:t>) with ANWE Fuel Type 2.</w:t>
      </w:r>
    </w:p>
    <w:p w14:paraId="7C8ED410" w14:textId="6B3C7FB9" w:rsidR="00EB4196" w:rsidRDefault="00EB4196" w:rsidP="00EB4196">
      <w:pPr>
        <w:pStyle w:val="SingleTxtG"/>
        <w:spacing w:after="240"/>
        <w:ind w:left="1701" w:hanging="283"/>
      </w:pPr>
      <w:r>
        <w:tab/>
      </w:r>
      <w:r>
        <w:rPr>
          <w:lang w:val="fr-CH"/>
        </w:rPr>
        <w:t>(4)</w:t>
      </w:r>
      <w:r>
        <w:tab/>
      </w:r>
      <w:proofErr w:type="spellStart"/>
      <w:r w:rsidRPr="008B602D">
        <w:t>Bajpayee</w:t>
      </w:r>
      <w:proofErr w:type="spellEnd"/>
      <w:r w:rsidRPr="008B602D">
        <w:t xml:space="preserve">, T.S., (1991), Comparative Evaluation of Large Scale Vented Vessel </w:t>
      </w:r>
      <w:r>
        <w:tab/>
      </w:r>
      <w:r w:rsidRPr="008B602D">
        <w:t xml:space="preserve">Bonfire and Deflagration-to-Detonation Transition Tests of Blasting Agents, U.S. </w:t>
      </w:r>
      <w:r>
        <w:tab/>
      </w:r>
      <w:r w:rsidRPr="008B602D">
        <w:t xml:space="preserve">Bureau of Mines Report, Pittsburgh, PA., June 1991. Test data indicated for ANFO </w:t>
      </w:r>
      <w:r>
        <w:tab/>
      </w:r>
      <w:r w:rsidRPr="008B602D">
        <w:t xml:space="preserve">comprising 94% AN </w:t>
      </w:r>
      <w:proofErr w:type="spellStart"/>
      <w:r w:rsidRPr="008B602D">
        <w:t>Prill</w:t>
      </w:r>
      <w:proofErr w:type="spellEnd"/>
      <w:r w:rsidRPr="008B602D">
        <w:t>, 6% Fuel Oil, and 0% Water.</w:t>
      </w:r>
    </w:p>
    <w:p w14:paraId="66BAE342" w14:textId="1C20133C" w:rsidR="008B602D" w:rsidRPr="008B602D" w:rsidRDefault="00EE369A" w:rsidP="00EB4196">
      <w:pPr>
        <w:pStyle w:val="SingleTxtG"/>
        <w:spacing w:before="120"/>
      </w:pPr>
      <w:r>
        <w:rPr>
          <w:lang w:val="fr-CH"/>
        </w:rPr>
        <w:t>9.</w:t>
      </w:r>
      <w:r>
        <w:tab/>
      </w:r>
      <w:r w:rsidR="008B602D" w:rsidRPr="008B602D">
        <w:t xml:space="preserve">The results in Figure 1 and Table 1 show that the 8(d) test cannot differentiate between a </w:t>
      </w:r>
      <w:proofErr w:type="spellStart"/>
      <w:r w:rsidR="008B602D" w:rsidRPr="008B602D">
        <w:t>Div</w:t>
      </w:r>
      <w:proofErr w:type="spellEnd"/>
      <w:r w:rsidR="008B602D" w:rsidRPr="008B602D">
        <w:t xml:space="preserve"> 5.1 and </w:t>
      </w:r>
      <w:proofErr w:type="spellStart"/>
      <w:r w:rsidR="008B602D" w:rsidRPr="008B602D">
        <w:t>Div</w:t>
      </w:r>
      <w:proofErr w:type="spellEnd"/>
      <w:r w:rsidR="008B602D" w:rsidRPr="008B602D">
        <w:t xml:space="preserve"> 1.5 substance, which highlights its limited usefulness in predicting the behavior of an ANE</w:t>
      </w:r>
      <w:r w:rsidR="00DA38CA">
        <w:t>s</w:t>
      </w:r>
      <w:r w:rsidR="008B602D" w:rsidRPr="008B602D">
        <w:t xml:space="preserve"> during transport in a </w:t>
      </w:r>
      <w:r w:rsidR="008B602D" w:rsidRPr="002D51AC">
        <w:t>portable tank.</w:t>
      </w:r>
    </w:p>
    <w:p w14:paraId="525161C7" w14:textId="1A69079F" w:rsidR="008B602D" w:rsidRPr="008B602D" w:rsidRDefault="00EE369A" w:rsidP="00EE369A">
      <w:pPr>
        <w:pStyle w:val="HChG"/>
      </w:pPr>
      <w:r>
        <w:tab/>
      </w:r>
      <w:r>
        <w:tab/>
      </w:r>
      <w:r w:rsidR="008B602D" w:rsidRPr="008B602D">
        <w:t>Proposal</w:t>
      </w:r>
    </w:p>
    <w:p w14:paraId="1720EF0E" w14:textId="56160141" w:rsidR="008B602D" w:rsidRPr="008B602D" w:rsidRDefault="00EE369A" w:rsidP="00EE369A">
      <w:pPr>
        <w:pStyle w:val="SingleTxtG"/>
      </w:pPr>
      <w:r>
        <w:tab/>
      </w:r>
      <w:r>
        <w:rPr>
          <w:lang w:val="fr-CH"/>
        </w:rPr>
        <w:t>10.</w:t>
      </w:r>
      <w:r>
        <w:tab/>
      </w:r>
      <w:r w:rsidR="008B602D" w:rsidRPr="008B602D">
        <w:t xml:space="preserve">ANEs that </w:t>
      </w:r>
      <w:r w:rsidR="005456AF" w:rsidRPr="005456AF">
        <w:t xml:space="preserve">satisfy the acceptance criteria of </w:t>
      </w:r>
      <w:r w:rsidR="003B19D3">
        <w:t xml:space="preserve">the </w:t>
      </w:r>
      <w:r w:rsidR="008B602D" w:rsidRPr="008B602D">
        <w:t xml:space="preserve">8(e) </w:t>
      </w:r>
      <w:r w:rsidR="003B19D3">
        <w:t xml:space="preserve">test </w:t>
      </w:r>
      <w:r w:rsidR="008B602D" w:rsidRPr="008B602D">
        <w:t>should not be subjected to the 8(d) test and can be considered</w:t>
      </w:r>
      <w:r w:rsidR="005456AF">
        <w:t xml:space="preserve"> suitable</w:t>
      </w:r>
      <w:r w:rsidR="008B602D" w:rsidRPr="008B602D">
        <w:t xml:space="preserve"> for transport in </w:t>
      </w:r>
      <w:r w:rsidR="00342844">
        <w:t>portable tanks as oxidizing substances</w:t>
      </w:r>
      <w:r w:rsidR="00FE1080">
        <w:t xml:space="preserve"> based on the 8(e) results</w:t>
      </w:r>
      <w:r w:rsidR="008B602D" w:rsidRPr="008B602D">
        <w:t>.</w:t>
      </w:r>
    </w:p>
    <w:p w14:paraId="657FA4CE" w14:textId="601AC058" w:rsidR="008B602D" w:rsidRPr="008B602D" w:rsidRDefault="00EE369A" w:rsidP="00EE369A">
      <w:pPr>
        <w:pStyle w:val="SingleTxtG"/>
      </w:pPr>
      <w:r>
        <w:tab/>
      </w:r>
      <w:r>
        <w:rPr>
          <w:lang w:val="fr-CH"/>
        </w:rPr>
        <w:t>11.</w:t>
      </w:r>
      <w:r>
        <w:tab/>
      </w:r>
      <w:r w:rsidR="008B602D" w:rsidRPr="008B602D">
        <w:t xml:space="preserve">The text in footnote </w:t>
      </w:r>
      <w:r>
        <w:rPr>
          <w:lang w:val="fr-CH"/>
        </w:rPr>
        <w:t>« </w:t>
      </w:r>
      <w:r w:rsidR="008B602D" w:rsidRPr="008B602D">
        <w:t>b</w:t>
      </w:r>
      <w:r>
        <w:rPr>
          <w:lang w:val="fr-CH"/>
        </w:rPr>
        <w:t> »</w:t>
      </w:r>
      <w:r w:rsidR="008B602D" w:rsidRPr="008B602D">
        <w:t xml:space="preserve"> of Table 18.1 would be amended to read (new text indicated by </w:t>
      </w:r>
      <w:r w:rsidR="008B602D" w:rsidRPr="008B602D">
        <w:rPr>
          <w:color w:val="0070C0"/>
          <w:u w:val="single"/>
        </w:rPr>
        <w:t>blue underscored text</w:t>
      </w:r>
      <w:proofErr w:type="gramStart"/>
      <w:r w:rsidR="008B602D" w:rsidRPr="008B602D">
        <w:t>):</w:t>
      </w:r>
      <w:proofErr w:type="gramEnd"/>
    </w:p>
    <w:p w14:paraId="6CE25FEE" w14:textId="3E1DAE56" w:rsidR="008B602D" w:rsidRPr="008B602D" w:rsidRDefault="008B602D" w:rsidP="00EE369A">
      <w:pPr>
        <w:pStyle w:val="SingleTxtG"/>
        <w:ind w:left="1701"/>
      </w:pPr>
      <w:r w:rsidRPr="008B602D">
        <w:rPr>
          <w:vertAlign w:val="superscript"/>
        </w:rPr>
        <w:t>b</w:t>
      </w:r>
      <w:r w:rsidRPr="008B602D">
        <w:t xml:space="preserve">  These tests are intended for evaluating the suitability of ANEs for </w:t>
      </w:r>
      <w:proofErr w:type="spellStart"/>
      <w:r w:rsidR="000F1113">
        <w:rPr>
          <w:lang w:val="fr-CH"/>
        </w:rPr>
        <w:t>containment</w:t>
      </w:r>
      <w:proofErr w:type="spellEnd"/>
      <w:r w:rsidRPr="008B602D">
        <w:t xml:space="preserve"> in portable tanks</w:t>
      </w:r>
      <w:r w:rsidR="000F1113">
        <w:rPr>
          <w:lang w:val="fr-CH"/>
        </w:rPr>
        <w:t xml:space="preserve"> as a </w:t>
      </w:r>
      <w:proofErr w:type="spellStart"/>
      <w:r w:rsidR="000F1113">
        <w:rPr>
          <w:lang w:val="fr-CH"/>
        </w:rPr>
        <w:t>oxidizing</w:t>
      </w:r>
      <w:proofErr w:type="spellEnd"/>
      <w:r w:rsidR="000F1113">
        <w:rPr>
          <w:lang w:val="fr-CH"/>
        </w:rPr>
        <w:t xml:space="preserve"> substance</w:t>
      </w:r>
      <w:r w:rsidRPr="008B602D">
        <w:t xml:space="preserve">. </w:t>
      </w:r>
      <w:r w:rsidRPr="000F1113">
        <w:rPr>
          <w:u w:val="single"/>
        </w:rPr>
        <w:t xml:space="preserve">ANEs </w:t>
      </w:r>
      <w:r w:rsidR="00815BBF" w:rsidRPr="000F1113">
        <w:rPr>
          <w:u w:val="single"/>
        </w:rPr>
        <w:t xml:space="preserve">that satisfy the acceptance criteria of </w:t>
      </w:r>
      <w:r w:rsidRPr="000F1113">
        <w:rPr>
          <w:u w:val="single"/>
        </w:rPr>
        <w:t>Test 8</w:t>
      </w:r>
      <w:r w:rsidR="000F1113" w:rsidRPr="000F1113">
        <w:rPr>
          <w:u w:val="single"/>
          <w:lang w:val="fr-CH"/>
        </w:rPr>
        <w:t xml:space="preserve"> </w:t>
      </w:r>
      <w:r w:rsidRPr="000F1113">
        <w:rPr>
          <w:u w:val="single"/>
        </w:rPr>
        <w:t xml:space="preserve">(e) </w:t>
      </w:r>
      <w:r w:rsidR="00FC1CB5" w:rsidRPr="000F1113">
        <w:rPr>
          <w:u w:val="single"/>
        </w:rPr>
        <w:t xml:space="preserve">of Section 18.8 </w:t>
      </w:r>
      <w:r w:rsidRPr="000F1113">
        <w:rPr>
          <w:u w:val="single"/>
        </w:rPr>
        <w:t xml:space="preserve">are excluded from </w:t>
      </w:r>
      <w:r w:rsidR="00815BBF" w:rsidRPr="000F1113">
        <w:rPr>
          <w:u w:val="single"/>
        </w:rPr>
        <w:t xml:space="preserve">the need to conduct </w:t>
      </w:r>
      <w:r w:rsidRPr="000F1113">
        <w:rPr>
          <w:u w:val="single"/>
        </w:rPr>
        <w:t>these tests</w:t>
      </w:r>
      <w:r w:rsidRPr="008B602D">
        <w:t>.</w:t>
      </w:r>
    </w:p>
    <w:p w14:paraId="43871948" w14:textId="483BE8C7" w:rsidR="008B602D" w:rsidRPr="008B602D" w:rsidRDefault="00EE369A" w:rsidP="00EE369A">
      <w:pPr>
        <w:pStyle w:val="SingleTxtG"/>
      </w:pPr>
      <w:r>
        <w:tab/>
      </w:r>
      <w:r>
        <w:rPr>
          <w:lang w:val="fr-CH"/>
        </w:rPr>
        <w:t>12.</w:t>
      </w:r>
      <w:r>
        <w:tab/>
      </w:r>
      <w:r w:rsidR="008B602D" w:rsidRPr="008B602D">
        <w:t xml:space="preserve">Section 18.7.1.1 would be amended to read (new text indicated by </w:t>
      </w:r>
      <w:r w:rsidR="008B602D" w:rsidRPr="008B602D">
        <w:rPr>
          <w:color w:val="0070C0"/>
          <w:u w:val="single"/>
        </w:rPr>
        <w:t>blue underscored text</w:t>
      </w:r>
      <w:proofErr w:type="gramStart"/>
      <w:r w:rsidR="008B602D" w:rsidRPr="008B602D">
        <w:t>):</w:t>
      </w:r>
      <w:proofErr w:type="gramEnd"/>
    </w:p>
    <w:p w14:paraId="30E1C7AF" w14:textId="5AFD5751" w:rsidR="008B602D" w:rsidRPr="008B602D" w:rsidRDefault="008B602D" w:rsidP="00EE369A">
      <w:pPr>
        <w:pStyle w:val="SingleTxtG"/>
        <w:ind w:left="1701"/>
        <w:rPr>
          <w:color w:val="0070C0"/>
          <w:u w:val="single"/>
        </w:rPr>
      </w:pPr>
      <w:r w:rsidRPr="008B602D">
        <w:t>This test is not intended for classification but is included in this Manual for evaluating the suitability for containment in portable tanks as an oxidizing substance.</w:t>
      </w:r>
      <w:r w:rsidRPr="008B602D">
        <w:rPr>
          <w:color w:val="0070C0"/>
          <w:u w:val="single"/>
        </w:rPr>
        <w:t xml:space="preserve"> Those ANEs that have passed the 8</w:t>
      </w:r>
      <w:r w:rsidR="000F1113">
        <w:rPr>
          <w:color w:val="0070C0"/>
          <w:u w:val="single"/>
          <w:lang w:val="fr-CH"/>
        </w:rPr>
        <w:t xml:space="preserve"> </w:t>
      </w:r>
      <w:r w:rsidRPr="008B602D">
        <w:rPr>
          <w:color w:val="0070C0"/>
          <w:u w:val="single"/>
        </w:rPr>
        <w:t>(e) test of Section 18.8 need not be subjected to the 8</w:t>
      </w:r>
      <w:r w:rsidR="000F1113">
        <w:rPr>
          <w:color w:val="0070C0"/>
          <w:u w:val="single"/>
          <w:lang w:val="fr-CH"/>
        </w:rPr>
        <w:t xml:space="preserve"> </w:t>
      </w:r>
      <w:r w:rsidRPr="008B602D">
        <w:rPr>
          <w:color w:val="0070C0"/>
          <w:u w:val="single"/>
        </w:rPr>
        <w:t>(d) test.</w:t>
      </w:r>
    </w:p>
    <w:p w14:paraId="66A5E99E" w14:textId="77777777" w:rsidR="00972A01" w:rsidRPr="00E3141C" w:rsidRDefault="00AD1151" w:rsidP="00E3141C">
      <w:pPr>
        <w:pStyle w:val="SingleTxtG"/>
        <w:spacing w:after="0"/>
        <w:ind w:left="1560" w:hanging="426"/>
        <w:jc w:val="center"/>
        <w:rPr>
          <w:u w:val="single"/>
          <w:lang w:val="en-GB"/>
        </w:rPr>
      </w:pPr>
      <w:r w:rsidRPr="00E3141C">
        <w:rPr>
          <w:i/>
          <w:iCs/>
          <w:lang w:val="en-GB"/>
        </w:rPr>
        <w:t>_________________</w:t>
      </w:r>
    </w:p>
    <w:sectPr w:rsidR="00972A01" w:rsidRPr="00E3141C" w:rsidSect="00EE369A">
      <w:headerReference w:type="even" r:id="rId9"/>
      <w:headerReference w:type="default" r:id="rId10"/>
      <w:footerReference w:type="even" r:id="rId11"/>
      <w:footerReference w:type="defaul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5225A" w14:textId="77777777" w:rsidR="00931E13" w:rsidRDefault="00931E13"/>
  </w:endnote>
  <w:endnote w:type="continuationSeparator" w:id="0">
    <w:p w14:paraId="651BEC28" w14:textId="77777777" w:rsidR="00931E13" w:rsidRDefault="00931E13"/>
  </w:endnote>
  <w:endnote w:type="continuationNotice" w:id="1">
    <w:p w14:paraId="52932204" w14:textId="77777777" w:rsidR="00931E13" w:rsidRDefault="00931E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9DC64" w14:textId="20554287" w:rsidR="004F6DF4" w:rsidRPr="00F257D1" w:rsidRDefault="004F6DF4" w:rsidP="007703E2">
    <w:pPr>
      <w:pStyle w:val="Footer"/>
      <w:rPr>
        <w:rStyle w:val="PageNumber"/>
        <w:noProof/>
        <w:sz w:val="20"/>
        <w:szCs w:val="22"/>
      </w:rPr>
    </w:pPr>
    <w:r w:rsidRPr="0059131E">
      <w:rPr>
        <w:rStyle w:val="PageNumber"/>
        <w:noProof/>
        <w:sz w:val="20"/>
        <w:szCs w:val="22"/>
      </w:rPr>
      <w:fldChar w:fldCharType="begin"/>
    </w:r>
    <w:r w:rsidRPr="0059131E">
      <w:rPr>
        <w:rStyle w:val="PageNumber"/>
        <w:noProof/>
        <w:sz w:val="20"/>
        <w:szCs w:val="22"/>
      </w:rPr>
      <w:instrText xml:space="preserve"> PAGE  \* MERGEFORMAT </w:instrText>
    </w:r>
    <w:r w:rsidRPr="0059131E">
      <w:rPr>
        <w:rStyle w:val="PageNumber"/>
        <w:noProof/>
        <w:sz w:val="20"/>
        <w:szCs w:val="22"/>
      </w:rPr>
      <w:fldChar w:fldCharType="separate"/>
    </w:r>
    <w:r w:rsidR="002A0304">
      <w:rPr>
        <w:rStyle w:val="PageNumber"/>
        <w:noProof/>
        <w:sz w:val="20"/>
        <w:szCs w:val="22"/>
      </w:rPr>
      <w:t>4</w:t>
    </w:r>
    <w:r w:rsidRPr="0059131E">
      <w:rPr>
        <w:rStyle w:val="PageNumber"/>
        <w:noProof/>
        <w:sz w:val="20"/>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C335B" w14:textId="61F1061B" w:rsidR="004F6DF4" w:rsidRPr="000216CC" w:rsidRDefault="004F6DF4"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2A0304">
      <w:rPr>
        <w:b/>
        <w:noProof/>
        <w:sz w:val="18"/>
      </w:rPr>
      <w:t>3</w:t>
    </w:r>
    <w:r w:rsidRPr="000216C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9C402" w14:textId="77777777" w:rsidR="00931E13" w:rsidRPr="000B175B" w:rsidRDefault="00931E13" w:rsidP="000B175B">
      <w:pPr>
        <w:tabs>
          <w:tab w:val="right" w:pos="2155"/>
        </w:tabs>
        <w:spacing w:after="80"/>
        <w:ind w:left="680"/>
        <w:rPr>
          <w:u w:val="single"/>
        </w:rPr>
      </w:pPr>
      <w:r>
        <w:rPr>
          <w:u w:val="single"/>
        </w:rPr>
        <w:tab/>
      </w:r>
    </w:p>
  </w:footnote>
  <w:footnote w:type="continuationSeparator" w:id="0">
    <w:p w14:paraId="42D869F9" w14:textId="77777777" w:rsidR="00931E13" w:rsidRPr="00FC68B7" w:rsidRDefault="00931E13" w:rsidP="00FC68B7">
      <w:pPr>
        <w:tabs>
          <w:tab w:val="left" w:pos="2155"/>
        </w:tabs>
        <w:spacing w:after="80"/>
        <w:ind w:left="680"/>
        <w:rPr>
          <w:u w:val="single"/>
        </w:rPr>
      </w:pPr>
      <w:r>
        <w:rPr>
          <w:u w:val="single"/>
        </w:rPr>
        <w:tab/>
      </w:r>
    </w:p>
  </w:footnote>
  <w:footnote w:type="continuationNotice" w:id="1">
    <w:p w14:paraId="04032A8E" w14:textId="77777777" w:rsidR="00931E13" w:rsidRDefault="00931E13"/>
  </w:footnote>
  <w:footnote w:id="2">
    <w:p w14:paraId="578C813A" w14:textId="0984FE2A" w:rsidR="00126A6E" w:rsidRPr="00126A6E" w:rsidRDefault="00126A6E" w:rsidP="00EE369A">
      <w:pPr>
        <w:pStyle w:val="FootnoteText"/>
        <w:tabs>
          <w:tab w:val="clear" w:pos="1021"/>
          <w:tab w:val="left" w:pos="1701"/>
        </w:tabs>
        <w:ind w:firstLine="0"/>
        <w:rPr>
          <w:lang w:val="en-US"/>
        </w:rPr>
      </w:pPr>
      <w:r>
        <w:rPr>
          <w:rStyle w:val="FootnoteReference"/>
        </w:rPr>
        <w:footnoteRef/>
      </w:r>
      <w:r>
        <w:t xml:space="preserve"> </w:t>
      </w:r>
      <w:r w:rsidR="00EE369A">
        <w:tab/>
      </w:r>
      <w:r w:rsidR="00D546AF">
        <w:rPr>
          <w:lang w:val="en-US"/>
        </w:rPr>
        <w:t xml:space="preserve">United Nations Recommendations on the Transport of Dangerous Goods, </w:t>
      </w:r>
      <w:r>
        <w:rPr>
          <w:lang w:val="en-US"/>
        </w:rPr>
        <w:t xml:space="preserve">Manual of Tests and Criteria, Rev. </w:t>
      </w:r>
      <w:r w:rsidR="00D546AF">
        <w:rPr>
          <w:lang w:val="en-US"/>
        </w:rPr>
        <w:t>6</w:t>
      </w:r>
      <w:r>
        <w:rPr>
          <w:lang w:val="en-US"/>
        </w:rPr>
        <w:t xml:space="preserve"> </w:t>
      </w:r>
      <w:r w:rsidR="00D546AF" w:rsidRPr="00D546AF">
        <w:rPr>
          <w:szCs w:val="18"/>
          <w:lang w:val="en-US"/>
        </w:rPr>
        <w:t>(ST/SG/AC.10/11/Rev.6)</w:t>
      </w:r>
      <w:r w:rsidR="00D546AF">
        <w:rPr>
          <w:lang w:val="en-US"/>
        </w:rPr>
        <w:t xml:space="preserve"> </w:t>
      </w:r>
      <w:r>
        <w:rPr>
          <w:lang w:val="en-US"/>
        </w:rPr>
        <w:t xml:space="preserve">as </w:t>
      </w:r>
      <w:r w:rsidR="00D546AF">
        <w:rPr>
          <w:lang w:val="en-US"/>
        </w:rPr>
        <w:t>amended</w:t>
      </w:r>
      <w:r>
        <w:rPr>
          <w:lang w:val="en-US"/>
        </w:rPr>
        <w:t xml:space="preserve"> at the </w:t>
      </w:r>
      <w:r w:rsidR="00EE369A">
        <w:rPr>
          <w:lang w:val="en-US"/>
        </w:rPr>
        <w:t>ninth</w:t>
      </w:r>
      <w:r>
        <w:rPr>
          <w:lang w:val="en-US"/>
        </w:rPr>
        <w:t xml:space="preserve"> </w:t>
      </w:r>
      <w:r w:rsidR="002510FD">
        <w:rPr>
          <w:lang w:val="en-US"/>
        </w:rPr>
        <w:t>TDG/GHS Committee s</w:t>
      </w:r>
      <w:r>
        <w:rPr>
          <w:lang w:val="en-US"/>
        </w:rPr>
        <w:t>ession (</w:t>
      </w:r>
      <w:r w:rsidRPr="00126A6E">
        <w:rPr>
          <w:lang w:val="en-US"/>
        </w:rPr>
        <w:t>ST/SG/AC.10/46/Add.2</w:t>
      </w:r>
      <w:r>
        <w:rPr>
          <w:lang w:val="en-US"/>
        </w:rPr>
        <w:t xml:space="preserve">, </w:t>
      </w:r>
      <w:r w:rsidR="002510FD">
        <w:rPr>
          <w:lang w:val="en-US"/>
        </w:rPr>
        <w:t>p</w:t>
      </w:r>
      <w:r w:rsidR="00EE369A">
        <w:rPr>
          <w:lang w:val="en-US"/>
        </w:rPr>
        <w:t>.</w:t>
      </w:r>
      <w:r w:rsidR="002510FD">
        <w:rPr>
          <w:lang w:val="en-US"/>
        </w:rPr>
        <w:t xml:space="preserve"> 29)</w:t>
      </w:r>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21D6F" w14:textId="480B1A83" w:rsidR="004F6DF4" w:rsidRPr="00B5392B" w:rsidRDefault="004F6DF4">
    <w:pPr>
      <w:pStyle w:val="Header"/>
      <w:rPr>
        <w:lang w:val="nl-NL"/>
      </w:rPr>
    </w:pPr>
    <w:r w:rsidRPr="00460B22">
      <w:rPr>
        <w:lang w:val="nl-NL"/>
      </w:rPr>
      <w:t>UN/SCE</w:t>
    </w:r>
    <w:r w:rsidR="0060673A">
      <w:rPr>
        <w:lang w:val="nl-NL"/>
      </w:rPr>
      <w:t>TDG</w:t>
    </w:r>
    <w:r w:rsidRPr="00460B22">
      <w:rPr>
        <w:lang w:val="nl-NL"/>
      </w:rPr>
      <w:t>/</w:t>
    </w:r>
    <w:r w:rsidR="0060673A">
      <w:rPr>
        <w:lang w:val="nl-NL"/>
      </w:rPr>
      <w:t>5</w:t>
    </w:r>
    <w:r w:rsidR="00C910D7">
      <w:rPr>
        <w:lang w:val="nl-NL"/>
      </w:rPr>
      <w:t>5</w:t>
    </w:r>
    <w:r w:rsidRPr="00460B22">
      <w:rPr>
        <w:lang w:val="nl-NL"/>
      </w:rPr>
      <w:t>/INF.</w:t>
    </w:r>
    <w:r w:rsidR="00EE369A">
      <w:rPr>
        <w:lang w:val="nl-NL"/>
      </w:rPr>
      <w:t>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1F0EB" w14:textId="6CC17FDA" w:rsidR="004F6DF4" w:rsidRPr="000216CC" w:rsidRDefault="00C910D7" w:rsidP="000216CC">
    <w:pPr>
      <w:pStyle w:val="Header"/>
      <w:jc w:val="right"/>
    </w:pPr>
    <w:r w:rsidRPr="00460B22">
      <w:rPr>
        <w:lang w:val="nl-NL"/>
      </w:rPr>
      <w:t>UN/SCE</w:t>
    </w:r>
    <w:r>
      <w:rPr>
        <w:lang w:val="nl-NL"/>
      </w:rPr>
      <w:t>TDG</w:t>
    </w:r>
    <w:r w:rsidRPr="00460B22">
      <w:rPr>
        <w:lang w:val="nl-NL"/>
      </w:rPr>
      <w:t>/</w:t>
    </w:r>
    <w:r>
      <w:rPr>
        <w:lang w:val="nl-NL"/>
      </w:rPr>
      <w:t>55</w:t>
    </w:r>
    <w:r w:rsidRPr="00460B22">
      <w:rPr>
        <w:lang w:val="nl-NL"/>
      </w:rPr>
      <w:t>/INF.</w:t>
    </w:r>
    <w:r w:rsidR="00EE369A">
      <w:rPr>
        <w:lang w:val="nl-NL"/>
      </w:rPr>
      <w:t>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E1F7740"/>
    <w:multiLevelType w:val="hybridMultilevel"/>
    <w:tmpl w:val="3C98FEB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12C6DB7"/>
    <w:multiLevelType w:val="hybridMultilevel"/>
    <w:tmpl w:val="E19CB2AC"/>
    <w:lvl w:ilvl="0" w:tplc="C150A31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C950881"/>
    <w:multiLevelType w:val="hybridMultilevel"/>
    <w:tmpl w:val="7F0C7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0"/>
  </w:num>
  <w:num w:numId="14">
    <w:abstractNumId w:val="16"/>
  </w:num>
  <w:num w:numId="15">
    <w:abstractNumId w:val="17"/>
  </w:num>
  <w:num w:numId="16">
    <w:abstractNumId w:val="14"/>
  </w:num>
  <w:num w:numId="17">
    <w:abstractNumId w:val="12"/>
  </w:num>
  <w:num w:numId="18">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en-AU" w:vendorID="64" w:dllVersion="6" w:nlCheck="1" w:checkStyle="1"/>
  <w:activeWritingStyle w:appName="MSWord" w:lang="en-AU"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6FAE"/>
    <w:rsid w:val="00012EB6"/>
    <w:rsid w:val="000133C5"/>
    <w:rsid w:val="00017D24"/>
    <w:rsid w:val="000216CC"/>
    <w:rsid w:val="0003375D"/>
    <w:rsid w:val="00035DD6"/>
    <w:rsid w:val="00043180"/>
    <w:rsid w:val="00045F2A"/>
    <w:rsid w:val="000504CE"/>
    <w:rsid w:val="00050922"/>
    <w:rsid w:val="00050F6B"/>
    <w:rsid w:val="00053492"/>
    <w:rsid w:val="0005710C"/>
    <w:rsid w:val="000615EE"/>
    <w:rsid w:val="00064402"/>
    <w:rsid w:val="00067E6D"/>
    <w:rsid w:val="00070183"/>
    <w:rsid w:val="00072C8C"/>
    <w:rsid w:val="00073129"/>
    <w:rsid w:val="00075F99"/>
    <w:rsid w:val="00076A0A"/>
    <w:rsid w:val="00082CE1"/>
    <w:rsid w:val="00083598"/>
    <w:rsid w:val="00084632"/>
    <w:rsid w:val="00087152"/>
    <w:rsid w:val="00091046"/>
    <w:rsid w:val="00091419"/>
    <w:rsid w:val="00091CB3"/>
    <w:rsid w:val="000931C0"/>
    <w:rsid w:val="000A14CA"/>
    <w:rsid w:val="000A2236"/>
    <w:rsid w:val="000A34FB"/>
    <w:rsid w:val="000A35F2"/>
    <w:rsid w:val="000A3A48"/>
    <w:rsid w:val="000A4C38"/>
    <w:rsid w:val="000B175B"/>
    <w:rsid w:val="000B3A0F"/>
    <w:rsid w:val="000B4919"/>
    <w:rsid w:val="000B6AD1"/>
    <w:rsid w:val="000B7AF2"/>
    <w:rsid w:val="000C1ED8"/>
    <w:rsid w:val="000C5D4B"/>
    <w:rsid w:val="000C717F"/>
    <w:rsid w:val="000D0B8F"/>
    <w:rsid w:val="000D481F"/>
    <w:rsid w:val="000D6D97"/>
    <w:rsid w:val="000D7830"/>
    <w:rsid w:val="000E0415"/>
    <w:rsid w:val="000F0347"/>
    <w:rsid w:val="000F0831"/>
    <w:rsid w:val="000F1113"/>
    <w:rsid w:val="000F52D6"/>
    <w:rsid w:val="000F649E"/>
    <w:rsid w:val="000F6A20"/>
    <w:rsid w:val="0010461A"/>
    <w:rsid w:val="00105589"/>
    <w:rsid w:val="00115303"/>
    <w:rsid w:val="00117787"/>
    <w:rsid w:val="00117D0D"/>
    <w:rsid w:val="00121EB7"/>
    <w:rsid w:val="00126A6E"/>
    <w:rsid w:val="00131B10"/>
    <w:rsid w:val="00131D42"/>
    <w:rsid w:val="00133C50"/>
    <w:rsid w:val="001406F4"/>
    <w:rsid w:val="00140F48"/>
    <w:rsid w:val="001633FB"/>
    <w:rsid w:val="00163A1B"/>
    <w:rsid w:val="0016408F"/>
    <w:rsid w:val="00165735"/>
    <w:rsid w:val="00167786"/>
    <w:rsid w:val="00174FCB"/>
    <w:rsid w:val="00180633"/>
    <w:rsid w:val="00181019"/>
    <w:rsid w:val="0018168F"/>
    <w:rsid w:val="001835BF"/>
    <w:rsid w:val="00184B86"/>
    <w:rsid w:val="00195229"/>
    <w:rsid w:val="001A02A4"/>
    <w:rsid w:val="001A7113"/>
    <w:rsid w:val="001B35EE"/>
    <w:rsid w:val="001B4B04"/>
    <w:rsid w:val="001B6B72"/>
    <w:rsid w:val="001B6E30"/>
    <w:rsid w:val="001C429D"/>
    <w:rsid w:val="001C6663"/>
    <w:rsid w:val="001C7895"/>
    <w:rsid w:val="001D26DF"/>
    <w:rsid w:val="001D2B6E"/>
    <w:rsid w:val="001D2FDC"/>
    <w:rsid w:val="001D3123"/>
    <w:rsid w:val="001D3A88"/>
    <w:rsid w:val="001D49F7"/>
    <w:rsid w:val="001D4B2D"/>
    <w:rsid w:val="001D4E70"/>
    <w:rsid w:val="001E797C"/>
    <w:rsid w:val="002062DE"/>
    <w:rsid w:val="00211B12"/>
    <w:rsid w:val="00211E0B"/>
    <w:rsid w:val="00212012"/>
    <w:rsid w:val="0021481D"/>
    <w:rsid w:val="00221589"/>
    <w:rsid w:val="00221AC2"/>
    <w:rsid w:val="00224CD9"/>
    <w:rsid w:val="002309A7"/>
    <w:rsid w:val="00235381"/>
    <w:rsid w:val="00237785"/>
    <w:rsid w:val="00241178"/>
    <w:rsid w:val="00241466"/>
    <w:rsid w:val="002440E7"/>
    <w:rsid w:val="00247570"/>
    <w:rsid w:val="002510FD"/>
    <w:rsid w:val="00257C1E"/>
    <w:rsid w:val="00261B71"/>
    <w:rsid w:val="002621F5"/>
    <w:rsid w:val="002622A9"/>
    <w:rsid w:val="002708B5"/>
    <w:rsid w:val="002725CA"/>
    <w:rsid w:val="00273A92"/>
    <w:rsid w:val="00277896"/>
    <w:rsid w:val="00280EB7"/>
    <w:rsid w:val="002913FD"/>
    <w:rsid w:val="00295C28"/>
    <w:rsid w:val="002976CF"/>
    <w:rsid w:val="002A0304"/>
    <w:rsid w:val="002A0BD2"/>
    <w:rsid w:val="002A5B17"/>
    <w:rsid w:val="002B067A"/>
    <w:rsid w:val="002B1514"/>
    <w:rsid w:val="002B1CDA"/>
    <w:rsid w:val="002C7F25"/>
    <w:rsid w:val="002D51AC"/>
    <w:rsid w:val="002D5A85"/>
    <w:rsid w:val="002D5C7D"/>
    <w:rsid w:val="002E35BB"/>
    <w:rsid w:val="002F68FD"/>
    <w:rsid w:val="003107FA"/>
    <w:rsid w:val="00313AC2"/>
    <w:rsid w:val="00315D73"/>
    <w:rsid w:val="00316FF9"/>
    <w:rsid w:val="00321716"/>
    <w:rsid w:val="003229D8"/>
    <w:rsid w:val="003244D9"/>
    <w:rsid w:val="00327D0A"/>
    <w:rsid w:val="003419A6"/>
    <w:rsid w:val="00342844"/>
    <w:rsid w:val="003517C3"/>
    <w:rsid w:val="00355502"/>
    <w:rsid w:val="00356BC7"/>
    <w:rsid w:val="00357A20"/>
    <w:rsid w:val="003728C1"/>
    <w:rsid w:val="00372F06"/>
    <w:rsid w:val="00391647"/>
    <w:rsid w:val="0039260F"/>
    <w:rsid w:val="0039277A"/>
    <w:rsid w:val="00393B99"/>
    <w:rsid w:val="00396F6A"/>
    <w:rsid w:val="003972E0"/>
    <w:rsid w:val="003A1EC2"/>
    <w:rsid w:val="003A52D7"/>
    <w:rsid w:val="003A5A16"/>
    <w:rsid w:val="003B19D3"/>
    <w:rsid w:val="003C0657"/>
    <w:rsid w:val="003C18C9"/>
    <w:rsid w:val="003C2CC4"/>
    <w:rsid w:val="003C655D"/>
    <w:rsid w:val="003D4B23"/>
    <w:rsid w:val="003F23A4"/>
    <w:rsid w:val="003F54D8"/>
    <w:rsid w:val="003F5B52"/>
    <w:rsid w:val="00400408"/>
    <w:rsid w:val="00403EC6"/>
    <w:rsid w:val="00406CD4"/>
    <w:rsid w:val="00412C1F"/>
    <w:rsid w:val="004254D0"/>
    <w:rsid w:val="00430086"/>
    <w:rsid w:val="00430918"/>
    <w:rsid w:val="004317D1"/>
    <w:rsid w:val="004325CB"/>
    <w:rsid w:val="00434D5F"/>
    <w:rsid w:val="00437F3F"/>
    <w:rsid w:val="00441AD2"/>
    <w:rsid w:val="00445B5D"/>
    <w:rsid w:val="00446DE4"/>
    <w:rsid w:val="004526E8"/>
    <w:rsid w:val="00452D10"/>
    <w:rsid w:val="00454036"/>
    <w:rsid w:val="004562AA"/>
    <w:rsid w:val="00460B22"/>
    <w:rsid w:val="0046443A"/>
    <w:rsid w:val="004653B3"/>
    <w:rsid w:val="004654C4"/>
    <w:rsid w:val="0046668F"/>
    <w:rsid w:val="0046773D"/>
    <w:rsid w:val="0046788D"/>
    <w:rsid w:val="004767B8"/>
    <w:rsid w:val="0048304D"/>
    <w:rsid w:val="00484A9B"/>
    <w:rsid w:val="0049211A"/>
    <w:rsid w:val="00492AF9"/>
    <w:rsid w:val="00493065"/>
    <w:rsid w:val="00494C77"/>
    <w:rsid w:val="00497291"/>
    <w:rsid w:val="00497711"/>
    <w:rsid w:val="004B25F8"/>
    <w:rsid w:val="004B2C9D"/>
    <w:rsid w:val="004B5939"/>
    <w:rsid w:val="004B73D6"/>
    <w:rsid w:val="004C39D0"/>
    <w:rsid w:val="004C416E"/>
    <w:rsid w:val="004C4F1A"/>
    <w:rsid w:val="004C6D6D"/>
    <w:rsid w:val="004D5330"/>
    <w:rsid w:val="004E0C5D"/>
    <w:rsid w:val="004F4240"/>
    <w:rsid w:val="004F6DF4"/>
    <w:rsid w:val="004F77CD"/>
    <w:rsid w:val="00507CF1"/>
    <w:rsid w:val="005133EB"/>
    <w:rsid w:val="00522177"/>
    <w:rsid w:val="00526AFD"/>
    <w:rsid w:val="00527910"/>
    <w:rsid w:val="005420F2"/>
    <w:rsid w:val="00542505"/>
    <w:rsid w:val="005456AF"/>
    <w:rsid w:val="00546A07"/>
    <w:rsid w:val="005475D4"/>
    <w:rsid w:val="00555CDB"/>
    <w:rsid w:val="00561B6D"/>
    <w:rsid w:val="00562D45"/>
    <w:rsid w:val="0056615B"/>
    <w:rsid w:val="00567DFB"/>
    <w:rsid w:val="00571DAA"/>
    <w:rsid w:val="0058129D"/>
    <w:rsid w:val="00590144"/>
    <w:rsid w:val="0059131E"/>
    <w:rsid w:val="0059682C"/>
    <w:rsid w:val="005A3F48"/>
    <w:rsid w:val="005A64DD"/>
    <w:rsid w:val="005B09F0"/>
    <w:rsid w:val="005B0CED"/>
    <w:rsid w:val="005B3DB3"/>
    <w:rsid w:val="005B528A"/>
    <w:rsid w:val="005B6088"/>
    <w:rsid w:val="005C3490"/>
    <w:rsid w:val="005C4CB5"/>
    <w:rsid w:val="005D0C6C"/>
    <w:rsid w:val="005D1BB4"/>
    <w:rsid w:val="005D7DE6"/>
    <w:rsid w:val="005E010D"/>
    <w:rsid w:val="005E3563"/>
    <w:rsid w:val="005E3AAD"/>
    <w:rsid w:val="005E5946"/>
    <w:rsid w:val="005F3A39"/>
    <w:rsid w:val="005F5C2F"/>
    <w:rsid w:val="005F7BB1"/>
    <w:rsid w:val="00602490"/>
    <w:rsid w:val="00603E3C"/>
    <w:rsid w:val="0060673A"/>
    <w:rsid w:val="00611FC4"/>
    <w:rsid w:val="00612812"/>
    <w:rsid w:val="006176FB"/>
    <w:rsid w:val="006216A1"/>
    <w:rsid w:val="006227A8"/>
    <w:rsid w:val="00626B06"/>
    <w:rsid w:val="006279AC"/>
    <w:rsid w:val="0063419C"/>
    <w:rsid w:val="00634779"/>
    <w:rsid w:val="0063502B"/>
    <w:rsid w:val="00635381"/>
    <w:rsid w:val="00636986"/>
    <w:rsid w:val="00637542"/>
    <w:rsid w:val="00640B26"/>
    <w:rsid w:val="00641194"/>
    <w:rsid w:val="00645A0B"/>
    <w:rsid w:val="006500BA"/>
    <w:rsid w:val="006506DB"/>
    <w:rsid w:val="00662121"/>
    <w:rsid w:val="00662E09"/>
    <w:rsid w:val="00663E7D"/>
    <w:rsid w:val="00670CF0"/>
    <w:rsid w:val="00675F87"/>
    <w:rsid w:val="00690CD6"/>
    <w:rsid w:val="006A3932"/>
    <w:rsid w:val="006A53DC"/>
    <w:rsid w:val="006A63E3"/>
    <w:rsid w:val="006A7392"/>
    <w:rsid w:val="006B1148"/>
    <w:rsid w:val="006B1C55"/>
    <w:rsid w:val="006C0D34"/>
    <w:rsid w:val="006C251B"/>
    <w:rsid w:val="006C2F7E"/>
    <w:rsid w:val="006D3560"/>
    <w:rsid w:val="006E3B65"/>
    <w:rsid w:val="006E564B"/>
    <w:rsid w:val="007025C0"/>
    <w:rsid w:val="00707F04"/>
    <w:rsid w:val="00711637"/>
    <w:rsid w:val="00714F4F"/>
    <w:rsid w:val="0072632A"/>
    <w:rsid w:val="007326E0"/>
    <w:rsid w:val="00734F20"/>
    <w:rsid w:val="00736E6A"/>
    <w:rsid w:val="00741F59"/>
    <w:rsid w:val="0074697D"/>
    <w:rsid w:val="00755EBE"/>
    <w:rsid w:val="00761619"/>
    <w:rsid w:val="0076177C"/>
    <w:rsid w:val="00763C33"/>
    <w:rsid w:val="00766322"/>
    <w:rsid w:val="007703E2"/>
    <w:rsid w:val="00770BCD"/>
    <w:rsid w:val="00771904"/>
    <w:rsid w:val="00773353"/>
    <w:rsid w:val="00774129"/>
    <w:rsid w:val="00774E8F"/>
    <w:rsid w:val="00774EAA"/>
    <w:rsid w:val="0078123B"/>
    <w:rsid w:val="00781B57"/>
    <w:rsid w:val="00786434"/>
    <w:rsid w:val="00790791"/>
    <w:rsid w:val="00793510"/>
    <w:rsid w:val="00796F36"/>
    <w:rsid w:val="007A2CDB"/>
    <w:rsid w:val="007A334C"/>
    <w:rsid w:val="007A62EC"/>
    <w:rsid w:val="007B1A7E"/>
    <w:rsid w:val="007B2BA8"/>
    <w:rsid w:val="007B6BA5"/>
    <w:rsid w:val="007C2C0D"/>
    <w:rsid w:val="007C3162"/>
    <w:rsid w:val="007C3390"/>
    <w:rsid w:val="007C4F4B"/>
    <w:rsid w:val="007C644D"/>
    <w:rsid w:val="007D2AC1"/>
    <w:rsid w:val="007D384C"/>
    <w:rsid w:val="007D740B"/>
    <w:rsid w:val="007D7BC6"/>
    <w:rsid w:val="007E4BD3"/>
    <w:rsid w:val="007E5D7C"/>
    <w:rsid w:val="007F2A54"/>
    <w:rsid w:val="007F5104"/>
    <w:rsid w:val="007F56B7"/>
    <w:rsid w:val="007F6611"/>
    <w:rsid w:val="00800024"/>
    <w:rsid w:val="008037A2"/>
    <w:rsid w:val="00810B9C"/>
    <w:rsid w:val="00811263"/>
    <w:rsid w:val="00812BEB"/>
    <w:rsid w:val="00815BBF"/>
    <w:rsid w:val="00816582"/>
    <w:rsid w:val="008175E9"/>
    <w:rsid w:val="00820A2D"/>
    <w:rsid w:val="008242D7"/>
    <w:rsid w:val="00826C09"/>
    <w:rsid w:val="0083043E"/>
    <w:rsid w:val="0083069A"/>
    <w:rsid w:val="00832A1D"/>
    <w:rsid w:val="00832B64"/>
    <w:rsid w:val="00834479"/>
    <w:rsid w:val="00843AB2"/>
    <w:rsid w:val="00846809"/>
    <w:rsid w:val="00857789"/>
    <w:rsid w:val="0086107D"/>
    <w:rsid w:val="00864251"/>
    <w:rsid w:val="00864EF8"/>
    <w:rsid w:val="00871FD5"/>
    <w:rsid w:val="00881213"/>
    <w:rsid w:val="008830CC"/>
    <w:rsid w:val="008979B1"/>
    <w:rsid w:val="008A0B75"/>
    <w:rsid w:val="008A1542"/>
    <w:rsid w:val="008A6B25"/>
    <w:rsid w:val="008A6C4F"/>
    <w:rsid w:val="008A7679"/>
    <w:rsid w:val="008A7AB3"/>
    <w:rsid w:val="008A7E0F"/>
    <w:rsid w:val="008B602D"/>
    <w:rsid w:val="008B65FB"/>
    <w:rsid w:val="008C2CBB"/>
    <w:rsid w:val="008C3B3C"/>
    <w:rsid w:val="008C4283"/>
    <w:rsid w:val="008C74C3"/>
    <w:rsid w:val="008C7BF7"/>
    <w:rsid w:val="008D134F"/>
    <w:rsid w:val="008D3C75"/>
    <w:rsid w:val="008D6942"/>
    <w:rsid w:val="008E0E46"/>
    <w:rsid w:val="008E1DAE"/>
    <w:rsid w:val="008E295A"/>
    <w:rsid w:val="008F2D9A"/>
    <w:rsid w:val="008F44B8"/>
    <w:rsid w:val="008F504A"/>
    <w:rsid w:val="008F6076"/>
    <w:rsid w:val="0090092A"/>
    <w:rsid w:val="009045EE"/>
    <w:rsid w:val="00904EBC"/>
    <w:rsid w:val="00906C3D"/>
    <w:rsid w:val="00923019"/>
    <w:rsid w:val="00924B63"/>
    <w:rsid w:val="00931E13"/>
    <w:rsid w:val="009363B6"/>
    <w:rsid w:val="00940C70"/>
    <w:rsid w:val="00940F46"/>
    <w:rsid w:val="00941ECC"/>
    <w:rsid w:val="00945A5D"/>
    <w:rsid w:val="00946A0D"/>
    <w:rsid w:val="00955109"/>
    <w:rsid w:val="00956AD7"/>
    <w:rsid w:val="00963B67"/>
    <w:rsid w:val="00963CBA"/>
    <w:rsid w:val="00964682"/>
    <w:rsid w:val="009701ED"/>
    <w:rsid w:val="00972A01"/>
    <w:rsid w:val="00984471"/>
    <w:rsid w:val="00985F37"/>
    <w:rsid w:val="009879EA"/>
    <w:rsid w:val="009908A5"/>
    <w:rsid w:val="0099124E"/>
    <w:rsid w:val="00991261"/>
    <w:rsid w:val="00991CC2"/>
    <w:rsid w:val="009953D5"/>
    <w:rsid w:val="009A1D29"/>
    <w:rsid w:val="009C1B8A"/>
    <w:rsid w:val="009C6394"/>
    <w:rsid w:val="009D0E2A"/>
    <w:rsid w:val="009D0F0E"/>
    <w:rsid w:val="009D1AAE"/>
    <w:rsid w:val="009D634E"/>
    <w:rsid w:val="009E1560"/>
    <w:rsid w:val="009F0F06"/>
    <w:rsid w:val="009F1220"/>
    <w:rsid w:val="009F20B7"/>
    <w:rsid w:val="009F4FC5"/>
    <w:rsid w:val="00A0152E"/>
    <w:rsid w:val="00A12B58"/>
    <w:rsid w:val="00A1427D"/>
    <w:rsid w:val="00A15B43"/>
    <w:rsid w:val="00A235F1"/>
    <w:rsid w:val="00A23F62"/>
    <w:rsid w:val="00A34B00"/>
    <w:rsid w:val="00A3777A"/>
    <w:rsid w:val="00A4728C"/>
    <w:rsid w:val="00A50077"/>
    <w:rsid w:val="00A54CA8"/>
    <w:rsid w:val="00A60196"/>
    <w:rsid w:val="00A6199C"/>
    <w:rsid w:val="00A622AF"/>
    <w:rsid w:val="00A65F4A"/>
    <w:rsid w:val="00A66636"/>
    <w:rsid w:val="00A72ABB"/>
    <w:rsid w:val="00A72F22"/>
    <w:rsid w:val="00A744D7"/>
    <w:rsid w:val="00A748A6"/>
    <w:rsid w:val="00A74A46"/>
    <w:rsid w:val="00A75EC9"/>
    <w:rsid w:val="00A810D4"/>
    <w:rsid w:val="00A83451"/>
    <w:rsid w:val="00A83538"/>
    <w:rsid w:val="00A8523D"/>
    <w:rsid w:val="00A864F0"/>
    <w:rsid w:val="00A879A4"/>
    <w:rsid w:val="00AA1D9A"/>
    <w:rsid w:val="00AA32EB"/>
    <w:rsid w:val="00AB1DA6"/>
    <w:rsid w:val="00AB382F"/>
    <w:rsid w:val="00AB4CF1"/>
    <w:rsid w:val="00AD1151"/>
    <w:rsid w:val="00AD34EE"/>
    <w:rsid w:val="00AD41A0"/>
    <w:rsid w:val="00AD7C88"/>
    <w:rsid w:val="00AE45DE"/>
    <w:rsid w:val="00AF0878"/>
    <w:rsid w:val="00AF2309"/>
    <w:rsid w:val="00AF2F9D"/>
    <w:rsid w:val="00AF6710"/>
    <w:rsid w:val="00B013E6"/>
    <w:rsid w:val="00B04D66"/>
    <w:rsid w:val="00B10C19"/>
    <w:rsid w:val="00B1157C"/>
    <w:rsid w:val="00B1501F"/>
    <w:rsid w:val="00B22971"/>
    <w:rsid w:val="00B26710"/>
    <w:rsid w:val="00B26B3C"/>
    <w:rsid w:val="00B30179"/>
    <w:rsid w:val="00B304E1"/>
    <w:rsid w:val="00B30945"/>
    <w:rsid w:val="00B3317B"/>
    <w:rsid w:val="00B41384"/>
    <w:rsid w:val="00B4398E"/>
    <w:rsid w:val="00B5392B"/>
    <w:rsid w:val="00B666B2"/>
    <w:rsid w:val="00B71E2B"/>
    <w:rsid w:val="00B73DA8"/>
    <w:rsid w:val="00B74F78"/>
    <w:rsid w:val="00B74F7C"/>
    <w:rsid w:val="00B75E05"/>
    <w:rsid w:val="00B81E12"/>
    <w:rsid w:val="00B84AAC"/>
    <w:rsid w:val="00B90F54"/>
    <w:rsid w:val="00B91CC3"/>
    <w:rsid w:val="00B92A0C"/>
    <w:rsid w:val="00B93068"/>
    <w:rsid w:val="00BB176D"/>
    <w:rsid w:val="00BB3B28"/>
    <w:rsid w:val="00BC0164"/>
    <w:rsid w:val="00BC74E9"/>
    <w:rsid w:val="00BD2077"/>
    <w:rsid w:val="00BE1FF8"/>
    <w:rsid w:val="00BE382C"/>
    <w:rsid w:val="00BE50CA"/>
    <w:rsid w:val="00BE618E"/>
    <w:rsid w:val="00BF6DA7"/>
    <w:rsid w:val="00C0263F"/>
    <w:rsid w:val="00C03B44"/>
    <w:rsid w:val="00C05987"/>
    <w:rsid w:val="00C13A85"/>
    <w:rsid w:val="00C17563"/>
    <w:rsid w:val="00C218A4"/>
    <w:rsid w:val="00C31519"/>
    <w:rsid w:val="00C36D37"/>
    <w:rsid w:val="00C463DD"/>
    <w:rsid w:val="00C46D5B"/>
    <w:rsid w:val="00C47B28"/>
    <w:rsid w:val="00C537D5"/>
    <w:rsid w:val="00C62F76"/>
    <w:rsid w:val="00C66D78"/>
    <w:rsid w:val="00C737DA"/>
    <w:rsid w:val="00C745C3"/>
    <w:rsid w:val="00C81212"/>
    <w:rsid w:val="00C84FF1"/>
    <w:rsid w:val="00C910D7"/>
    <w:rsid w:val="00C91180"/>
    <w:rsid w:val="00C93C11"/>
    <w:rsid w:val="00C971F6"/>
    <w:rsid w:val="00CA049C"/>
    <w:rsid w:val="00CA381C"/>
    <w:rsid w:val="00CA74D3"/>
    <w:rsid w:val="00CB2158"/>
    <w:rsid w:val="00CB3CEA"/>
    <w:rsid w:val="00CB6380"/>
    <w:rsid w:val="00CC4CA6"/>
    <w:rsid w:val="00CD0009"/>
    <w:rsid w:val="00CD2CE2"/>
    <w:rsid w:val="00CD30EE"/>
    <w:rsid w:val="00CD3225"/>
    <w:rsid w:val="00CD35E8"/>
    <w:rsid w:val="00CE4083"/>
    <w:rsid w:val="00CE46BA"/>
    <w:rsid w:val="00CE4A8F"/>
    <w:rsid w:val="00CE74ED"/>
    <w:rsid w:val="00CF4FE1"/>
    <w:rsid w:val="00CF6F32"/>
    <w:rsid w:val="00CF778D"/>
    <w:rsid w:val="00D0631B"/>
    <w:rsid w:val="00D06C3A"/>
    <w:rsid w:val="00D1254F"/>
    <w:rsid w:val="00D164BA"/>
    <w:rsid w:val="00D2031B"/>
    <w:rsid w:val="00D25E8C"/>
    <w:rsid w:val="00D25FE2"/>
    <w:rsid w:val="00D27E89"/>
    <w:rsid w:val="00D37E80"/>
    <w:rsid w:val="00D412B6"/>
    <w:rsid w:val="00D43252"/>
    <w:rsid w:val="00D46231"/>
    <w:rsid w:val="00D477C4"/>
    <w:rsid w:val="00D50DF8"/>
    <w:rsid w:val="00D5409C"/>
    <w:rsid w:val="00D54130"/>
    <w:rsid w:val="00D546AF"/>
    <w:rsid w:val="00D57C13"/>
    <w:rsid w:val="00D57FD9"/>
    <w:rsid w:val="00D610C1"/>
    <w:rsid w:val="00D658FA"/>
    <w:rsid w:val="00D730E3"/>
    <w:rsid w:val="00D73803"/>
    <w:rsid w:val="00D753D8"/>
    <w:rsid w:val="00D9274F"/>
    <w:rsid w:val="00D96248"/>
    <w:rsid w:val="00D96CC5"/>
    <w:rsid w:val="00D973B1"/>
    <w:rsid w:val="00D978C6"/>
    <w:rsid w:val="00D97B77"/>
    <w:rsid w:val="00DA1C89"/>
    <w:rsid w:val="00DA38CA"/>
    <w:rsid w:val="00DA6620"/>
    <w:rsid w:val="00DA67AD"/>
    <w:rsid w:val="00DD42A0"/>
    <w:rsid w:val="00DE236F"/>
    <w:rsid w:val="00DE3ECB"/>
    <w:rsid w:val="00DE4785"/>
    <w:rsid w:val="00DE7267"/>
    <w:rsid w:val="00DF0A4D"/>
    <w:rsid w:val="00DF3039"/>
    <w:rsid w:val="00DF3A04"/>
    <w:rsid w:val="00DF4518"/>
    <w:rsid w:val="00DF69A6"/>
    <w:rsid w:val="00E130AB"/>
    <w:rsid w:val="00E1679E"/>
    <w:rsid w:val="00E239A0"/>
    <w:rsid w:val="00E3141C"/>
    <w:rsid w:val="00E34E58"/>
    <w:rsid w:val="00E36838"/>
    <w:rsid w:val="00E36C10"/>
    <w:rsid w:val="00E40B76"/>
    <w:rsid w:val="00E40D7C"/>
    <w:rsid w:val="00E42461"/>
    <w:rsid w:val="00E4443D"/>
    <w:rsid w:val="00E52EB0"/>
    <w:rsid w:val="00E54352"/>
    <w:rsid w:val="00E5644E"/>
    <w:rsid w:val="00E5691C"/>
    <w:rsid w:val="00E56B35"/>
    <w:rsid w:val="00E60903"/>
    <w:rsid w:val="00E61538"/>
    <w:rsid w:val="00E631BA"/>
    <w:rsid w:val="00E63481"/>
    <w:rsid w:val="00E63DE8"/>
    <w:rsid w:val="00E6613A"/>
    <w:rsid w:val="00E7260F"/>
    <w:rsid w:val="00E730D8"/>
    <w:rsid w:val="00E81230"/>
    <w:rsid w:val="00E8535A"/>
    <w:rsid w:val="00E864BE"/>
    <w:rsid w:val="00E90647"/>
    <w:rsid w:val="00E96630"/>
    <w:rsid w:val="00EA0364"/>
    <w:rsid w:val="00EA083A"/>
    <w:rsid w:val="00EA3551"/>
    <w:rsid w:val="00EA48C4"/>
    <w:rsid w:val="00EA772F"/>
    <w:rsid w:val="00EB2AE3"/>
    <w:rsid w:val="00EB4196"/>
    <w:rsid w:val="00EB4C06"/>
    <w:rsid w:val="00EB51D5"/>
    <w:rsid w:val="00EB65EF"/>
    <w:rsid w:val="00EB6832"/>
    <w:rsid w:val="00EB71BA"/>
    <w:rsid w:val="00EB798F"/>
    <w:rsid w:val="00EC14E9"/>
    <w:rsid w:val="00EC1F27"/>
    <w:rsid w:val="00EC271A"/>
    <w:rsid w:val="00EC6BFD"/>
    <w:rsid w:val="00EC755A"/>
    <w:rsid w:val="00ED225F"/>
    <w:rsid w:val="00ED3508"/>
    <w:rsid w:val="00ED3F6F"/>
    <w:rsid w:val="00ED769C"/>
    <w:rsid w:val="00ED7A2A"/>
    <w:rsid w:val="00EE369A"/>
    <w:rsid w:val="00EE4D59"/>
    <w:rsid w:val="00EE6714"/>
    <w:rsid w:val="00EE73C3"/>
    <w:rsid w:val="00EF1D7F"/>
    <w:rsid w:val="00EF4AAC"/>
    <w:rsid w:val="00F01C57"/>
    <w:rsid w:val="00F030CA"/>
    <w:rsid w:val="00F03FA2"/>
    <w:rsid w:val="00F05283"/>
    <w:rsid w:val="00F07537"/>
    <w:rsid w:val="00F07E12"/>
    <w:rsid w:val="00F1200D"/>
    <w:rsid w:val="00F21A22"/>
    <w:rsid w:val="00F257D1"/>
    <w:rsid w:val="00F30A8A"/>
    <w:rsid w:val="00F34267"/>
    <w:rsid w:val="00F3574D"/>
    <w:rsid w:val="00F40295"/>
    <w:rsid w:val="00F40E75"/>
    <w:rsid w:val="00F412D3"/>
    <w:rsid w:val="00F444E3"/>
    <w:rsid w:val="00F5087E"/>
    <w:rsid w:val="00F51BAB"/>
    <w:rsid w:val="00F535BE"/>
    <w:rsid w:val="00F54674"/>
    <w:rsid w:val="00F64C95"/>
    <w:rsid w:val="00F75E96"/>
    <w:rsid w:val="00FA00A0"/>
    <w:rsid w:val="00FA032F"/>
    <w:rsid w:val="00FA3FB7"/>
    <w:rsid w:val="00FB5A37"/>
    <w:rsid w:val="00FB7793"/>
    <w:rsid w:val="00FC18AA"/>
    <w:rsid w:val="00FC1CB5"/>
    <w:rsid w:val="00FC215C"/>
    <w:rsid w:val="00FC68B7"/>
    <w:rsid w:val="00FD3C5D"/>
    <w:rsid w:val="00FD3E70"/>
    <w:rsid w:val="00FD6B2B"/>
    <w:rsid w:val="00FE1080"/>
    <w:rsid w:val="00FE3EEA"/>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81E3B3"/>
  <w15:docId w15:val="{003AA85F-5C3C-4185-A8C3-F213E366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semiHidden/>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005681">
      <w:bodyDiv w:val="1"/>
      <w:marLeft w:val="0"/>
      <w:marRight w:val="0"/>
      <w:marTop w:val="0"/>
      <w:marBottom w:val="0"/>
      <w:divBdr>
        <w:top w:val="none" w:sz="0" w:space="0" w:color="auto"/>
        <w:left w:val="none" w:sz="0" w:space="0" w:color="auto"/>
        <w:bottom w:val="none" w:sz="0" w:space="0" w:color="auto"/>
        <w:right w:val="none" w:sz="0" w:space="0" w:color="auto"/>
      </w:divBdr>
    </w:div>
    <w:div w:id="1338656434">
      <w:bodyDiv w:val="1"/>
      <w:marLeft w:val="0"/>
      <w:marRight w:val="0"/>
      <w:marTop w:val="0"/>
      <w:marBottom w:val="0"/>
      <w:divBdr>
        <w:top w:val="none" w:sz="0" w:space="0" w:color="auto"/>
        <w:left w:val="none" w:sz="0" w:space="0" w:color="auto"/>
        <w:bottom w:val="none" w:sz="0" w:space="0" w:color="auto"/>
        <w:right w:val="none" w:sz="0" w:space="0" w:color="auto"/>
      </w:divBdr>
    </w:div>
    <w:div w:id="146639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04B89-AA3E-43B8-8BCF-1EC22E3B7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27</TotalTime>
  <Pages>4</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55th TDG IME INF on 8(d) Test</vt:lpstr>
    </vt:vector>
  </TitlesOfParts>
  <Company>CSD</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55th TDG IME INF on 8(d) Test</dc:title>
  <dc:creator>N Hsu (IME)</dc:creator>
  <cp:lastModifiedBy>Laurence Berthet</cp:lastModifiedBy>
  <cp:revision>7</cp:revision>
  <cp:lastPrinted>2019-06-14T07:57:00Z</cp:lastPrinted>
  <dcterms:created xsi:type="dcterms:W3CDTF">2019-06-14T06:20:00Z</dcterms:created>
  <dcterms:modified xsi:type="dcterms:W3CDTF">2019-06-14T07:58:00Z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