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1ACB6A9" w14:textId="77777777" w:rsidTr="00F01738">
        <w:trPr>
          <w:trHeight w:hRule="exact" w:val="851"/>
        </w:trPr>
        <w:tc>
          <w:tcPr>
            <w:tcW w:w="1276" w:type="dxa"/>
            <w:tcBorders>
              <w:bottom w:val="single" w:sz="4" w:space="0" w:color="auto"/>
            </w:tcBorders>
          </w:tcPr>
          <w:p w14:paraId="2CE313DD" w14:textId="77777777" w:rsidR="00132EA9" w:rsidRPr="00DB58B5" w:rsidRDefault="00132EA9" w:rsidP="003001A3">
            <w:bookmarkStart w:id="0" w:name="_GoBack"/>
            <w:bookmarkEnd w:id="0"/>
          </w:p>
        </w:tc>
        <w:tc>
          <w:tcPr>
            <w:tcW w:w="2268" w:type="dxa"/>
            <w:tcBorders>
              <w:bottom w:val="single" w:sz="4" w:space="0" w:color="auto"/>
            </w:tcBorders>
            <w:vAlign w:val="bottom"/>
          </w:tcPr>
          <w:p w14:paraId="1E7DCC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0E6104" w14:textId="77777777" w:rsidR="00132EA9" w:rsidRPr="00DB58B5" w:rsidRDefault="003001A3" w:rsidP="003001A3">
            <w:pPr>
              <w:jc w:val="right"/>
            </w:pPr>
            <w:r w:rsidRPr="003001A3">
              <w:rPr>
                <w:sz w:val="40"/>
              </w:rPr>
              <w:t>ST</w:t>
            </w:r>
            <w:r>
              <w:t>/SG/AC.10/C.3/2019/69</w:t>
            </w:r>
          </w:p>
        </w:tc>
      </w:tr>
      <w:tr w:rsidR="00132EA9" w:rsidRPr="00DB58B5" w14:paraId="6C363305" w14:textId="77777777" w:rsidTr="003D43ED">
        <w:trPr>
          <w:trHeight w:val="2736"/>
        </w:trPr>
        <w:tc>
          <w:tcPr>
            <w:tcW w:w="1276" w:type="dxa"/>
            <w:tcBorders>
              <w:top w:val="single" w:sz="4" w:space="0" w:color="auto"/>
              <w:bottom w:val="single" w:sz="12" w:space="0" w:color="auto"/>
            </w:tcBorders>
          </w:tcPr>
          <w:p w14:paraId="69E853EC" w14:textId="77777777" w:rsidR="00132EA9" w:rsidRPr="00DB58B5" w:rsidRDefault="00132EA9" w:rsidP="00F01738">
            <w:pPr>
              <w:spacing w:before="120"/>
              <w:jc w:val="center"/>
            </w:pPr>
            <w:r>
              <w:rPr>
                <w:noProof/>
                <w:lang w:eastAsia="fr-CH"/>
              </w:rPr>
              <w:drawing>
                <wp:inline distT="0" distB="0" distL="0" distR="0" wp14:anchorId="37236B58" wp14:editId="64D9D6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E87F7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26EE64D" w14:textId="77777777" w:rsidR="00132EA9" w:rsidRDefault="003001A3" w:rsidP="00F01738">
            <w:pPr>
              <w:spacing w:before="240"/>
            </w:pPr>
            <w:proofErr w:type="spellStart"/>
            <w:r>
              <w:t>Distr</w:t>
            </w:r>
            <w:proofErr w:type="spellEnd"/>
            <w:r>
              <w:t xml:space="preserve">. </w:t>
            </w:r>
            <w:proofErr w:type="gramStart"/>
            <w:r>
              <w:t>générale</w:t>
            </w:r>
            <w:proofErr w:type="gramEnd"/>
          </w:p>
          <w:p w14:paraId="3385EB4B" w14:textId="77777777" w:rsidR="003001A3" w:rsidRDefault="003001A3" w:rsidP="003001A3">
            <w:pPr>
              <w:spacing w:line="240" w:lineRule="exact"/>
            </w:pPr>
            <w:r>
              <w:t>12 septembre 2019</w:t>
            </w:r>
          </w:p>
          <w:p w14:paraId="33A0757D" w14:textId="77777777" w:rsidR="003001A3" w:rsidRDefault="003001A3" w:rsidP="003001A3">
            <w:pPr>
              <w:spacing w:line="240" w:lineRule="exact"/>
            </w:pPr>
            <w:r>
              <w:t>Français</w:t>
            </w:r>
          </w:p>
          <w:p w14:paraId="2DC7FCB3" w14:textId="77777777" w:rsidR="003001A3" w:rsidRPr="00DB58B5" w:rsidRDefault="003001A3" w:rsidP="003001A3">
            <w:pPr>
              <w:spacing w:line="240" w:lineRule="exact"/>
            </w:pPr>
            <w:r>
              <w:t>Original : anglais</w:t>
            </w:r>
          </w:p>
        </w:tc>
      </w:tr>
    </w:tbl>
    <w:p w14:paraId="76503868" w14:textId="77777777" w:rsidR="00D72125" w:rsidRPr="00CA0680" w:rsidRDefault="00D7212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E90D5B4" w14:textId="77777777" w:rsidR="00D72125" w:rsidRPr="00CA0680" w:rsidRDefault="00D72125" w:rsidP="00E0052A">
      <w:pPr>
        <w:spacing w:before="80"/>
        <w:rPr>
          <w:b/>
        </w:rPr>
      </w:pPr>
      <w:r w:rsidRPr="00CA0680">
        <w:rPr>
          <w:b/>
        </w:rPr>
        <w:t>Sous</w:t>
      </w:r>
      <w:r>
        <w:rPr>
          <w:b/>
        </w:rPr>
        <w:t>-</w:t>
      </w:r>
      <w:r w:rsidRPr="00CA0680">
        <w:rPr>
          <w:b/>
        </w:rPr>
        <w:t>Comité d’experts du transport des marchandises dangereuses</w:t>
      </w:r>
    </w:p>
    <w:p w14:paraId="15635833" w14:textId="77777777" w:rsidR="00E3244C" w:rsidRPr="00B72F6D" w:rsidRDefault="00E3244C" w:rsidP="00E0052A">
      <w:pPr>
        <w:spacing w:before="80"/>
        <w:rPr>
          <w:b/>
          <w:bCs/>
        </w:rPr>
      </w:pPr>
      <w:r>
        <w:rPr>
          <w:b/>
          <w:bCs/>
          <w:lang w:val="fr-FR"/>
        </w:rPr>
        <w:t>Cinquante-sixième session</w:t>
      </w:r>
    </w:p>
    <w:p w14:paraId="1F3B4F1B" w14:textId="77777777" w:rsidR="00E3244C" w:rsidRDefault="00E3244C" w:rsidP="00E3244C">
      <w:r>
        <w:rPr>
          <w:lang w:val="fr-FR"/>
        </w:rPr>
        <w:t>Genève, 2-11 décembre 2019</w:t>
      </w:r>
    </w:p>
    <w:p w14:paraId="41568996" w14:textId="77777777" w:rsidR="00E3244C" w:rsidRPr="00B95B81" w:rsidRDefault="00E3244C" w:rsidP="00E3244C">
      <w:r>
        <w:rPr>
          <w:lang w:val="fr-FR"/>
        </w:rPr>
        <w:t>Point 7 de l’ordre du jour provisoire</w:t>
      </w:r>
    </w:p>
    <w:p w14:paraId="2FE923F9" w14:textId="77777777" w:rsidR="00E3244C" w:rsidRDefault="00E3244C" w:rsidP="00E3244C">
      <w:pPr>
        <w:rPr>
          <w:b/>
          <w:bCs/>
        </w:rPr>
      </w:pPr>
      <w:r>
        <w:rPr>
          <w:b/>
          <w:bCs/>
          <w:lang w:val="fr-FR"/>
        </w:rPr>
        <w:t xml:space="preserve">Harmonisation générale des règlements de transport </w:t>
      </w:r>
      <w:r w:rsidR="00C24560">
        <w:rPr>
          <w:b/>
          <w:bCs/>
          <w:lang w:val="fr-FR"/>
        </w:rPr>
        <w:br/>
      </w:r>
      <w:r>
        <w:rPr>
          <w:b/>
          <w:bCs/>
          <w:lang w:val="fr-FR"/>
        </w:rPr>
        <w:t>des marchandises dangereuses avec le Règlement type</w:t>
      </w:r>
    </w:p>
    <w:p w14:paraId="1E15D130" w14:textId="77777777" w:rsidR="00E3244C" w:rsidRDefault="00E3244C" w:rsidP="003D43ED">
      <w:pPr>
        <w:pStyle w:val="HChG"/>
        <w:spacing w:before="320" w:after="200"/>
      </w:pPr>
      <w:r>
        <w:rPr>
          <w:lang w:val="fr-FR"/>
        </w:rPr>
        <w:tab/>
      </w:r>
      <w:r>
        <w:rPr>
          <w:lang w:val="fr-FR"/>
        </w:rPr>
        <w:tab/>
        <w:t xml:space="preserve">Harmonisation des Règlements RID/ADR/ADN avec la </w:t>
      </w:r>
      <w:r w:rsidR="001C4787">
        <w:rPr>
          <w:lang w:val="fr-FR"/>
        </w:rPr>
        <w:t xml:space="preserve">vingt et unième </w:t>
      </w:r>
      <w:r>
        <w:rPr>
          <w:lang w:val="fr-FR"/>
        </w:rPr>
        <w:t>édition révisée des Recommandations de l’ONU relatives au transport des marchandises dangereuses, Règlement type</w:t>
      </w:r>
    </w:p>
    <w:p w14:paraId="4606EE16" w14:textId="77777777" w:rsidR="00E3244C" w:rsidRDefault="00E3244C" w:rsidP="003D43ED">
      <w:pPr>
        <w:pStyle w:val="H1G"/>
        <w:spacing w:before="320" w:after="200"/>
      </w:pPr>
      <w:r>
        <w:rPr>
          <w:lang w:val="fr-FR"/>
        </w:rPr>
        <w:tab/>
      </w:r>
      <w:r>
        <w:rPr>
          <w:lang w:val="fr-FR"/>
        </w:rPr>
        <w:tab/>
        <w:t>Note du secrétariat</w:t>
      </w:r>
      <w:r w:rsidRPr="00C24560">
        <w:rPr>
          <w:rStyle w:val="FootnoteReference"/>
          <w:b w:val="0"/>
          <w:bCs/>
          <w:sz w:val="20"/>
          <w:vertAlign w:val="baseline"/>
          <w:lang w:val="fr-FR" w:eastAsia="en-GB" w:bidi="en-GB"/>
        </w:rPr>
        <w:footnoteReference w:customMarkFollows="1" w:id="2"/>
        <w:t>*</w:t>
      </w:r>
    </w:p>
    <w:p w14:paraId="12E89F0E" w14:textId="77777777" w:rsidR="00E3244C" w:rsidRPr="00504855" w:rsidRDefault="00E3244C" w:rsidP="003D43ED">
      <w:pPr>
        <w:pStyle w:val="HChG"/>
        <w:spacing w:before="320" w:after="200"/>
      </w:pPr>
      <w:r>
        <w:rPr>
          <w:lang w:val="fr-FR"/>
        </w:rPr>
        <w:tab/>
      </w:r>
      <w:r>
        <w:rPr>
          <w:lang w:val="fr-FR"/>
        </w:rPr>
        <w:tab/>
        <w:t>Introduction</w:t>
      </w:r>
    </w:p>
    <w:p w14:paraId="012AA67E" w14:textId="77777777" w:rsidR="00E3244C" w:rsidRDefault="00E3244C" w:rsidP="00E0052A">
      <w:pPr>
        <w:pStyle w:val="SingleTxtG"/>
        <w:spacing w:after="100" w:line="238" w:lineRule="atLeast"/>
      </w:pPr>
      <w:r>
        <w:rPr>
          <w:lang w:val="fr-FR"/>
        </w:rPr>
        <w:t>1.</w:t>
      </w:r>
      <w:r>
        <w:rPr>
          <w:lang w:val="fr-FR"/>
        </w:rPr>
        <w:tab/>
        <w:t>Le présent document a déjà été soumis en tant que document informel INF.30/Rev.1 à la cinquante-cinquième session du Sous-Comité (1</w:t>
      </w:r>
      <w:r w:rsidR="003D43ED" w:rsidRPr="003D43ED">
        <w:rPr>
          <w:vertAlign w:val="superscript"/>
          <w:lang w:val="fr-FR"/>
        </w:rPr>
        <w:t>er</w:t>
      </w:r>
      <w:r>
        <w:rPr>
          <w:lang w:val="fr-FR"/>
        </w:rPr>
        <w:t>-5 juillet 2019)</w:t>
      </w:r>
      <w:r w:rsidR="003D43ED">
        <w:rPr>
          <w:lang w:val="fr-FR"/>
        </w:rPr>
        <w:t>.</w:t>
      </w:r>
      <w:r>
        <w:rPr>
          <w:lang w:val="fr-FR"/>
        </w:rPr>
        <w:t xml:space="preserve"> Le Sous-Comité avait alors prié le secrétariat de le soumettre, en tant que document de travail, à la session suivante (voir ST/SG/AC.10/C.3/110, pa</w:t>
      </w:r>
      <w:r w:rsidR="00C24560">
        <w:rPr>
          <w:lang w:val="fr-FR"/>
        </w:rPr>
        <w:t>r. </w:t>
      </w:r>
      <w:r>
        <w:rPr>
          <w:lang w:val="fr-FR"/>
        </w:rPr>
        <w:t>95).</w:t>
      </w:r>
    </w:p>
    <w:p w14:paraId="5C41F169" w14:textId="77777777" w:rsidR="00E3244C" w:rsidRPr="003B2607" w:rsidRDefault="00E3244C" w:rsidP="00E0052A">
      <w:pPr>
        <w:pStyle w:val="SingleTxtG"/>
        <w:spacing w:after="100" w:line="238" w:lineRule="atLeast"/>
        <w:rPr>
          <w:spacing w:val="-2"/>
        </w:rPr>
      </w:pPr>
      <w:r>
        <w:rPr>
          <w:lang w:val="fr-FR"/>
        </w:rPr>
        <w:t>2.</w:t>
      </w:r>
      <w:r>
        <w:rPr>
          <w:lang w:val="fr-FR"/>
        </w:rPr>
        <w:tab/>
      </w:r>
      <w:r w:rsidRPr="003B2607">
        <w:rPr>
          <w:spacing w:val="-2"/>
          <w:lang w:val="fr-FR"/>
        </w:rPr>
        <w:t>Le Groupe de travail spécial de l’harmonisation des Règlements RID/ADR/ADN avec les Recommandations de l’ONU relatives au transport des marchandises dangereuses mis en place par la Réunion commune RID/ADR/ADN s’est réuni à Genève les 24 et 25</w:t>
      </w:r>
      <w:r w:rsidR="00C24560" w:rsidRPr="003B2607">
        <w:rPr>
          <w:spacing w:val="-2"/>
          <w:lang w:val="fr-FR"/>
        </w:rPr>
        <w:t> </w:t>
      </w:r>
      <w:r w:rsidRPr="003B2607">
        <w:rPr>
          <w:spacing w:val="-2"/>
          <w:lang w:val="fr-FR"/>
        </w:rPr>
        <w:t>avril 2019. Son rapport et ses propositions d’amendements au RID, à l’ADR et à l’ADN seront présentés à la session d’automne de la Réunion commune (17</w:t>
      </w:r>
      <w:r w:rsidR="00C24560" w:rsidRPr="003B2607">
        <w:rPr>
          <w:spacing w:val="-2"/>
          <w:lang w:val="fr-FR"/>
        </w:rPr>
        <w:t>-</w:t>
      </w:r>
      <w:r w:rsidRPr="003B2607">
        <w:rPr>
          <w:spacing w:val="-2"/>
          <w:lang w:val="fr-FR"/>
        </w:rPr>
        <w:t>27 septembre 2019) sous les cotes ECE/TRANS/WP.15/AC.1/2019/22 et ECE/TRANS/WP.15/AC.1/</w:t>
      </w:r>
      <w:r w:rsidR="00591962" w:rsidRPr="003B2607">
        <w:rPr>
          <w:spacing w:val="-2"/>
          <w:lang w:val="fr-FR"/>
        </w:rPr>
        <w:t xml:space="preserve"> </w:t>
      </w:r>
      <w:r w:rsidRPr="003B2607">
        <w:rPr>
          <w:spacing w:val="-2"/>
          <w:lang w:val="fr-FR"/>
        </w:rPr>
        <w:t>2019/22/Add.1.</w:t>
      </w:r>
    </w:p>
    <w:p w14:paraId="68D7277A" w14:textId="77777777" w:rsidR="00E3244C" w:rsidRPr="000A4F3B" w:rsidRDefault="00E3244C" w:rsidP="00E0052A">
      <w:pPr>
        <w:pStyle w:val="SingleTxtG"/>
        <w:spacing w:after="100" w:line="238" w:lineRule="atLeast"/>
      </w:pPr>
      <w:r>
        <w:rPr>
          <w:lang w:val="fr-FR"/>
        </w:rPr>
        <w:t>3.</w:t>
      </w:r>
      <w:r>
        <w:rPr>
          <w:lang w:val="fr-FR"/>
        </w:rPr>
        <w:tab/>
        <w:t>Le Groupe de travail spécial a soulevé certaines questions et a demandé au secrétariat de les porter à l’attention du Sous-Comité.</w:t>
      </w:r>
    </w:p>
    <w:p w14:paraId="211272ED" w14:textId="77777777" w:rsidR="00E3244C" w:rsidRPr="000A4F3B" w:rsidRDefault="00E3244C" w:rsidP="00E0052A">
      <w:pPr>
        <w:pStyle w:val="SingleTxtG"/>
        <w:spacing w:after="100" w:line="238" w:lineRule="atLeast"/>
      </w:pPr>
      <w:r>
        <w:rPr>
          <w:lang w:val="fr-FR"/>
        </w:rPr>
        <w:t>4.</w:t>
      </w:r>
      <w:r>
        <w:rPr>
          <w:lang w:val="fr-FR"/>
        </w:rPr>
        <w:tab/>
        <w:t>Le Sous-Comité voudra bien examiner les questions soulevées aux paragraphes 14 à 17, 19, 20, 35, 36, 43, 45, 61, 63 et 64 du rapport du Groupe de travail spécial de la Réunion commune RID/ADR/ADN, dont le texte est présenté ci-après, assorti d’informations complémentaires ou d’</w:t>
      </w:r>
      <w:r w:rsidRPr="00CD2871">
        <w:rPr>
          <w:lang w:val="fr-FR"/>
        </w:rPr>
        <w:t>observations</w:t>
      </w:r>
      <w:r>
        <w:rPr>
          <w:lang w:val="fr-FR"/>
        </w:rPr>
        <w:t>, qui figurent en italiques.</w:t>
      </w:r>
    </w:p>
    <w:p w14:paraId="5BCFAE62" w14:textId="77777777" w:rsidR="00E3244C" w:rsidRDefault="00E3244C" w:rsidP="00E0052A">
      <w:pPr>
        <w:pStyle w:val="SingleTxtG"/>
        <w:spacing w:after="100" w:line="238" w:lineRule="atLeast"/>
        <w:rPr>
          <w:lang w:val="fr-FR"/>
        </w:rPr>
      </w:pPr>
      <w:r>
        <w:rPr>
          <w:lang w:val="fr-FR"/>
        </w:rPr>
        <w:t>5.</w:t>
      </w:r>
      <w:r>
        <w:rPr>
          <w:lang w:val="fr-FR"/>
        </w:rPr>
        <w:tab/>
        <w:t xml:space="preserve">Le Sous-Comité voudra bien également examiner les propositions de corrections à la </w:t>
      </w:r>
      <w:r w:rsidR="007C3658">
        <w:rPr>
          <w:lang w:val="fr-FR"/>
        </w:rPr>
        <w:t>vingt</w:t>
      </w:r>
      <w:r w:rsidR="001424AB">
        <w:rPr>
          <w:lang w:val="fr-FR"/>
        </w:rPr>
        <w:t xml:space="preserve"> </w:t>
      </w:r>
      <w:r w:rsidR="007C3658">
        <w:rPr>
          <w:lang w:val="fr-FR"/>
        </w:rPr>
        <w:t>et</w:t>
      </w:r>
      <w:r w:rsidR="001424AB">
        <w:rPr>
          <w:lang w:val="fr-FR"/>
        </w:rPr>
        <w:t xml:space="preserve"> </w:t>
      </w:r>
      <w:r w:rsidR="007C3658">
        <w:rPr>
          <w:lang w:val="fr-FR"/>
        </w:rPr>
        <w:t xml:space="preserve">unième </w:t>
      </w:r>
      <w:r>
        <w:rPr>
          <w:lang w:val="fr-FR"/>
        </w:rPr>
        <w:t xml:space="preserve">édition révisée des Recommandations de l’ONU relatives au transport des </w:t>
      </w:r>
      <w:r>
        <w:rPr>
          <w:lang w:val="fr-FR"/>
        </w:rPr>
        <w:lastRenderedPageBreak/>
        <w:t>marchandises dangereuses (</w:t>
      </w:r>
      <w:r w:rsidR="003B2607">
        <w:rPr>
          <w:lang w:val="fr-FR"/>
        </w:rPr>
        <w:t>a</w:t>
      </w:r>
      <w:r>
        <w:rPr>
          <w:lang w:val="fr-FR"/>
        </w:rPr>
        <w:t>nnexes I et II). Les corrections à apporter à l’</w:t>
      </w:r>
      <w:r w:rsidR="003B2607">
        <w:rPr>
          <w:lang w:val="fr-FR"/>
        </w:rPr>
        <w:t>a</w:t>
      </w:r>
      <w:r>
        <w:rPr>
          <w:lang w:val="fr-FR"/>
        </w:rPr>
        <w:t>nnexe</w:t>
      </w:r>
      <w:r w:rsidR="003B2607">
        <w:rPr>
          <w:lang w:val="fr-FR"/>
        </w:rPr>
        <w:t> </w:t>
      </w:r>
      <w:r>
        <w:rPr>
          <w:lang w:val="fr-FR"/>
        </w:rPr>
        <w:t>II ne s’appliquent qu’au texte en français.</w:t>
      </w:r>
    </w:p>
    <w:p w14:paraId="4961DFF6" w14:textId="77777777" w:rsidR="00E3244C" w:rsidRPr="000A4F3B" w:rsidRDefault="00E3244C" w:rsidP="008036B8">
      <w:pPr>
        <w:pStyle w:val="HChG"/>
      </w:pPr>
      <w:r>
        <w:rPr>
          <w:lang w:val="fr-FR"/>
        </w:rPr>
        <w:tab/>
      </w:r>
      <w:r>
        <w:rPr>
          <w:lang w:val="fr-FR"/>
        </w:rPr>
        <w:tab/>
        <w:t xml:space="preserve">Extrait du rapport du Groupe de travail spécial </w:t>
      </w:r>
      <w:r w:rsidR="008036B8">
        <w:rPr>
          <w:lang w:val="fr-FR"/>
        </w:rPr>
        <w:br/>
      </w:r>
      <w:r>
        <w:rPr>
          <w:lang w:val="fr-FR"/>
        </w:rPr>
        <w:t xml:space="preserve">de </w:t>
      </w:r>
      <w:r w:rsidRPr="0037303E">
        <w:rPr>
          <w:lang w:val="fr-FR"/>
        </w:rPr>
        <w:t>l</w:t>
      </w:r>
      <w:r>
        <w:rPr>
          <w:lang w:val="fr-FR"/>
        </w:rPr>
        <w:t>’</w:t>
      </w:r>
      <w:r w:rsidRPr="0037303E">
        <w:rPr>
          <w:lang w:val="fr-FR"/>
        </w:rPr>
        <w:t xml:space="preserve">harmonisation des Règlements RID/ADR/ADN </w:t>
      </w:r>
      <w:r w:rsidR="008036B8">
        <w:rPr>
          <w:lang w:val="fr-FR"/>
        </w:rPr>
        <w:br/>
      </w:r>
      <w:r w:rsidRPr="0037303E">
        <w:rPr>
          <w:lang w:val="fr-FR"/>
        </w:rPr>
        <w:t>avec les Recommandations de l</w:t>
      </w:r>
      <w:r>
        <w:rPr>
          <w:lang w:val="fr-FR"/>
        </w:rPr>
        <w:t>’</w:t>
      </w:r>
      <w:r w:rsidRPr="0037303E">
        <w:rPr>
          <w:lang w:val="fr-FR"/>
        </w:rPr>
        <w:t xml:space="preserve">ONU relatives au transport des marchandises dangereuses mis en place par </w:t>
      </w:r>
      <w:r>
        <w:rPr>
          <w:lang w:val="fr-FR"/>
        </w:rPr>
        <w:t>la Réunion conjointe RID/ADR/ADN</w:t>
      </w:r>
    </w:p>
    <w:p w14:paraId="4AD9AB98" w14:textId="77777777" w:rsidR="00E3244C" w:rsidRPr="000A4F3B" w:rsidRDefault="00E3244C" w:rsidP="004802A3">
      <w:pPr>
        <w:pStyle w:val="H1G"/>
      </w:pPr>
      <w:r>
        <w:rPr>
          <w:lang w:val="fr-FR"/>
        </w:rPr>
        <w:tab/>
      </w:r>
      <w:r>
        <w:rPr>
          <w:lang w:val="fr-FR"/>
        </w:rPr>
        <w:tab/>
        <w:t>Utilisation de l’expression «</w:t>
      </w:r>
      <w:r w:rsidR="004802A3">
        <w:rPr>
          <w:lang w:val="fr-FR"/>
        </w:rPr>
        <w:t> </w:t>
      </w:r>
      <w:r>
        <w:rPr>
          <w:lang w:val="fr-FR"/>
        </w:rPr>
        <w:t>à l’exception du matériel animal</w:t>
      </w:r>
      <w:r w:rsidR="004802A3">
        <w:rPr>
          <w:lang w:val="fr-FR"/>
        </w:rPr>
        <w:t> </w:t>
      </w:r>
      <w:r>
        <w:rPr>
          <w:lang w:val="fr-FR"/>
        </w:rPr>
        <w:t xml:space="preserve">» </w:t>
      </w:r>
      <w:r w:rsidR="004802A3">
        <w:rPr>
          <w:lang w:val="fr-FR"/>
        </w:rPr>
        <w:br/>
      </w:r>
      <w:r>
        <w:rPr>
          <w:lang w:val="fr-FR"/>
        </w:rPr>
        <w:t xml:space="preserve">dans le tableau 1.10.3.1.2 </w:t>
      </w:r>
    </w:p>
    <w:p w14:paraId="1B98CE26" w14:textId="77777777" w:rsidR="00E3244C" w:rsidRPr="000A4F3B" w:rsidRDefault="00E3244C" w:rsidP="004802A3">
      <w:pPr>
        <w:pStyle w:val="H23G"/>
      </w:pPr>
      <w:r>
        <w:rPr>
          <w:lang w:val="fr-FR"/>
        </w:rPr>
        <w:tab/>
      </w:r>
      <w:r>
        <w:rPr>
          <w:lang w:val="fr-FR"/>
        </w:rPr>
        <w:tab/>
        <w:t>Paragraphes 14 à 16 du document ECE/TRANS/WP.15/AC.1/2019/22</w:t>
      </w:r>
    </w:p>
    <w:p w14:paraId="502938CF" w14:textId="77777777" w:rsidR="00E3244C" w:rsidRPr="000A4F3B" w:rsidRDefault="00E3244C" w:rsidP="00E3244C">
      <w:pPr>
        <w:pStyle w:val="SingleTxtG"/>
      </w:pPr>
      <w:r>
        <w:rPr>
          <w:lang w:val="fr-FR"/>
        </w:rPr>
        <w:t>«</w:t>
      </w:r>
      <w:r w:rsidR="004802A3">
        <w:rPr>
          <w:lang w:val="fr-FR"/>
        </w:rPr>
        <w:t> </w:t>
      </w:r>
      <w:r>
        <w:rPr>
          <w:lang w:val="fr-FR"/>
        </w:rPr>
        <w:t>14.</w:t>
      </w:r>
      <w:r>
        <w:rPr>
          <w:lang w:val="fr-FR"/>
        </w:rPr>
        <w:tab/>
        <w:t xml:space="preserve">La représentante de l’Allemagne a indiqué que si le </w:t>
      </w:r>
      <w:r w:rsidR="004802A3">
        <w:rPr>
          <w:lang w:val="fr-FR"/>
        </w:rPr>
        <w:t>“</w:t>
      </w:r>
      <w:r>
        <w:rPr>
          <w:lang w:val="fr-FR"/>
        </w:rPr>
        <w:t>matériel animal</w:t>
      </w:r>
      <w:r w:rsidR="004802A3">
        <w:rPr>
          <w:lang w:val="fr-FR"/>
        </w:rPr>
        <w:t>”</w:t>
      </w:r>
      <w:r>
        <w:rPr>
          <w:lang w:val="fr-FR"/>
        </w:rPr>
        <w:t xml:space="preserve"> était autrefois transporté en cultures et était donc classé par défaut comme matière infectieuse de la catégorie A, ce n’était plus le cas. Elle a fait observer que, de nos jours, une grande partie du </w:t>
      </w:r>
      <w:r w:rsidR="004802A3">
        <w:rPr>
          <w:lang w:val="fr-FR"/>
        </w:rPr>
        <w:t xml:space="preserve">“matériel animal” </w:t>
      </w:r>
      <w:r>
        <w:rPr>
          <w:lang w:val="fr-FR"/>
        </w:rPr>
        <w:t xml:space="preserve">satisfaisait aux critères de classement dans la catégorie B. </w:t>
      </w:r>
    </w:p>
    <w:p w14:paraId="58752F18" w14:textId="77777777" w:rsidR="00E3244C" w:rsidRPr="000A4F3B" w:rsidRDefault="00E3244C" w:rsidP="00E3244C">
      <w:pPr>
        <w:pStyle w:val="SingleTxtG"/>
      </w:pPr>
      <w:r>
        <w:rPr>
          <w:lang w:val="fr-FR"/>
        </w:rPr>
        <w:t>15.</w:t>
      </w:r>
      <w:r>
        <w:rPr>
          <w:lang w:val="fr-FR"/>
        </w:rPr>
        <w:tab/>
        <w:t>Il a également été souligné que le matériel animal relevant de la catégorie A ne bénéficiait pas d’une exemption en sa qualité de marchandise dangereuse à haut risque au titre du tableau 1.4.1, présenté au chapitre 1.4 du Règlement type. Le Groupe de travail a estimé que cette incohérence entre le Règlement type et le RID, l’ADR et l’ADN devait être portée à l’attention du Sous-Comité TMD et a invité ce dernier à examiner comment résoudre ce problème (soit en incluant le matériel animal de la catégorie A dans la liste des marchandises dangereuses à haut risque pour tous les modes de transport, soit en le supprimant).</w:t>
      </w:r>
    </w:p>
    <w:p w14:paraId="229C9A04" w14:textId="77777777" w:rsidR="00E3244C" w:rsidRPr="000A4F3B" w:rsidRDefault="00E3244C" w:rsidP="00E3244C">
      <w:pPr>
        <w:pStyle w:val="SingleTxtG"/>
      </w:pPr>
      <w:r>
        <w:rPr>
          <w:lang w:val="fr-FR"/>
        </w:rPr>
        <w:t>16.</w:t>
      </w:r>
      <w:r>
        <w:rPr>
          <w:lang w:val="fr-FR"/>
        </w:rPr>
        <w:tab/>
        <w:t>Le Groupe de travail a décidé de laisser le texte entre crochets en attendant que le Sous-Comité TMD donne son avis sur cette question.</w:t>
      </w:r>
      <w:r w:rsidR="00AC3918">
        <w:rPr>
          <w:lang w:val="fr-FR"/>
        </w:rPr>
        <w:t> </w:t>
      </w:r>
      <w:r>
        <w:rPr>
          <w:lang w:val="fr-FR"/>
        </w:rPr>
        <w:t>»</w:t>
      </w:r>
      <w:r w:rsidR="00AC3918">
        <w:rPr>
          <w:lang w:val="fr-FR"/>
        </w:rPr>
        <w:t>.</w:t>
      </w:r>
    </w:p>
    <w:p w14:paraId="6CCD4D50" w14:textId="77777777" w:rsidR="00E3244C" w:rsidRPr="000A4F3B" w:rsidRDefault="00E3244C" w:rsidP="00E3244C">
      <w:pPr>
        <w:pStyle w:val="SingleTxtG"/>
        <w:rPr>
          <w:i/>
          <w:iCs/>
        </w:rPr>
      </w:pPr>
      <w:r>
        <w:rPr>
          <w:i/>
          <w:iCs/>
          <w:lang w:val="fr-FR"/>
        </w:rPr>
        <w:t>Le tableau 1.10.3.1.2 correspond au tableau 1.4.1 du Règlement type.</w:t>
      </w:r>
    </w:p>
    <w:p w14:paraId="1B1BE94E" w14:textId="77777777" w:rsidR="00E3244C" w:rsidRPr="000A4F3B" w:rsidRDefault="00E3244C" w:rsidP="00AC3918">
      <w:pPr>
        <w:pStyle w:val="H1G"/>
      </w:pPr>
      <w:r>
        <w:rPr>
          <w:lang w:val="fr-FR"/>
        </w:rPr>
        <w:tab/>
      </w:r>
      <w:r>
        <w:rPr>
          <w:lang w:val="fr-FR"/>
        </w:rPr>
        <w:tab/>
        <w:t>Affectation des artifices de divertissement au No</w:t>
      </w:r>
      <w:r w:rsidR="00AC3918">
        <w:rPr>
          <w:lang w:val="fr-FR"/>
        </w:rPr>
        <w:t> </w:t>
      </w:r>
      <w:r>
        <w:rPr>
          <w:lang w:val="fr-FR"/>
        </w:rPr>
        <w:t>ONU 0431</w:t>
      </w:r>
    </w:p>
    <w:p w14:paraId="18D216E7" w14:textId="77777777" w:rsidR="00E3244C" w:rsidRPr="000A4F3B" w:rsidRDefault="00E3244C" w:rsidP="00AC3918">
      <w:pPr>
        <w:pStyle w:val="H23G"/>
      </w:pPr>
      <w:r>
        <w:rPr>
          <w:lang w:val="fr-FR"/>
        </w:rPr>
        <w:tab/>
      </w:r>
      <w:r>
        <w:rPr>
          <w:lang w:val="fr-FR"/>
        </w:rPr>
        <w:tab/>
        <w:t xml:space="preserve">Paragraphe 17 </w:t>
      </w:r>
      <w:r w:rsidRPr="0037303E">
        <w:rPr>
          <w:lang w:val="fr-FR"/>
        </w:rPr>
        <w:t>du document</w:t>
      </w:r>
      <w:r w:rsidRPr="0037303E" w:rsidDel="0037303E">
        <w:rPr>
          <w:lang w:val="fr-FR"/>
        </w:rPr>
        <w:t xml:space="preserve"> </w:t>
      </w:r>
      <w:r>
        <w:rPr>
          <w:lang w:val="fr-FR"/>
        </w:rPr>
        <w:t>ECE/TRANS/WP.15/AC.1/2019/22</w:t>
      </w:r>
    </w:p>
    <w:p w14:paraId="4EC54CEC" w14:textId="77777777" w:rsidR="00E3244C" w:rsidRPr="000A4F3B" w:rsidRDefault="00E3244C" w:rsidP="00E3244C">
      <w:pPr>
        <w:pStyle w:val="SingleTxtG"/>
      </w:pPr>
      <w:r>
        <w:rPr>
          <w:lang w:val="fr-FR"/>
        </w:rPr>
        <w:t>«</w:t>
      </w:r>
      <w:r w:rsidR="00AC3918">
        <w:rPr>
          <w:lang w:val="fr-FR"/>
        </w:rPr>
        <w:t> </w:t>
      </w:r>
      <w:r>
        <w:rPr>
          <w:lang w:val="fr-FR"/>
        </w:rPr>
        <w:t>17.</w:t>
      </w:r>
      <w:r>
        <w:rPr>
          <w:lang w:val="fr-FR"/>
        </w:rPr>
        <w:tab/>
        <w:t>Le Groupe de travail a estimé que le texte méritait des éclaircissements supplémentaires et a proposé quelques modifications d’ordre rédactionnel, lesquelles ont été placées entre crochets, étant entendu qu’elles seraient transmises au Sous-Comité TMD pour examen.</w:t>
      </w:r>
      <w:r w:rsidR="00AC3918">
        <w:rPr>
          <w:lang w:val="fr-FR"/>
        </w:rPr>
        <w:t> </w:t>
      </w:r>
      <w:r>
        <w:rPr>
          <w:lang w:val="fr-FR"/>
        </w:rPr>
        <w:t>»</w:t>
      </w:r>
      <w:r w:rsidR="00AC3918">
        <w:rPr>
          <w:lang w:val="fr-FR"/>
        </w:rPr>
        <w:t>.</w:t>
      </w:r>
    </w:p>
    <w:p w14:paraId="0224CBA3" w14:textId="77777777" w:rsidR="00E3244C" w:rsidRPr="000A4F3B" w:rsidRDefault="00E3244C" w:rsidP="00E3244C">
      <w:pPr>
        <w:pStyle w:val="SingleTxtG"/>
        <w:rPr>
          <w:i/>
          <w:iCs/>
        </w:rPr>
      </w:pPr>
      <w:r>
        <w:rPr>
          <w:i/>
          <w:iCs/>
          <w:lang w:val="fr-FR"/>
        </w:rPr>
        <w:t>Voir la proposition de correction à l’annexe I (2.1.3.5.2).</w:t>
      </w:r>
      <w:r>
        <w:rPr>
          <w:lang w:val="fr-FR"/>
        </w:rPr>
        <w:t xml:space="preserve"> </w:t>
      </w:r>
    </w:p>
    <w:p w14:paraId="58A4CDC8" w14:textId="77777777" w:rsidR="00E3244C" w:rsidRPr="000A4F3B" w:rsidRDefault="00E3244C" w:rsidP="00AC3918">
      <w:pPr>
        <w:pStyle w:val="H1G"/>
      </w:pPr>
      <w:r>
        <w:rPr>
          <w:lang w:val="fr-FR"/>
        </w:rPr>
        <w:tab/>
      </w:r>
      <w:r>
        <w:rPr>
          <w:lang w:val="fr-FR"/>
        </w:rPr>
        <w:tab/>
        <w:t>Déchets médicaux ou déchets d’hôpital (2.2.62.1.11.1)</w:t>
      </w:r>
    </w:p>
    <w:p w14:paraId="457759E2" w14:textId="77777777" w:rsidR="00E3244C" w:rsidRPr="000A4F3B" w:rsidRDefault="00E3244C" w:rsidP="00AC3918">
      <w:pPr>
        <w:pStyle w:val="H23G"/>
      </w:pPr>
      <w:r>
        <w:rPr>
          <w:lang w:val="fr-FR"/>
        </w:rPr>
        <w:tab/>
      </w:r>
      <w:r>
        <w:rPr>
          <w:lang w:val="fr-FR"/>
        </w:rPr>
        <w:tab/>
        <w:t xml:space="preserve">Paragraphes 19 et 20 </w:t>
      </w:r>
      <w:r w:rsidRPr="0037303E">
        <w:rPr>
          <w:lang w:val="fr-FR"/>
        </w:rPr>
        <w:t>du document</w:t>
      </w:r>
      <w:r w:rsidRPr="0037303E" w:rsidDel="0037303E">
        <w:rPr>
          <w:lang w:val="fr-FR"/>
        </w:rPr>
        <w:t xml:space="preserve"> </w:t>
      </w:r>
      <w:r>
        <w:rPr>
          <w:lang w:val="fr-FR"/>
        </w:rPr>
        <w:t>ECE/TRANS/WP.15/AC.1/2019/22</w:t>
      </w:r>
    </w:p>
    <w:p w14:paraId="0EC016FC" w14:textId="77777777" w:rsidR="00E3244C" w:rsidRPr="000A4F3B" w:rsidRDefault="00E3244C" w:rsidP="00E3244C">
      <w:pPr>
        <w:pStyle w:val="SingleTxtG"/>
      </w:pPr>
      <w:r>
        <w:rPr>
          <w:lang w:val="fr-FR"/>
        </w:rPr>
        <w:t>«</w:t>
      </w:r>
      <w:r w:rsidR="00AC3918">
        <w:rPr>
          <w:lang w:val="fr-FR"/>
        </w:rPr>
        <w:t> </w:t>
      </w:r>
      <w:r>
        <w:rPr>
          <w:lang w:val="fr-FR"/>
        </w:rPr>
        <w:t>19.</w:t>
      </w:r>
      <w:r>
        <w:rPr>
          <w:lang w:val="fr-FR"/>
        </w:rPr>
        <w:tab/>
        <w:t xml:space="preserve">Notant que le texte en minuscules ne faisait pas partie de la désignation officielle de transport, le Groupe de travail est convenu que l’expression </w:t>
      </w:r>
      <w:r w:rsidR="00AC3918">
        <w:rPr>
          <w:lang w:val="fr-FR"/>
        </w:rPr>
        <w:t>“</w:t>
      </w:r>
      <w:r>
        <w:rPr>
          <w:lang w:val="fr-FR"/>
        </w:rPr>
        <w:t>désignation officielle de transport</w:t>
      </w:r>
      <w:r w:rsidR="00AC3918">
        <w:rPr>
          <w:lang w:val="fr-FR"/>
        </w:rPr>
        <w:t>”</w:t>
      </w:r>
      <w:r>
        <w:rPr>
          <w:lang w:val="fr-FR"/>
        </w:rPr>
        <w:t xml:space="preserve"> devait être remplacée par </w:t>
      </w:r>
      <w:r w:rsidR="00AC3918">
        <w:rPr>
          <w:lang w:val="fr-FR"/>
        </w:rPr>
        <w:t>“</w:t>
      </w:r>
      <w:r>
        <w:rPr>
          <w:lang w:val="fr-FR"/>
        </w:rPr>
        <w:t>nom</w:t>
      </w:r>
      <w:r w:rsidR="00AC3918">
        <w:rPr>
          <w:lang w:val="fr-FR"/>
        </w:rPr>
        <w:t xml:space="preserve">” </w:t>
      </w:r>
      <w:r>
        <w:rPr>
          <w:lang w:val="fr-FR"/>
        </w:rPr>
        <w:t>au début du nouveau nota 1 sous le paragraphe</w:t>
      </w:r>
      <w:r w:rsidR="00AC3918">
        <w:rPr>
          <w:lang w:val="fr-FR"/>
        </w:rPr>
        <w:t> </w:t>
      </w:r>
      <w:r>
        <w:rPr>
          <w:lang w:val="fr-FR"/>
        </w:rPr>
        <w:t>2.2.62.1.11.1. Il a été noté que la même modification s’appliquait au nota 1 du 2.2.62.1.4.1 et au nota du 2.2.62.1.4.2.</w:t>
      </w:r>
    </w:p>
    <w:p w14:paraId="7A3E79E4" w14:textId="77777777" w:rsidR="00E3244C" w:rsidRPr="000A4F3B" w:rsidRDefault="00E3244C" w:rsidP="00E3244C">
      <w:pPr>
        <w:pStyle w:val="SingleTxtG"/>
      </w:pPr>
      <w:r>
        <w:rPr>
          <w:lang w:val="fr-FR"/>
        </w:rPr>
        <w:t>20.</w:t>
      </w:r>
      <w:r>
        <w:rPr>
          <w:lang w:val="fr-FR"/>
        </w:rPr>
        <w:tab/>
        <w:t>Ces modifications étant également pertinentes pour le Règlement type, il a été décidé de les porter à l’attention du Sous-Comité TMD.</w:t>
      </w:r>
      <w:r w:rsidR="001625F9">
        <w:rPr>
          <w:lang w:val="fr-FR"/>
        </w:rPr>
        <w:t> </w:t>
      </w:r>
      <w:r>
        <w:rPr>
          <w:lang w:val="fr-FR"/>
        </w:rPr>
        <w:t>»</w:t>
      </w:r>
      <w:r w:rsidR="001625F9">
        <w:rPr>
          <w:lang w:val="fr-FR"/>
        </w:rPr>
        <w:t>.</w:t>
      </w:r>
    </w:p>
    <w:p w14:paraId="49D71072" w14:textId="77777777" w:rsidR="00E3244C" w:rsidRPr="000A4F3B" w:rsidRDefault="00E3244C" w:rsidP="00E3244C">
      <w:pPr>
        <w:pStyle w:val="SingleTxtG"/>
        <w:rPr>
          <w:i/>
          <w:iCs/>
        </w:rPr>
      </w:pPr>
      <w:r>
        <w:rPr>
          <w:i/>
          <w:iCs/>
          <w:lang w:val="fr-FR"/>
        </w:rPr>
        <w:t xml:space="preserve">Pour le Règlement type, cela ne s’applique qu’au </w:t>
      </w:r>
      <w:r w:rsidR="00E0052A">
        <w:rPr>
          <w:i/>
          <w:iCs/>
          <w:lang w:val="fr-FR"/>
        </w:rPr>
        <w:t>n</w:t>
      </w:r>
      <w:r>
        <w:rPr>
          <w:i/>
          <w:iCs/>
          <w:lang w:val="fr-FR"/>
        </w:rPr>
        <w:t>ota 1 figurant après l’alinéa</w:t>
      </w:r>
      <w:r w:rsidR="001625F9">
        <w:rPr>
          <w:i/>
          <w:iCs/>
          <w:lang w:val="fr-FR"/>
        </w:rPr>
        <w:t> </w:t>
      </w:r>
      <w:r>
        <w:rPr>
          <w:i/>
          <w:iCs/>
          <w:lang w:val="fr-FR"/>
        </w:rPr>
        <w:t>b) du</w:t>
      </w:r>
      <w:r w:rsidR="001625F9">
        <w:rPr>
          <w:i/>
          <w:iCs/>
          <w:lang w:val="fr-FR"/>
        </w:rPr>
        <w:t> </w:t>
      </w:r>
      <w:r>
        <w:rPr>
          <w:i/>
          <w:iCs/>
          <w:lang w:val="fr-FR"/>
        </w:rPr>
        <w:t>2.6.3.2.2.1 pour le No ONU 2900.</w:t>
      </w:r>
      <w:r>
        <w:rPr>
          <w:lang w:val="fr-FR"/>
        </w:rPr>
        <w:t xml:space="preserve"> </w:t>
      </w:r>
      <w:r>
        <w:rPr>
          <w:i/>
          <w:iCs/>
          <w:lang w:val="fr-FR"/>
        </w:rPr>
        <w:t>Voir la proposition de correction à l’annexe I.</w:t>
      </w:r>
      <w:r>
        <w:rPr>
          <w:lang w:val="fr-FR"/>
        </w:rPr>
        <w:t xml:space="preserve"> </w:t>
      </w:r>
    </w:p>
    <w:p w14:paraId="5A9EBF8D" w14:textId="77777777" w:rsidR="00E3244C" w:rsidRPr="000A4F3B" w:rsidRDefault="00E3244C" w:rsidP="00564983">
      <w:pPr>
        <w:pStyle w:val="H1G"/>
      </w:pPr>
      <w:r>
        <w:rPr>
          <w:lang w:val="fr-FR"/>
        </w:rPr>
        <w:lastRenderedPageBreak/>
        <w:tab/>
      </w:r>
      <w:r>
        <w:rPr>
          <w:lang w:val="fr-FR"/>
        </w:rPr>
        <w:tab/>
        <w:t xml:space="preserve">Nom technique </w:t>
      </w:r>
      <w:proofErr w:type="spellStart"/>
      <w:r>
        <w:rPr>
          <w:lang w:val="fr-FR"/>
        </w:rPr>
        <w:t>des</w:t>
      </w:r>
      <w:proofErr w:type="spellEnd"/>
      <w:r>
        <w:rPr>
          <w:lang w:val="fr-FR"/>
        </w:rPr>
        <w:t xml:space="preserve"> Nos ONU 3077 et 3082 </w:t>
      </w:r>
      <w:r w:rsidR="00F71FF8">
        <w:rPr>
          <w:lang w:val="fr-FR"/>
        </w:rPr>
        <w:br/>
      </w:r>
      <w:r>
        <w:rPr>
          <w:lang w:val="fr-FR"/>
        </w:rPr>
        <w:t>dans le paragraphe 3.1.2.8.1.4</w:t>
      </w:r>
    </w:p>
    <w:p w14:paraId="172771C5" w14:textId="77777777" w:rsidR="00E3244C" w:rsidRPr="000A4F3B" w:rsidRDefault="00E3244C" w:rsidP="00564983">
      <w:pPr>
        <w:pStyle w:val="H23G"/>
      </w:pPr>
      <w:r>
        <w:rPr>
          <w:lang w:val="fr-FR"/>
        </w:rPr>
        <w:tab/>
      </w:r>
      <w:r>
        <w:rPr>
          <w:lang w:val="fr-FR"/>
        </w:rPr>
        <w:tab/>
        <w:t xml:space="preserve">Paragraphe 35 </w:t>
      </w:r>
      <w:r w:rsidRPr="0037303E">
        <w:rPr>
          <w:lang w:val="fr-FR"/>
        </w:rPr>
        <w:t>du document</w:t>
      </w:r>
      <w:r w:rsidRPr="0037303E" w:rsidDel="0037303E">
        <w:rPr>
          <w:lang w:val="fr-FR"/>
        </w:rPr>
        <w:t xml:space="preserve"> </w:t>
      </w:r>
      <w:r>
        <w:rPr>
          <w:lang w:val="fr-FR"/>
        </w:rPr>
        <w:t>ECE/TRANS/WP.15/AC.1/2019/22</w:t>
      </w:r>
    </w:p>
    <w:p w14:paraId="5F445B78" w14:textId="77777777" w:rsidR="00E3244C" w:rsidRPr="000A4F3B" w:rsidRDefault="00E3244C" w:rsidP="00E3244C">
      <w:pPr>
        <w:pStyle w:val="SingleTxtG"/>
      </w:pPr>
      <w:r>
        <w:rPr>
          <w:lang w:val="fr-FR"/>
        </w:rPr>
        <w:t>«</w:t>
      </w:r>
      <w:r w:rsidR="00F71FF8">
        <w:rPr>
          <w:lang w:val="fr-FR"/>
        </w:rPr>
        <w:t> </w:t>
      </w:r>
      <w:r>
        <w:rPr>
          <w:lang w:val="fr-FR"/>
        </w:rPr>
        <w:t>35.</w:t>
      </w:r>
      <w:r>
        <w:rPr>
          <w:lang w:val="fr-FR"/>
        </w:rPr>
        <w:tab/>
        <w:t>Le Groupe de travail a estimé que le libellé du paragraphe 3.1.2.8.1.4 pouvait être encore amélioré et proposé quelques modifications d’ordre rédactionnel qui devraient être soumises au Sous-Comité TMD pour examen. Dans l’intervalle, les amendements proposés ont été mis entre crochets.</w:t>
      </w:r>
      <w:r w:rsidR="00F71FF8">
        <w:rPr>
          <w:lang w:val="fr-FR"/>
        </w:rPr>
        <w:t> </w:t>
      </w:r>
      <w:r>
        <w:rPr>
          <w:lang w:val="fr-FR"/>
        </w:rPr>
        <w:t>»</w:t>
      </w:r>
      <w:r w:rsidR="00F71FF8">
        <w:rPr>
          <w:lang w:val="fr-FR"/>
        </w:rPr>
        <w:t>.</w:t>
      </w:r>
    </w:p>
    <w:p w14:paraId="5C7600AE" w14:textId="77777777" w:rsidR="00E3244C" w:rsidRPr="000A4F3B" w:rsidRDefault="00E3244C" w:rsidP="00E3244C">
      <w:pPr>
        <w:pStyle w:val="SingleTxtG"/>
        <w:rPr>
          <w:i/>
          <w:iCs/>
        </w:rPr>
      </w:pPr>
      <w:r>
        <w:rPr>
          <w:i/>
          <w:iCs/>
          <w:lang w:val="fr-FR"/>
        </w:rPr>
        <w:t>Correspond à la disposition spéciale 274 du Règlement type.</w:t>
      </w:r>
      <w:r>
        <w:rPr>
          <w:lang w:val="fr-FR"/>
        </w:rPr>
        <w:t xml:space="preserve"> </w:t>
      </w:r>
      <w:r>
        <w:rPr>
          <w:i/>
          <w:iCs/>
          <w:lang w:val="fr-FR"/>
        </w:rPr>
        <w:t>Voir la proposition de correction à l’annexe I.</w:t>
      </w:r>
      <w:r>
        <w:rPr>
          <w:lang w:val="fr-FR"/>
        </w:rPr>
        <w:t xml:space="preserve"> </w:t>
      </w:r>
    </w:p>
    <w:p w14:paraId="3604F73E" w14:textId="77777777" w:rsidR="00E3244C" w:rsidRPr="000A4F3B" w:rsidRDefault="00E3244C" w:rsidP="00F71FF8">
      <w:pPr>
        <w:pStyle w:val="H1G"/>
      </w:pPr>
      <w:r>
        <w:rPr>
          <w:lang w:val="fr-FR"/>
        </w:rPr>
        <w:tab/>
      </w:r>
      <w:r>
        <w:rPr>
          <w:lang w:val="fr-FR"/>
        </w:rPr>
        <w:tab/>
        <w:t>Chapitre 3.3, dispositions spéciales 360 et 388</w:t>
      </w:r>
    </w:p>
    <w:p w14:paraId="778DCBCE" w14:textId="77777777" w:rsidR="00E3244C" w:rsidRPr="000A4F3B" w:rsidRDefault="00E3244C" w:rsidP="00F71FF8">
      <w:pPr>
        <w:pStyle w:val="H23G"/>
      </w:pPr>
      <w:r>
        <w:rPr>
          <w:lang w:val="fr-FR"/>
        </w:rPr>
        <w:tab/>
      </w:r>
      <w:r>
        <w:rPr>
          <w:lang w:val="fr-FR"/>
        </w:rPr>
        <w:tab/>
        <w:t xml:space="preserve">Paragraphe 36 </w:t>
      </w:r>
      <w:r w:rsidRPr="005B5F8A">
        <w:rPr>
          <w:lang w:val="fr-FR"/>
        </w:rPr>
        <w:t>du document</w:t>
      </w:r>
      <w:r w:rsidRPr="005B5F8A" w:rsidDel="005B5F8A">
        <w:rPr>
          <w:lang w:val="fr-FR"/>
        </w:rPr>
        <w:t xml:space="preserve"> </w:t>
      </w:r>
      <w:r>
        <w:rPr>
          <w:lang w:val="fr-FR"/>
        </w:rPr>
        <w:t>ECE/TRANS/WP.15/AC.1/2019/22</w:t>
      </w:r>
    </w:p>
    <w:p w14:paraId="15D08637" w14:textId="77777777" w:rsidR="00E3244C" w:rsidRDefault="00E3244C" w:rsidP="00E3244C">
      <w:pPr>
        <w:pStyle w:val="SingleTxtG"/>
      </w:pPr>
      <w:r>
        <w:t>«</w:t>
      </w:r>
      <w:r w:rsidR="00F71FF8">
        <w:t> </w:t>
      </w:r>
      <w:r>
        <w:rPr>
          <w:lang w:val="fr-FR"/>
        </w:rPr>
        <w:t>36.</w:t>
      </w:r>
      <w:r>
        <w:rPr>
          <w:lang w:val="fr-FR"/>
        </w:rPr>
        <w:tab/>
        <w:t>Le Groupe de travail a décidé de placer la désignation officielle de transport du No ONU</w:t>
      </w:r>
      <w:r w:rsidR="00F71FF8">
        <w:rPr>
          <w:lang w:val="fr-FR"/>
        </w:rPr>
        <w:t> </w:t>
      </w:r>
      <w:r>
        <w:rPr>
          <w:lang w:val="fr-FR"/>
        </w:rPr>
        <w:t>3536 entre crochets dans les dispositions spéciales 360 et 388 dans l’attente d’une décision du Sous-Comité TMD concernant le document ST/SG/AC.10/C.3/2019/8.</w:t>
      </w:r>
      <w:r w:rsidR="00F71FF8">
        <w:rPr>
          <w:lang w:val="fr-FR"/>
        </w:rPr>
        <w:t> </w:t>
      </w:r>
      <w:r>
        <w:rPr>
          <w:lang w:val="fr-FR"/>
        </w:rPr>
        <w:t>».</w:t>
      </w:r>
    </w:p>
    <w:p w14:paraId="7BB9A080" w14:textId="77777777" w:rsidR="00E3244C" w:rsidRPr="00C63374" w:rsidRDefault="00E3244C" w:rsidP="00E3244C">
      <w:pPr>
        <w:pStyle w:val="SingleTxtG"/>
        <w:rPr>
          <w:i/>
          <w:iCs/>
        </w:rPr>
      </w:pPr>
      <w:r>
        <w:rPr>
          <w:i/>
          <w:iCs/>
          <w:lang w:val="fr-FR"/>
        </w:rPr>
        <w:t>À la cinquante-cinquième session, le Sous-Comité a décidé de reprendre l’examen de cette question à sa session suivante.</w:t>
      </w:r>
      <w:r>
        <w:rPr>
          <w:lang w:val="fr-FR"/>
        </w:rPr>
        <w:t xml:space="preserve"> </w:t>
      </w:r>
    </w:p>
    <w:p w14:paraId="1B4F5B5E" w14:textId="77777777" w:rsidR="00E3244C" w:rsidRPr="000A4F3B" w:rsidRDefault="00E3244C" w:rsidP="00F71FF8">
      <w:pPr>
        <w:pStyle w:val="H1G"/>
      </w:pPr>
      <w:r>
        <w:rPr>
          <w:lang w:val="fr-FR"/>
        </w:rPr>
        <w:tab/>
      </w:r>
      <w:r>
        <w:rPr>
          <w:lang w:val="fr-FR"/>
        </w:rPr>
        <w:tab/>
        <w:t>Chapitre 4.1, instruction d’emballage P622</w:t>
      </w:r>
    </w:p>
    <w:p w14:paraId="4E70EB35" w14:textId="77777777" w:rsidR="00E3244C" w:rsidRPr="000A4F3B" w:rsidRDefault="00E3244C" w:rsidP="00F71FF8">
      <w:pPr>
        <w:pStyle w:val="H23G"/>
      </w:pPr>
      <w:r>
        <w:rPr>
          <w:lang w:val="fr-FR"/>
        </w:rPr>
        <w:tab/>
      </w:r>
      <w:r>
        <w:rPr>
          <w:lang w:val="fr-FR"/>
        </w:rPr>
        <w:tab/>
        <w:t xml:space="preserve">Paragraphe 43 </w:t>
      </w:r>
      <w:r w:rsidRPr="0037303E">
        <w:rPr>
          <w:lang w:val="fr-FR"/>
        </w:rPr>
        <w:t>du document</w:t>
      </w:r>
      <w:r w:rsidRPr="0037303E" w:rsidDel="0037303E">
        <w:rPr>
          <w:lang w:val="fr-FR"/>
        </w:rPr>
        <w:t xml:space="preserve"> </w:t>
      </w:r>
      <w:r>
        <w:rPr>
          <w:lang w:val="fr-FR"/>
        </w:rPr>
        <w:t>ECE/TRANS/WP.15/AC.1/2019/22</w:t>
      </w:r>
    </w:p>
    <w:p w14:paraId="5CFC23B9" w14:textId="77777777" w:rsidR="00E3244C" w:rsidRPr="000A4F3B" w:rsidRDefault="00E3244C" w:rsidP="00E3244C">
      <w:pPr>
        <w:pStyle w:val="SingleTxtG"/>
      </w:pPr>
      <w:r>
        <w:rPr>
          <w:lang w:val="fr-FR"/>
        </w:rPr>
        <w:t>«</w:t>
      </w:r>
      <w:r w:rsidR="00F71FF8">
        <w:rPr>
          <w:lang w:val="fr-FR"/>
        </w:rPr>
        <w:t> </w:t>
      </w:r>
      <w:r>
        <w:rPr>
          <w:lang w:val="fr-FR"/>
        </w:rPr>
        <w:t>43.</w:t>
      </w:r>
      <w:r>
        <w:rPr>
          <w:lang w:val="fr-FR"/>
        </w:rPr>
        <w:tab/>
        <w:t>Le Groupe de travail a proposé d’apporter une correction d’ordre rédactionnel à la disposition supplémentaire 1 et a décidé de porter cette modification à l’attention du Sous</w:t>
      </w:r>
      <w:r w:rsidR="00F71FF8">
        <w:rPr>
          <w:lang w:val="fr-FR"/>
        </w:rPr>
        <w:noBreakHyphen/>
      </w:r>
      <w:r>
        <w:rPr>
          <w:lang w:val="fr-FR"/>
        </w:rPr>
        <w:t>Comité TMD.</w:t>
      </w:r>
      <w:r w:rsidR="00F71FF8">
        <w:rPr>
          <w:lang w:val="fr-FR"/>
        </w:rPr>
        <w:t> </w:t>
      </w:r>
      <w:r>
        <w:rPr>
          <w:lang w:val="fr-FR"/>
        </w:rPr>
        <w:t>»</w:t>
      </w:r>
      <w:r w:rsidR="00F71FF8">
        <w:rPr>
          <w:lang w:val="fr-FR"/>
        </w:rPr>
        <w:t>.</w:t>
      </w:r>
    </w:p>
    <w:p w14:paraId="4FF35762" w14:textId="77777777" w:rsidR="00E3244C" w:rsidRPr="000A4F3B" w:rsidRDefault="00E3244C" w:rsidP="00E3244C">
      <w:pPr>
        <w:pStyle w:val="SingleTxtG"/>
        <w:rPr>
          <w:i/>
          <w:iCs/>
        </w:rPr>
      </w:pPr>
      <w:r>
        <w:rPr>
          <w:i/>
          <w:iCs/>
          <w:lang w:val="fr-FR"/>
        </w:rPr>
        <w:t>Voir la proposition de correction à l’annexe I.</w:t>
      </w:r>
      <w:r>
        <w:rPr>
          <w:lang w:val="fr-FR"/>
        </w:rPr>
        <w:t xml:space="preserve"> </w:t>
      </w:r>
    </w:p>
    <w:p w14:paraId="456C2903" w14:textId="77777777" w:rsidR="00E3244C" w:rsidRPr="000A4F3B" w:rsidRDefault="00E3244C" w:rsidP="00F71FF8">
      <w:pPr>
        <w:pStyle w:val="H1G"/>
      </w:pPr>
      <w:r>
        <w:rPr>
          <w:lang w:val="fr-FR"/>
        </w:rPr>
        <w:tab/>
      </w:r>
      <w:r>
        <w:rPr>
          <w:lang w:val="fr-FR"/>
        </w:rPr>
        <w:tab/>
        <w:t>Chapitre 4.1, instruction d’emballage P801</w:t>
      </w:r>
    </w:p>
    <w:p w14:paraId="616E2CD5" w14:textId="77777777" w:rsidR="00E3244C" w:rsidRPr="000A4F3B" w:rsidRDefault="00E3244C" w:rsidP="00F71FF8">
      <w:pPr>
        <w:pStyle w:val="H23G"/>
      </w:pPr>
      <w:r>
        <w:rPr>
          <w:lang w:val="fr-FR"/>
        </w:rPr>
        <w:tab/>
      </w:r>
      <w:r>
        <w:rPr>
          <w:lang w:val="fr-FR"/>
        </w:rPr>
        <w:tab/>
        <w:t xml:space="preserve">Paragraphe 45 </w:t>
      </w:r>
      <w:r w:rsidRPr="0037303E">
        <w:rPr>
          <w:lang w:val="fr-FR"/>
        </w:rPr>
        <w:t>du document</w:t>
      </w:r>
      <w:r w:rsidRPr="0037303E" w:rsidDel="0037303E">
        <w:rPr>
          <w:lang w:val="fr-FR"/>
        </w:rPr>
        <w:t xml:space="preserve"> </w:t>
      </w:r>
      <w:r>
        <w:rPr>
          <w:lang w:val="fr-FR"/>
        </w:rPr>
        <w:t>ECE/TRANS/WP.15/AC.1/2019/22</w:t>
      </w:r>
    </w:p>
    <w:p w14:paraId="5ABAD1ED" w14:textId="77777777" w:rsidR="00E3244C" w:rsidRPr="000A4F3B" w:rsidRDefault="00E3244C" w:rsidP="00E3244C">
      <w:pPr>
        <w:pStyle w:val="SingleTxtG"/>
      </w:pPr>
      <w:r>
        <w:rPr>
          <w:lang w:val="fr-FR"/>
        </w:rPr>
        <w:t>«</w:t>
      </w:r>
      <w:r w:rsidR="00F71FF8">
        <w:rPr>
          <w:lang w:val="fr-FR"/>
        </w:rPr>
        <w:t> </w:t>
      </w:r>
      <w:r>
        <w:rPr>
          <w:lang w:val="fr-FR"/>
        </w:rPr>
        <w:t>45.</w:t>
      </w:r>
      <w:r>
        <w:rPr>
          <w:lang w:val="fr-FR"/>
        </w:rPr>
        <w:tab/>
        <w:t>En outre, le Groupe de travail a adopté certaines corrections d’ordre rédactionnel apportées aux alinéas</w:t>
      </w:r>
      <w:r w:rsidR="00F71FF8">
        <w:rPr>
          <w:lang w:val="fr-FR"/>
        </w:rPr>
        <w:t> </w:t>
      </w:r>
      <w:r>
        <w:rPr>
          <w:lang w:val="fr-FR"/>
        </w:rPr>
        <w:t>a) et c) du paragraphe 2), qui ont été placées entre crochets, étant entendu qu’elles seraient portées à l’attention du Sous-Comité TMD.</w:t>
      </w:r>
      <w:r w:rsidR="00F71FF8">
        <w:rPr>
          <w:lang w:val="fr-FR"/>
        </w:rPr>
        <w:t> </w:t>
      </w:r>
      <w:r>
        <w:rPr>
          <w:lang w:val="fr-FR"/>
        </w:rPr>
        <w:t>»</w:t>
      </w:r>
      <w:r w:rsidR="00F71FF8">
        <w:rPr>
          <w:lang w:val="fr-FR"/>
        </w:rPr>
        <w:t>.</w:t>
      </w:r>
    </w:p>
    <w:p w14:paraId="4C14562D" w14:textId="77777777" w:rsidR="00E3244C" w:rsidRPr="000A4F3B" w:rsidRDefault="00E3244C" w:rsidP="00E3244C">
      <w:pPr>
        <w:pStyle w:val="SingleTxtG"/>
        <w:rPr>
          <w:i/>
          <w:iCs/>
        </w:rPr>
      </w:pPr>
      <w:r>
        <w:rPr>
          <w:i/>
          <w:iCs/>
          <w:lang w:val="fr-FR"/>
        </w:rPr>
        <w:t>Voir la proposition de correction à l’annexe I.</w:t>
      </w:r>
      <w:r>
        <w:rPr>
          <w:lang w:val="fr-FR"/>
        </w:rPr>
        <w:t xml:space="preserve"> </w:t>
      </w:r>
    </w:p>
    <w:p w14:paraId="433AD776" w14:textId="77777777" w:rsidR="00E3244C" w:rsidRPr="003823A8" w:rsidRDefault="00E3244C" w:rsidP="00F71FF8">
      <w:pPr>
        <w:pStyle w:val="H1G"/>
      </w:pPr>
      <w:r>
        <w:rPr>
          <w:lang w:val="fr-FR"/>
        </w:rPr>
        <w:tab/>
      </w:r>
      <w:r>
        <w:rPr>
          <w:lang w:val="fr-FR"/>
        </w:rPr>
        <w:tab/>
        <w:t>Renvoi à l’expression «</w:t>
      </w:r>
      <w:r w:rsidR="00C15800">
        <w:rPr>
          <w:lang w:val="fr-FR"/>
        </w:rPr>
        <w:t> </w:t>
      </w:r>
      <w:r>
        <w:rPr>
          <w:lang w:val="fr-FR"/>
        </w:rPr>
        <w:t>marque “UN” du modèle type du fabricant</w:t>
      </w:r>
      <w:r w:rsidR="00C15800">
        <w:rPr>
          <w:lang w:val="fr-FR"/>
        </w:rPr>
        <w:t> </w:t>
      </w:r>
      <w:r>
        <w:rPr>
          <w:lang w:val="fr-FR"/>
        </w:rPr>
        <w:t>»</w:t>
      </w:r>
      <w:r w:rsidR="00C15800">
        <w:rPr>
          <w:lang w:val="fr-FR"/>
        </w:rPr>
        <w:br/>
      </w:r>
      <w:r>
        <w:rPr>
          <w:lang w:val="fr-FR"/>
        </w:rPr>
        <w:t>à l’alinéa e) du 6.1.3.1 et utilisation du terme «</w:t>
      </w:r>
      <w:r w:rsidR="00C15800">
        <w:rPr>
          <w:lang w:val="fr-FR"/>
        </w:rPr>
        <w:t> </w:t>
      </w:r>
      <w:r>
        <w:rPr>
          <w:lang w:val="fr-FR"/>
        </w:rPr>
        <w:t>doit</w:t>
      </w:r>
      <w:r w:rsidR="00C15800">
        <w:rPr>
          <w:lang w:val="fr-FR"/>
        </w:rPr>
        <w:t> </w:t>
      </w:r>
      <w:r>
        <w:rPr>
          <w:lang w:val="fr-FR"/>
        </w:rPr>
        <w:t>» aux 6.1.3.14, 6.5.2.1.3 et 6.6.3.3</w:t>
      </w:r>
    </w:p>
    <w:p w14:paraId="43689EE9" w14:textId="77777777" w:rsidR="00E3244C" w:rsidRPr="000A4F3B" w:rsidRDefault="00E3244C" w:rsidP="00C15800">
      <w:pPr>
        <w:pStyle w:val="H23G"/>
      </w:pPr>
      <w:r>
        <w:rPr>
          <w:lang w:val="fr-FR"/>
        </w:rPr>
        <w:tab/>
      </w:r>
      <w:r>
        <w:rPr>
          <w:lang w:val="fr-FR"/>
        </w:rPr>
        <w:tab/>
        <w:t xml:space="preserve">Paragraphe 61 </w:t>
      </w:r>
      <w:r w:rsidRPr="0037303E">
        <w:rPr>
          <w:lang w:val="fr-FR"/>
        </w:rPr>
        <w:t>du document</w:t>
      </w:r>
      <w:r w:rsidRPr="0037303E" w:rsidDel="0037303E">
        <w:rPr>
          <w:lang w:val="fr-FR"/>
        </w:rPr>
        <w:t xml:space="preserve"> </w:t>
      </w:r>
      <w:r>
        <w:rPr>
          <w:lang w:val="fr-FR"/>
        </w:rPr>
        <w:t>ECE/TRANS/WP.15/AC.1/2019/22</w:t>
      </w:r>
    </w:p>
    <w:p w14:paraId="1FA530B4" w14:textId="77777777" w:rsidR="00E3244C" w:rsidRDefault="00E3244C" w:rsidP="00E3244C">
      <w:pPr>
        <w:pStyle w:val="SingleTxtG"/>
      </w:pPr>
      <w:r>
        <w:rPr>
          <w:lang w:val="fr-FR"/>
        </w:rPr>
        <w:t>«</w:t>
      </w:r>
      <w:r w:rsidR="00C15800">
        <w:rPr>
          <w:lang w:val="fr-FR"/>
        </w:rPr>
        <w:t> </w:t>
      </w:r>
      <w:r>
        <w:rPr>
          <w:lang w:val="fr-FR"/>
        </w:rPr>
        <w:t>61.</w:t>
      </w:r>
      <w:r>
        <w:rPr>
          <w:lang w:val="fr-FR"/>
        </w:rPr>
        <w:tab/>
        <w:t xml:space="preserve">Le Groupe de travail a estimé que l’expression </w:t>
      </w:r>
      <w:r w:rsidR="00C15800">
        <w:rPr>
          <w:lang w:val="fr-FR"/>
        </w:rPr>
        <w:t>“</w:t>
      </w:r>
      <w:r>
        <w:rPr>
          <w:lang w:val="fr-FR"/>
        </w:rPr>
        <w:t>marque d’homologation de type</w:t>
      </w:r>
      <w:r w:rsidR="00C15800">
        <w:rPr>
          <w:lang w:val="fr-FR"/>
        </w:rPr>
        <w:t>”</w:t>
      </w:r>
      <w:r>
        <w:rPr>
          <w:lang w:val="fr-FR"/>
        </w:rPr>
        <w:t xml:space="preserve"> devait remplacer la </w:t>
      </w:r>
      <w:r w:rsidR="00C15800">
        <w:rPr>
          <w:lang w:val="fr-FR"/>
        </w:rPr>
        <w:t>“</w:t>
      </w:r>
      <w:r>
        <w:rPr>
          <w:lang w:val="fr-FR"/>
        </w:rPr>
        <w:t xml:space="preserve">marque </w:t>
      </w:r>
      <w:r w:rsidR="00C15800">
        <w:rPr>
          <w:lang w:val="fr-FR"/>
        </w:rPr>
        <w:t>‘</w:t>
      </w:r>
      <w:r>
        <w:rPr>
          <w:lang w:val="fr-FR"/>
        </w:rPr>
        <w:t>UN</w:t>
      </w:r>
      <w:r w:rsidR="00D976E1">
        <w:rPr>
          <w:lang w:val="fr-FR"/>
        </w:rPr>
        <w:t xml:space="preserve">’ </w:t>
      </w:r>
      <w:r>
        <w:rPr>
          <w:lang w:val="fr-FR"/>
        </w:rPr>
        <w:t>du modèle type du fabricant</w:t>
      </w:r>
      <w:r w:rsidR="00C15800">
        <w:rPr>
          <w:lang w:val="fr-FR"/>
        </w:rPr>
        <w:t>”</w:t>
      </w:r>
      <w:r>
        <w:rPr>
          <w:lang w:val="fr-FR"/>
        </w:rPr>
        <w:t xml:space="preserve"> à l’alinéa</w:t>
      </w:r>
      <w:r w:rsidR="00D976E1">
        <w:rPr>
          <w:lang w:val="fr-FR"/>
        </w:rPr>
        <w:t> </w:t>
      </w:r>
      <w:r>
        <w:rPr>
          <w:lang w:val="fr-FR"/>
        </w:rPr>
        <w:t>e) du paragraphe</w:t>
      </w:r>
      <w:r w:rsidR="00D976E1">
        <w:rPr>
          <w:lang w:val="fr-FR"/>
        </w:rPr>
        <w:t> </w:t>
      </w:r>
      <w:r>
        <w:rPr>
          <w:lang w:val="fr-FR"/>
        </w:rPr>
        <w:t xml:space="preserve">6.1.3.1 et que </w:t>
      </w:r>
      <w:r w:rsidR="00D976E1">
        <w:rPr>
          <w:lang w:val="fr-FR"/>
        </w:rPr>
        <w:t>“</w:t>
      </w:r>
      <w:r>
        <w:rPr>
          <w:lang w:val="fr-FR"/>
        </w:rPr>
        <w:t>must</w:t>
      </w:r>
      <w:r w:rsidR="00D976E1">
        <w:rPr>
          <w:lang w:val="fr-FR"/>
        </w:rPr>
        <w:t>”</w:t>
      </w:r>
      <w:r>
        <w:rPr>
          <w:lang w:val="fr-FR"/>
        </w:rPr>
        <w:t xml:space="preserve"> devait être remplacé par </w:t>
      </w:r>
      <w:r w:rsidR="00D976E1">
        <w:rPr>
          <w:lang w:val="fr-FR"/>
        </w:rPr>
        <w:t>“</w:t>
      </w:r>
      <w:proofErr w:type="spellStart"/>
      <w:r>
        <w:rPr>
          <w:lang w:val="fr-FR"/>
        </w:rPr>
        <w:t>shall</w:t>
      </w:r>
      <w:proofErr w:type="spellEnd"/>
      <w:r w:rsidR="00D976E1">
        <w:rPr>
          <w:lang w:val="fr-FR"/>
        </w:rPr>
        <w:t>”</w:t>
      </w:r>
      <w:r>
        <w:rPr>
          <w:lang w:val="fr-FR"/>
        </w:rPr>
        <w:t xml:space="preserve"> dans la version anglaise des paragraphes</w:t>
      </w:r>
      <w:r w:rsidR="00D976E1">
        <w:rPr>
          <w:lang w:val="fr-FR"/>
        </w:rPr>
        <w:t> </w:t>
      </w:r>
      <w:r>
        <w:rPr>
          <w:lang w:val="fr-FR"/>
        </w:rPr>
        <w:t>6.1.3.14, 6.5.2.1.3 et 6.6.3.3. Il a été convenu de porter ces modifications à l’attention du Comité TMD.</w:t>
      </w:r>
      <w:r w:rsidR="00D976E1">
        <w:rPr>
          <w:lang w:val="fr-FR"/>
        </w:rPr>
        <w:t> </w:t>
      </w:r>
      <w:r>
        <w:rPr>
          <w:lang w:val="fr-FR"/>
        </w:rPr>
        <w:t>»</w:t>
      </w:r>
      <w:r w:rsidR="00D976E1">
        <w:rPr>
          <w:lang w:val="fr-FR"/>
        </w:rPr>
        <w:t>.</w:t>
      </w:r>
    </w:p>
    <w:p w14:paraId="1F4A3DFD" w14:textId="77777777" w:rsidR="00E3244C" w:rsidRDefault="00E3244C" w:rsidP="00E3244C">
      <w:pPr>
        <w:pStyle w:val="SingleTxtG"/>
        <w:rPr>
          <w:i/>
          <w:iCs/>
        </w:rPr>
      </w:pPr>
      <w:r>
        <w:rPr>
          <w:i/>
          <w:iCs/>
          <w:lang w:val="fr-FR"/>
        </w:rPr>
        <w:t>La dernière modification s’applique au nouveau paragraphe</w:t>
      </w:r>
      <w:r w:rsidR="00D976E1">
        <w:rPr>
          <w:i/>
          <w:iCs/>
          <w:lang w:val="fr-FR"/>
        </w:rPr>
        <w:t> </w:t>
      </w:r>
      <w:r>
        <w:rPr>
          <w:i/>
          <w:iCs/>
          <w:lang w:val="fr-FR"/>
        </w:rPr>
        <w:t>6.6.3.4, et non au paragraphe</w:t>
      </w:r>
      <w:r w:rsidR="00D976E1">
        <w:rPr>
          <w:i/>
          <w:iCs/>
          <w:lang w:val="fr-FR"/>
        </w:rPr>
        <w:t> </w:t>
      </w:r>
      <w:r>
        <w:rPr>
          <w:i/>
          <w:iCs/>
          <w:lang w:val="fr-FR"/>
        </w:rPr>
        <w:t>6.6.3.3.</w:t>
      </w:r>
      <w:r>
        <w:rPr>
          <w:lang w:val="fr-FR"/>
        </w:rPr>
        <w:t xml:space="preserve"> </w:t>
      </w:r>
      <w:r>
        <w:rPr>
          <w:i/>
          <w:iCs/>
          <w:lang w:val="fr-FR"/>
        </w:rPr>
        <w:t>Il est également proposé de modifier le texte de la première phrase de l’alinéa</w:t>
      </w:r>
      <w:r w:rsidR="00D976E1">
        <w:rPr>
          <w:i/>
          <w:iCs/>
          <w:lang w:val="fr-FR"/>
        </w:rPr>
        <w:t> </w:t>
      </w:r>
      <w:r>
        <w:rPr>
          <w:i/>
          <w:iCs/>
          <w:lang w:val="fr-FR"/>
        </w:rPr>
        <w:t>e) du 6.1.3.1 à des fins de clarification.</w:t>
      </w:r>
      <w:r>
        <w:rPr>
          <w:lang w:val="fr-FR"/>
        </w:rPr>
        <w:t xml:space="preserve"> </w:t>
      </w:r>
      <w:r>
        <w:rPr>
          <w:i/>
          <w:iCs/>
          <w:lang w:val="fr-FR"/>
        </w:rPr>
        <w:t>Voir les propositions de corrections à l’annexe I.</w:t>
      </w:r>
      <w:r>
        <w:rPr>
          <w:lang w:val="fr-FR"/>
        </w:rPr>
        <w:t xml:space="preserve"> </w:t>
      </w:r>
    </w:p>
    <w:p w14:paraId="7E38C928" w14:textId="77777777" w:rsidR="00E3244C" w:rsidRDefault="00E3244C" w:rsidP="00285795">
      <w:pPr>
        <w:pStyle w:val="H1G"/>
      </w:pPr>
      <w:bookmarkStart w:id="1" w:name="_Hlk10815334"/>
      <w:r>
        <w:rPr>
          <w:lang w:val="fr-FR"/>
        </w:rPr>
        <w:lastRenderedPageBreak/>
        <w:tab/>
      </w:r>
      <w:r>
        <w:rPr>
          <w:lang w:val="fr-FR"/>
        </w:rPr>
        <w:tab/>
        <w:t>Nouveau libellé des paragraphes 6.7.2.19.6, 6.7.3.15.6 et 6.7.4.14.6</w:t>
      </w:r>
    </w:p>
    <w:p w14:paraId="6389F0DA" w14:textId="77777777" w:rsidR="00E3244C" w:rsidRPr="000A4F3B" w:rsidRDefault="00E3244C" w:rsidP="00285795">
      <w:pPr>
        <w:pStyle w:val="H23G"/>
      </w:pPr>
      <w:r>
        <w:rPr>
          <w:lang w:val="fr-FR"/>
        </w:rPr>
        <w:tab/>
      </w:r>
      <w:r>
        <w:rPr>
          <w:lang w:val="fr-FR"/>
        </w:rPr>
        <w:tab/>
        <w:t xml:space="preserve">Paragraphes 63 et 64 </w:t>
      </w:r>
      <w:r w:rsidRPr="0037303E">
        <w:rPr>
          <w:lang w:val="fr-FR"/>
        </w:rPr>
        <w:t>du document</w:t>
      </w:r>
      <w:r w:rsidRPr="0037303E" w:rsidDel="0037303E">
        <w:rPr>
          <w:lang w:val="fr-FR"/>
        </w:rPr>
        <w:t xml:space="preserve"> </w:t>
      </w:r>
      <w:r>
        <w:rPr>
          <w:lang w:val="fr-FR"/>
        </w:rPr>
        <w:t>ECE/TRANS/WP.15/AC.1/2019/22</w:t>
      </w:r>
    </w:p>
    <w:p w14:paraId="3DE9B5A2" w14:textId="77777777" w:rsidR="00E3244C" w:rsidRDefault="00E3244C" w:rsidP="00E3244C">
      <w:pPr>
        <w:pStyle w:val="SingleTxtG"/>
      </w:pPr>
      <w:r>
        <w:rPr>
          <w:lang w:val="fr-FR"/>
        </w:rPr>
        <w:t>«</w:t>
      </w:r>
      <w:r w:rsidR="00285795">
        <w:rPr>
          <w:lang w:val="fr-FR"/>
        </w:rPr>
        <w:t> </w:t>
      </w:r>
      <w:r>
        <w:rPr>
          <w:lang w:val="fr-FR"/>
        </w:rPr>
        <w:t>63.</w:t>
      </w:r>
      <w:r>
        <w:rPr>
          <w:lang w:val="fr-FR"/>
        </w:rPr>
        <w:tab/>
        <w:t>Le Groupe de travail a décidé que les paragraphes 6.7.2.19.6, 6.7.3.15.6 et 6.7.4.14.6 deviendraient respectivement les paragraphes 6.7.2.19.6.1, 6.7.3.15.6.1 et 6.7.4.14.6.1 et que le nouveau libellé proposé serait incorporé dans les nouveaux paragraphes 6.7.2.19.6.2, 6.7.3.15.6.2 et 6.7.4.14.6.2, de sorte à rendre les renvois plus clairs.</w:t>
      </w:r>
    </w:p>
    <w:p w14:paraId="49E9EAE8" w14:textId="77777777" w:rsidR="00E3244C" w:rsidRPr="000A4F3B" w:rsidRDefault="00E3244C" w:rsidP="00E3244C">
      <w:pPr>
        <w:pStyle w:val="SingleTxtG"/>
        <w:rPr>
          <w:b/>
          <w:sz w:val="28"/>
        </w:rPr>
      </w:pPr>
      <w:bookmarkStart w:id="2" w:name="_Hlk10815356"/>
      <w:r>
        <w:rPr>
          <w:lang w:val="fr-FR"/>
        </w:rPr>
        <w:t>64.</w:t>
      </w:r>
      <w:r>
        <w:rPr>
          <w:lang w:val="fr-FR"/>
        </w:rPr>
        <w:tab/>
        <w:t>Il a été convenu de porter ces modifications à l’attention du Sous-Comité TMD.</w:t>
      </w:r>
      <w:r w:rsidR="007821CB">
        <w:rPr>
          <w:lang w:val="fr-FR"/>
        </w:rPr>
        <w:t> </w:t>
      </w:r>
      <w:r>
        <w:rPr>
          <w:lang w:val="fr-FR"/>
        </w:rPr>
        <w:t>»</w:t>
      </w:r>
      <w:bookmarkEnd w:id="1"/>
      <w:bookmarkEnd w:id="2"/>
      <w:r w:rsidR="007821CB">
        <w:rPr>
          <w:lang w:val="fr-FR"/>
        </w:rPr>
        <w:t>.</w:t>
      </w:r>
    </w:p>
    <w:p w14:paraId="2DE5A511" w14:textId="77777777" w:rsidR="00E3244C" w:rsidRPr="000A4F3B" w:rsidRDefault="007821CB" w:rsidP="007821CB">
      <w:pPr>
        <w:pStyle w:val="HChG"/>
      </w:pPr>
      <w:r>
        <w:rPr>
          <w:lang w:val="fr-FR"/>
        </w:rPr>
        <w:br w:type="page"/>
      </w:r>
      <w:r w:rsidR="00E3244C">
        <w:rPr>
          <w:lang w:val="fr-FR"/>
        </w:rPr>
        <w:lastRenderedPageBreak/>
        <w:t>Annexe I</w:t>
      </w:r>
    </w:p>
    <w:p w14:paraId="5DFA4E66" w14:textId="77777777" w:rsidR="00E3244C" w:rsidRDefault="00E3244C" w:rsidP="007821CB">
      <w:pPr>
        <w:pStyle w:val="HChG"/>
      </w:pPr>
      <w:r>
        <w:rPr>
          <w:lang w:val="fr-FR"/>
        </w:rPr>
        <w:tab/>
      </w:r>
      <w:r>
        <w:rPr>
          <w:lang w:val="fr-FR"/>
        </w:rPr>
        <w:tab/>
        <w:t xml:space="preserve">Propositions de corrections à la </w:t>
      </w:r>
      <w:r w:rsidR="007821CB">
        <w:rPr>
          <w:lang w:val="fr-FR"/>
        </w:rPr>
        <w:t>vingt et unième</w:t>
      </w:r>
      <w:r>
        <w:rPr>
          <w:lang w:val="fr-FR"/>
        </w:rPr>
        <w:t xml:space="preserve"> édition révisée des Recommandations de l’ONU relatives </w:t>
      </w:r>
      <w:r w:rsidR="007821CB">
        <w:rPr>
          <w:lang w:val="fr-FR"/>
        </w:rPr>
        <w:br/>
      </w:r>
      <w:r>
        <w:rPr>
          <w:lang w:val="fr-FR"/>
        </w:rPr>
        <w:t xml:space="preserve">au transport des marchandises dangereuses, </w:t>
      </w:r>
      <w:r w:rsidR="007821CB">
        <w:rPr>
          <w:lang w:val="fr-FR"/>
        </w:rPr>
        <w:br/>
      </w:r>
      <w:r>
        <w:rPr>
          <w:lang w:val="fr-FR"/>
        </w:rPr>
        <w:t>Règlement type</w:t>
      </w:r>
    </w:p>
    <w:p w14:paraId="669E74FF" w14:textId="77777777" w:rsidR="00E3244C" w:rsidRPr="00B613B5" w:rsidRDefault="00E3244C" w:rsidP="007821CB">
      <w:pPr>
        <w:pStyle w:val="SingleTxtG"/>
      </w:pPr>
      <w:r>
        <w:rPr>
          <w:lang w:val="fr-FR"/>
        </w:rPr>
        <w:t>Les propositions de corrections sont mises en évidence de la façon suivante : caractères biffés pour le texte supprimé et caractères gras et soulignés pour le texte nouveau ou modifié.</w:t>
      </w:r>
    </w:p>
    <w:p w14:paraId="67FB4196" w14:textId="77777777" w:rsidR="00E3244C" w:rsidRPr="000A4F3B" w:rsidRDefault="00E3244C" w:rsidP="00F87099">
      <w:pPr>
        <w:pStyle w:val="H23G"/>
      </w:pPr>
      <w:r>
        <w:rPr>
          <w:lang w:val="fr-FR"/>
        </w:rPr>
        <w:tab/>
      </w:r>
      <w:r>
        <w:rPr>
          <w:lang w:val="fr-FR"/>
        </w:rPr>
        <w:tab/>
        <w:t>2.1.3.5.2, première phrase</w:t>
      </w:r>
      <w:bookmarkStart w:id="3" w:name="_Hlk12608114"/>
      <w:bookmarkEnd w:id="3"/>
    </w:p>
    <w:p w14:paraId="2D10075D" w14:textId="77777777" w:rsidR="00E3244C" w:rsidRDefault="00E3244C" w:rsidP="00E3244C">
      <w:pPr>
        <w:pStyle w:val="SingleTxtG"/>
      </w:pPr>
      <w:r>
        <w:rPr>
          <w:lang w:val="fr-FR"/>
        </w:rPr>
        <w:t>Cette proposition de modification est sans objet en français</w:t>
      </w:r>
      <w:r w:rsidR="00010F98">
        <w:rPr>
          <w:lang w:val="fr-FR"/>
        </w:rPr>
        <w:t>.</w:t>
      </w:r>
    </w:p>
    <w:p w14:paraId="5AF73587" w14:textId="77777777" w:rsidR="00E3244C" w:rsidRPr="00172916" w:rsidRDefault="00E3244C" w:rsidP="00E3244C">
      <w:pPr>
        <w:pStyle w:val="SingleTxtG"/>
        <w:rPr>
          <w:i/>
          <w:iCs/>
        </w:rPr>
      </w:pPr>
      <w:r>
        <w:rPr>
          <w:i/>
          <w:iCs/>
          <w:lang w:val="fr-FR"/>
        </w:rPr>
        <w:t>Note</w:t>
      </w:r>
      <w:r w:rsidR="00F87099">
        <w:rPr>
          <w:i/>
          <w:iCs/>
          <w:lang w:val="fr-FR"/>
        </w:rPr>
        <w:t> </w:t>
      </w:r>
      <w:r>
        <w:rPr>
          <w:i/>
          <w:iCs/>
          <w:lang w:val="fr-FR"/>
        </w:rPr>
        <w:t>: L</w:t>
      </w:r>
      <w:r w:rsidRPr="007C19FA">
        <w:rPr>
          <w:i/>
          <w:iCs/>
          <w:lang w:val="fr-FR"/>
        </w:rPr>
        <w:t>e Groupe de travail des explosifs</w:t>
      </w:r>
      <w:r>
        <w:rPr>
          <w:i/>
          <w:iCs/>
          <w:lang w:val="fr-FR"/>
        </w:rPr>
        <w:t xml:space="preserve">, qui a examiné cette </w:t>
      </w:r>
      <w:r w:rsidRPr="007C19FA">
        <w:rPr>
          <w:i/>
          <w:iCs/>
          <w:lang w:val="fr-FR"/>
        </w:rPr>
        <w:t>proposition de correction à la cinquante-cinquième session</w:t>
      </w:r>
      <w:r>
        <w:rPr>
          <w:i/>
          <w:iCs/>
          <w:lang w:val="fr-FR"/>
        </w:rPr>
        <w:t>,</w:t>
      </w:r>
      <w:r w:rsidR="00F87099">
        <w:rPr>
          <w:i/>
          <w:iCs/>
          <w:lang w:val="fr-FR"/>
        </w:rPr>
        <w:t xml:space="preserve"> </w:t>
      </w:r>
      <w:r>
        <w:rPr>
          <w:i/>
          <w:iCs/>
          <w:lang w:val="fr-FR"/>
        </w:rPr>
        <w:t xml:space="preserve">a estimé que les corrections proposées ne faisaient qu’améliorer le libellé et qu’elles ne </w:t>
      </w:r>
      <w:proofErr w:type="gramStart"/>
      <w:r>
        <w:rPr>
          <w:i/>
          <w:iCs/>
          <w:lang w:val="fr-FR"/>
        </w:rPr>
        <w:t>changeaient  pas</w:t>
      </w:r>
      <w:proofErr w:type="gramEnd"/>
      <w:r>
        <w:rPr>
          <w:i/>
          <w:iCs/>
          <w:lang w:val="fr-FR"/>
        </w:rPr>
        <w:t xml:space="preserve"> le sens.</w:t>
      </w:r>
      <w:r>
        <w:rPr>
          <w:lang w:val="fr-FR"/>
        </w:rPr>
        <w:t xml:space="preserve"> </w:t>
      </w:r>
      <w:r>
        <w:rPr>
          <w:i/>
          <w:iCs/>
          <w:lang w:val="fr-FR"/>
        </w:rPr>
        <w:t>Voir le document informel INF.55 (cinquante-cinquième session).</w:t>
      </w:r>
    </w:p>
    <w:p w14:paraId="58CD6577" w14:textId="77777777" w:rsidR="00E3244C" w:rsidRPr="000A4F3B" w:rsidRDefault="00F87099" w:rsidP="00F87099">
      <w:pPr>
        <w:pStyle w:val="H23G"/>
      </w:pPr>
      <w:r>
        <w:rPr>
          <w:lang w:val="fr-FR"/>
        </w:rPr>
        <w:tab/>
      </w:r>
      <w:r>
        <w:rPr>
          <w:lang w:val="fr-FR"/>
        </w:rPr>
        <w:tab/>
      </w:r>
      <w:r w:rsidR="00E3244C">
        <w:rPr>
          <w:lang w:val="fr-FR"/>
        </w:rPr>
        <w:t xml:space="preserve">2.6.3.2.2.1 </w:t>
      </w:r>
      <w:proofErr w:type="gramStart"/>
      <w:r w:rsidR="00E3244C">
        <w:rPr>
          <w:lang w:val="fr-FR"/>
        </w:rPr>
        <w:t>alinéa</w:t>
      </w:r>
      <w:proofErr w:type="gramEnd"/>
      <w:r w:rsidR="00E3244C">
        <w:rPr>
          <w:lang w:val="fr-FR"/>
        </w:rPr>
        <w:t xml:space="preserve"> b), </w:t>
      </w:r>
      <w:r>
        <w:rPr>
          <w:lang w:val="fr-FR"/>
        </w:rPr>
        <w:t>n</w:t>
      </w:r>
      <w:r w:rsidR="00E3244C">
        <w:rPr>
          <w:lang w:val="fr-FR"/>
        </w:rPr>
        <w:t>ota 1, deuxième phrase</w:t>
      </w:r>
    </w:p>
    <w:p w14:paraId="5ABA75DF" w14:textId="77777777" w:rsidR="00E3244C" w:rsidRPr="000A4F3B" w:rsidRDefault="00E3244C" w:rsidP="00F87099">
      <w:pPr>
        <w:pStyle w:val="SingleTxtG"/>
      </w:pPr>
      <w:r>
        <w:rPr>
          <w:lang w:val="fr-FR"/>
        </w:rPr>
        <w:t>Lire</w:t>
      </w:r>
      <w:r w:rsidR="00F87099">
        <w:rPr>
          <w:lang w:val="fr-FR"/>
        </w:rPr>
        <w:t> </w:t>
      </w:r>
      <w:r>
        <w:rPr>
          <w:lang w:val="fr-FR"/>
        </w:rPr>
        <w:t>:</w:t>
      </w:r>
    </w:p>
    <w:p w14:paraId="3E48DE94" w14:textId="77777777" w:rsidR="00E3244C" w:rsidRPr="000A4F3B" w:rsidRDefault="00E3244C" w:rsidP="00F87099">
      <w:pPr>
        <w:pStyle w:val="SingleTxtG"/>
      </w:pPr>
      <w:r w:rsidRPr="00606A20">
        <w:rPr>
          <w:strike/>
          <w:lang w:val="fr-FR"/>
        </w:rPr>
        <w:t>L</w:t>
      </w:r>
      <w:r w:rsidRPr="007C19FA">
        <w:rPr>
          <w:strike/>
          <w:lang w:val="fr-FR"/>
        </w:rPr>
        <w:t xml:space="preserve">a </w:t>
      </w:r>
      <w:r w:rsidRPr="003D03CD">
        <w:rPr>
          <w:strike/>
          <w:lang w:val="fr-FR"/>
        </w:rPr>
        <w:t xml:space="preserve">désignation officielle </w:t>
      </w:r>
      <w:r>
        <w:rPr>
          <w:strike/>
          <w:lang w:val="fr-FR"/>
        </w:rPr>
        <w:t xml:space="preserve">de transport </w:t>
      </w:r>
      <w:r w:rsidRPr="00606A20">
        <w:rPr>
          <w:b/>
          <w:u w:val="single"/>
          <w:lang w:val="fr-FR"/>
        </w:rPr>
        <w:t>Le</w:t>
      </w:r>
      <w:r>
        <w:rPr>
          <w:lang w:val="fr-FR"/>
        </w:rPr>
        <w:t xml:space="preserve"> nom utilisé pour le No</w:t>
      </w:r>
      <w:r w:rsidR="00F87099">
        <w:rPr>
          <w:lang w:val="fr-FR"/>
        </w:rPr>
        <w:t> </w:t>
      </w:r>
      <w:r>
        <w:rPr>
          <w:lang w:val="fr-FR"/>
        </w:rPr>
        <w:t>ONU</w:t>
      </w:r>
      <w:r w:rsidR="00F87099">
        <w:rPr>
          <w:lang w:val="fr-FR"/>
        </w:rPr>
        <w:t> </w:t>
      </w:r>
      <w:r>
        <w:rPr>
          <w:lang w:val="fr-FR"/>
        </w:rPr>
        <w:t>2900 est « MATIÈRE INFECTIEUSE POUR LES ANIMAUX </w:t>
      </w:r>
      <w:proofErr w:type="gramStart"/>
      <w:r>
        <w:rPr>
          <w:lang w:val="fr-FR"/>
        </w:rPr>
        <w:t>uniquement»</w:t>
      </w:r>
      <w:proofErr w:type="gramEnd"/>
      <w:r>
        <w:rPr>
          <w:lang w:val="fr-FR"/>
        </w:rPr>
        <w:t>.</w:t>
      </w:r>
    </w:p>
    <w:p w14:paraId="0C8FA331" w14:textId="77777777" w:rsidR="00E3244C" w:rsidRPr="000A4F3B" w:rsidRDefault="00E3244C" w:rsidP="00F87099">
      <w:pPr>
        <w:pStyle w:val="H23G"/>
      </w:pPr>
      <w:r>
        <w:rPr>
          <w:lang w:val="fr-FR"/>
        </w:rPr>
        <w:tab/>
      </w:r>
      <w:r>
        <w:rPr>
          <w:lang w:val="fr-FR"/>
        </w:rPr>
        <w:tab/>
        <w:t>Chapitre 3.3, disposition spéciale 274, dernier paragraphe</w:t>
      </w:r>
    </w:p>
    <w:p w14:paraId="7D7456F4" w14:textId="77777777" w:rsidR="00E3244C" w:rsidRPr="000A4F3B" w:rsidRDefault="00E3244C" w:rsidP="00F87099">
      <w:pPr>
        <w:pStyle w:val="SingleTxtG"/>
        <w:keepNext/>
      </w:pPr>
      <w:r>
        <w:rPr>
          <w:lang w:val="fr-FR"/>
        </w:rPr>
        <w:t>Lire :</w:t>
      </w:r>
    </w:p>
    <w:p w14:paraId="7338CBC5" w14:textId="77777777" w:rsidR="00E3244C" w:rsidRPr="000A4F3B" w:rsidRDefault="00E3244C" w:rsidP="00BE7316">
      <w:pPr>
        <w:pStyle w:val="SingleTxtG"/>
        <w:keepNext/>
      </w:pPr>
      <w:r>
        <w:rPr>
          <w:lang w:val="fr-FR"/>
        </w:rPr>
        <w:t>«</w:t>
      </w:r>
      <w:r w:rsidR="00F87099">
        <w:rPr>
          <w:lang w:val="fr-FR"/>
        </w:rPr>
        <w:t> </w:t>
      </w:r>
      <w:r>
        <w:rPr>
          <w:lang w:val="fr-FR"/>
        </w:rPr>
        <w:t xml:space="preserve">Pour les Nos ONU 3077 et 3082 seulement, le nom technique peut être un nom figurant en lettres majuscules dans la colonne 2 de la Liste des </w:t>
      </w:r>
      <w:r w:rsidR="003930F7">
        <w:rPr>
          <w:lang w:val="fr-FR"/>
        </w:rPr>
        <w:t>m</w:t>
      </w:r>
      <w:r>
        <w:rPr>
          <w:lang w:val="fr-FR"/>
        </w:rPr>
        <w:t xml:space="preserve">archandises dangereuses, sous réserve que ce nom ne contienne pas </w:t>
      </w:r>
      <w:r w:rsidR="00BE7316">
        <w:rPr>
          <w:lang w:val="fr-FR"/>
        </w:rPr>
        <w:t>“</w:t>
      </w:r>
      <w:r>
        <w:rPr>
          <w:lang w:val="fr-FR"/>
        </w:rPr>
        <w:t>N.</w:t>
      </w:r>
      <w:proofErr w:type="gramStart"/>
      <w:r>
        <w:rPr>
          <w:lang w:val="fr-FR"/>
        </w:rPr>
        <w:t>S.A</w:t>
      </w:r>
      <w:proofErr w:type="gramEnd"/>
      <w:r w:rsidR="00BE7316">
        <w:rPr>
          <w:lang w:val="fr-FR"/>
        </w:rPr>
        <w:t>”</w:t>
      </w:r>
      <w:r>
        <w:rPr>
          <w:lang w:val="fr-FR"/>
        </w:rPr>
        <w:t xml:space="preserve"> et que la disposition spéciale 274 ne </w:t>
      </w:r>
      <w:r w:rsidRPr="00606A20">
        <w:rPr>
          <w:b/>
          <w:bCs/>
          <w:u w:val="single"/>
          <w:lang w:val="fr-FR"/>
        </w:rPr>
        <w:t>lui</w:t>
      </w:r>
      <w:r>
        <w:rPr>
          <w:lang w:val="fr-FR"/>
        </w:rPr>
        <w:t xml:space="preserve"> soit pas attribuée. Le nom qui décrit au mieux la substance ou le mélange doit être utilisé, par exemple</w:t>
      </w:r>
      <w:r w:rsidR="00BE7316">
        <w:rPr>
          <w:lang w:val="fr-FR"/>
        </w:rPr>
        <w:t> </w:t>
      </w:r>
      <w:r>
        <w:rPr>
          <w:lang w:val="fr-FR"/>
        </w:rPr>
        <w:t>:</w:t>
      </w:r>
    </w:p>
    <w:p w14:paraId="64EE2B97" w14:textId="77777777" w:rsidR="00E3244C" w:rsidRPr="000A4F3B" w:rsidRDefault="00E3244C" w:rsidP="00BE7316">
      <w:pPr>
        <w:pStyle w:val="SingleTxtG"/>
      </w:pPr>
      <w:r>
        <w:rPr>
          <w:lang w:val="fr-FR"/>
        </w:rPr>
        <w:t>UN 3082, MATIÈRE DANGEREUSE DU POINT DE VUE DE L’ENVIRONNEMENT, LIQUIDE, N.S.A (PEINTURE)</w:t>
      </w:r>
    </w:p>
    <w:p w14:paraId="200B36C5" w14:textId="77777777" w:rsidR="00E3244C" w:rsidRPr="00F07ABD" w:rsidRDefault="00E3244C" w:rsidP="00BE7316">
      <w:pPr>
        <w:pStyle w:val="SingleTxtG"/>
      </w:pPr>
      <w:r>
        <w:rPr>
          <w:lang w:val="fr-FR"/>
        </w:rPr>
        <w:t>UN 3082, MATIÈRE DANGEREUSE DU POINT DE VUE DE L’ENVIRONNEMENT, LIQUIDE, N.S.A (PRODUITS DE PARFUMERIE) </w:t>
      </w:r>
      <w:r w:rsidRPr="00F07ABD">
        <w:rPr>
          <w:lang w:val="fr-FR"/>
        </w:rPr>
        <w:t>»</w:t>
      </w:r>
      <w:r w:rsidR="00BE7316">
        <w:rPr>
          <w:lang w:val="fr-FR"/>
        </w:rPr>
        <w:t>.</w:t>
      </w:r>
    </w:p>
    <w:p w14:paraId="6940E128" w14:textId="77777777" w:rsidR="00E3244C" w:rsidRPr="000A4F3B" w:rsidRDefault="00E3244C" w:rsidP="00BE7316">
      <w:pPr>
        <w:pStyle w:val="H23G"/>
      </w:pPr>
      <w:r>
        <w:rPr>
          <w:lang w:val="fr-FR"/>
        </w:rPr>
        <w:tab/>
      </w:r>
      <w:r>
        <w:rPr>
          <w:lang w:val="fr-FR"/>
        </w:rPr>
        <w:tab/>
        <w:t>4.1.4.1, instruction d’emballage P622, disposition supplémentaire 1</w:t>
      </w:r>
    </w:p>
    <w:p w14:paraId="790AA135" w14:textId="77777777" w:rsidR="00E3244C" w:rsidRPr="000A4F3B" w:rsidRDefault="00E3244C" w:rsidP="00E3244C">
      <w:pPr>
        <w:pStyle w:val="SingleTxtG"/>
      </w:pPr>
      <w:r>
        <w:rPr>
          <w:lang w:val="fr-FR"/>
        </w:rPr>
        <w:t>Cette proposition de modification est sans objet en français.</w:t>
      </w:r>
    </w:p>
    <w:p w14:paraId="27D75AC0" w14:textId="77777777" w:rsidR="00E3244C" w:rsidRPr="000A4F3B" w:rsidRDefault="00E3244C" w:rsidP="00BE7316">
      <w:pPr>
        <w:pStyle w:val="H23G"/>
      </w:pPr>
      <w:r>
        <w:rPr>
          <w:lang w:val="fr-FR"/>
        </w:rPr>
        <w:tab/>
      </w:r>
      <w:r>
        <w:rPr>
          <w:lang w:val="fr-FR"/>
        </w:rPr>
        <w:tab/>
        <w:t>4.1.4.1, instruction d’emballage P801 2) a)</w:t>
      </w:r>
    </w:p>
    <w:p w14:paraId="0BC15231" w14:textId="77777777" w:rsidR="00E3244C" w:rsidRPr="000A4F3B" w:rsidRDefault="00E3244C" w:rsidP="00BE7316">
      <w:pPr>
        <w:pStyle w:val="SingleTxtG"/>
        <w:keepNext/>
      </w:pPr>
      <w:r>
        <w:rPr>
          <w:lang w:val="fr-FR"/>
        </w:rPr>
        <w:t>Lire :</w:t>
      </w:r>
    </w:p>
    <w:p w14:paraId="127ADE7F" w14:textId="77777777" w:rsidR="00E3244C" w:rsidRPr="007D5B7B" w:rsidRDefault="00E3244C" w:rsidP="00BE7316">
      <w:pPr>
        <w:pStyle w:val="SingleTxtG"/>
        <w:ind w:firstLine="567"/>
        <w:rPr>
          <w:b/>
          <w:bCs/>
        </w:rPr>
      </w:pPr>
      <w:r>
        <w:rPr>
          <w:lang w:val="fr-FR"/>
        </w:rPr>
        <w:t>a)</w:t>
      </w:r>
      <w:r>
        <w:rPr>
          <w:lang w:val="fr-FR"/>
        </w:rPr>
        <w:tab/>
        <w:t xml:space="preserve">Les bacs doivent être résistants aux électrolytes </w:t>
      </w:r>
      <w:r>
        <w:rPr>
          <w:strike/>
          <w:lang w:val="fr-FR"/>
        </w:rPr>
        <w:t>qui étaient</w:t>
      </w:r>
      <w:r>
        <w:rPr>
          <w:lang w:val="fr-FR"/>
        </w:rPr>
        <w:t xml:space="preserve"> contenus dans les accumulateurs</w:t>
      </w:r>
      <w:r w:rsidR="00BE7316">
        <w:rPr>
          <w:lang w:val="fr-FR"/>
        </w:rPr>
        <w:t> </w:t>
      </w:r>
      <w:r>
        <w:rPr>
          <w:lang w:val="fr-FR"/>
        </w:rPr>
        <w:t>;</w:t>
      </w:r>
    </w:p>
    <w:p w14:paraId="0EB66690" w14:textId="77777777" w:rsidR="00E3244C" w:rsidRPr="000A4F3B" w:rsidRDefault="00E3244C" w:rsidP="00BE7316">
      <w:pPr>
        <w:pStyle w:val="H23G"/>
      </w:pPr>
      <w:r>
        <w:rPr>
          <w:lang w:val="fr-FR"/>
        </w:rPr>
        <w:tab/>
      </w:r>
      <w:r>
        <w:rPr>
          <w:lang w:val="fr-FR"/>
        </w:rPr>
        <w:tab/>
        <w:t>4.1.4.1, instruction d’emballage P801 2) c)</w:t>
      </w:r>
    </w:p>
    <w:p w14:paraId="06894D2D" w14:textId="77777777" w:rsidR="00E3244C" w:rsidRDefault="00E3244C" w:rsidP="00BE7316">
      <w:pPr>
        <w:pStyle w:val="SingleTxtG"/>
        <w:keepNext/>
        <w:rPr>
          <w:i/>
          <w:iCs/>
        </w:rPr>
      </w:pPr>
      <w:r>
        <w:rPr>
          <w:lang w:val="fr-FR"/>
        </w:rPr>
        <w:t>Lire</w:t>
      </w:r>
      <w:r w:rsidR="00BE7316">
        <w:rPr>
          <w:lang w:val="fr-FR"/>
        </w:rPr>
        <w:t> </w:t>
      </w:r>
      <w:r>
        <w:rPr>
          <w:lang w:val="fr-FR"/>
        </w:rPr>
        <w:t>:</w:t>
      </w:r>
    </w:p>
    <w:p w14:paraId="5C6266ED" w14:textId="77777777" w:rsidR="00E3244C" w:rsidRPr="000A4F3B" w:rsidRDefault="00E3244C" w:rsidP="00BE7316">
      <w:pPr>
        <w:pStyle w:val="SingleTxtG"/>
        <w:ind w:firstLine="567"/>
      </w:pPr>
      <w:r>
        <w:rPr>
          <w:lang w:val="fr-FR"/>
        </w:rPr>
        <w:t>c)</w:t>
      </w:r>
      <w:r>
        <w:rPr>
          <w:lang w:val="fr-FR"/>
        </w:rPr>
        <w:tab/>
        <w:t xml:space="preserve">Aucun résidu de l’électrolyte </w:t>
      </w:r>
      <w:r>
        <w:rPr>
          <w:strike/>
          <w:lang w:val="fr-FR"/>
        </w:rPr>
        <w:t>contenu dans les accumulateurs</w:t>
      </w:r>
      <w:r>
        <w:rPr>
          <w:lang w:val="fr-FR"/>
        </w:rPr>
        <w:t xml:space="preserve"> ne doit adhérer à la surface extérieure des bacs</w:t>
      </w:r>
      <w:r w:rsidR="00BE7316">
        <w:rPr>
          <w:lang w:val="fr-FR"/>
        </w:rPr>
        <w:t> </w:t>
      </w:r>
      <w:r>
        <w:rPr>
          <w:lang w:val="fr-FR"/>
        </w:rPr>
        <w:t>;</w:t>
      </w:r>
    </w:p>
    <w:p w14:paraId="4613790D" w14:textId="77777777" w:rsidR="00E3244C" w:rsidRPr="000A4F3B" w:rsidRDefault="00BE7316" w:rsidP="00BE7316">
      <w:pPr>
        <w:pStyle w:val="H23G"/>
      </w:pPr>
      <w:r>
        <w:rPr>
          <w:lang w:val="fr-FR"/>
        </w:rPr>
        <w:lastRenderedPageBreak/>
        <w:tab/>
      </w:r>
      <w:r>
        <w:rPr>
          <w:lang w:val="fr-FR"/>
        </w:rPr>
        <w:tab/>
      </w:r>
      <w:r w:rsidR="00E3244C">
        <w:rPr>
          <w:lang w:val="fr-FR"/>
        </w:rPr>
        <w:t>6.1.3.1 e), note expliquant l’astérisque, deuxième phrase</w:t>
      </w:r>
    </w:p>
    <w:p w14:paraId="7417B139" w14:textId="77777777" w:rsidR="00E3244C" w:rsidRPr="000A4F3B" w:rsidRDefault="00E3244C" w:rsidP="00BE7316">
      <w:pPr>
        <w:pStyle w:val="SingleTxtG"/>
        <w:keepNext/>
      </w:pPr>
      <w:r>
        <w:rPr>
          <w:lang w:val="fr-FR"/>
        </w:rPr>
        <w:t>Lire</w:t>
      </w:r>
      <w:r w:rsidR="00BE7316">
        <w:rPr>
          <w:lang w:val="fr-FR"/>
        </w:rPr>
        <w:t> </w:t>
      </w:r>
      <w:r>
        <w:rPr>
          <w:lang w:val="fr-FR"/>
        </w:rPr>
        <w:t>:</w:t>
      </w:r>
    </w:p>
    <w:p w14:paraId="4BF6DF2D" w14:textId="77777777" w:rsidR="00E3244C" w:rsidRDefault="00E3244C" w:rsidP="00E3244C">
      <w:pPr>
        <w:pStyle w:val="SingleTxtG"/>
      </w:pPr>
      <w:r>
        <w:rPr>
          <w:lang w:val="fr-FR"/>
        </w:rPr>
        <w:t>Dans ce cas,</w:t>
      </w:r>
      <w:r w:rsidRPr="00315EAF">
        <w:rPr>
          <w:b/>
          <w:bCs/>
          <w:lang w:val="fr-FR"/>
        </w:rPr>
        <w:t xml:space="preserve"> </w:t>
      </w:r>
      <w:r>
        <w:rPr>
          <w:b/>
          <w:bCs/>
          <w:u w:val="single"/>
          <w:lang w:val="fr-FR"/>
        </w:rPr>
        <w:t>la mention de l’année dans la marque d’homologation de type ne s’impose pas si le cadran est accolé à ladite marque</w:t>
      </w:r>
      <w:r>
        <w:rPr>
          <w:lang w:val="fr-FR"/>
        </w:rPr>
        <w:t xml:space="preserve">. Toutefois, si le cadran n’est pas accolé à la </w:t>
      </w:r>
      <w:r>
        <w:rPr>
          <w:b/>
          <w:bCs/>
          <w:u w:val="single"/>
          <w:lang w:val="fr-FR"/>
        </w:rPr>
        <w:t>marque d’homologation de type</w:t>
      </w:r>
      <w:r>
        <w:rPr>
          <w:lang w:val="fr-FR"/>
        </w:rPr>
        <w:t xml:space="preserve"> les deux chiffres indiquant l’année dans la marque et dans le cadran doivent être identiques.</w:t>
      </w:r>
    </w:p>
    <w:p w14:paraId="58DCAAC5" w14:textId="77777777" w:rsidR="00E3244C" w:rsidRPr="000A4F3B" w:rsidRDefault="00E3244C" w:rsidP="00BE7316">
      <w:pPr>
        <w:pStyle w:val="H23G"/>
      </w:pPr>
      <w:r>
        <w:rPr>
          <w:lang w:val="fr-FR"/>
        </w:rPr>
        <w:tab/>
      </w:r>
      <w:r>
        <w:rPr>
          <w:lang w:val="fr-FR"/>
        </w:rPr>
        <w:tab/>
        <w:t>6.1.3.13</w:t>
      </w:r>
    </w:p>
    <w:p w14:paraId="24903736" w14:textId="77777777" w:rsidR="00E3244C" w:rsidRPr="000A4F3B" w:rsidRDefault="00E3244C" w:rsidP="00315EAF">
      <w:pPr>
        <w:pStyle w:val="SingleTxtG"/>
        <w:keepNext/>
      </w:pPr>
      <w:r>
        <w:rPr>
          <w:lang w:val="fr-FR"/>
        </w:rPr>
        <w:t>Lire</w:t>
      </w:r>
      <w:r w:rsidR="00315EAF">
        <w:rPr>
          <w:lang w:val="fr-FR"/>
        </w:rPr>
        <w:t> </w:t>
      </w:r>
      <w:r>
        <w:rPr>
          <w:lang w:val="fr-FR"/>
        </w:rPr>
        <w:t>:</w:t>
      </w:r>
    </w:p>
    <w:p w14:paraId="4BA2DED2" w14:textId="77777777" w:rsidR="00E3244C" w:rsidRDefault="00E3244C" w:rsidP="00315EAF">
      <w:pPr>
        <w:pStyle w:val="SingleTxtG"/>
        <w:ind w:left="2268" w:hanging="1134"/>
      </w:pPr>
      <w:r>
        <w:rPr>
          <w:lang w:val="fr-FR"/>
        </w:rPr>
        <w:t>6.1.3.13</w:t>
      </w:r>
      <w:r>
        <w:rPr>
          <w:lang w:val="fr-FR"/>
        </w:rPr>
        <w:tab/>
        <w:t xml:space="preserve">Lorsqu’un emballage est conforme à un ou plusieurs modèles types d’emballages ayant satisfait aux épreuves, y compris un ou plusieurs modèles types de GRV ou de grands emballages, l’emballage peut porter plus d’une marque </w:t>
      </w:r>
      <w:r>
        <w:rPr>
          <w:b/>
          <w:bCs/>
          <w:u w:val="single"/>
          <w:lang w:val="fr-FR"/>
        </w:rPr>
        <w:t>d’homologation de type</w:t>
      </w:r>
      <w:r>
        <w:rPr>
          <w:lang w:val="fr-FR"/>
        </w:rPr>
        <w:t xml:space="preserve"> pour indiquer les exigences d’épreuves de performance applicables qui ont été atteintes. Lorsque plus d’une marque apparaît sur un emballage, les marques doivent apparaître à proximité les unes des autres et chaque marque doit apparaître dans son intégralité</w:t>
      </w:r>
      <w:r w:rsidR="00315EAF">
        <w:rPr>
          <w:lang w:val="fr-FR"/>
        </w:rPr>
        <w:t>.</w:t>
      </w:r>
    </w:p>
    <w:p w14:paraId="424AEDB7" w14:textId="77777777" w:rsidR="00E3244C" w:rsidRPr="000A4F3B" w:rsidRDefault="00E3244C" w:rsidP="00315EAF">
      <w:pPr>
        <w:pStyle w:val="H23G"/>
      </w:pPr>
      <w:r>
        <w:rPr>
          <w:lang w:val="fr-FR"/>
        </w:rPr>
        <w:tab/>
      </w:r>
      <w:r>
        <w:rPr>
          <w:lang w:val="fr-FR"/>
        </w:rPr>
        <w:tab/>
        <w:t>6.5.2.1.3</w:t>
      </w:r>
    </w:p>
    <w:p w14:paraId="4F8E4DA3" w14:textId="77777777" w:rsidR="00E3244C" w:rsidRPr="004108CE" w:rsidRDefault="00E3244C" w:rsidP="00315EAF">
      <w:pPr>
        <w:pStyle w:val="SingleTxtG"/>
      </w:pPr>
      <w:r>
        <w:rPr>
          <w:lang w:val="fr-FR"/>
        </w:rPr>
        <w:t>Cette proposition de modification est sans objet en français.</w:t>
      </w:r>
    </w:p>
    <w:p w14:paraId="21453CFC" w14:textId="77777777" w:rsidR="00E3244C" w:rsidRPr="000A4F3B" w:rsidRDefault="00E3244C" w:rsidP="00315EAF">
      <w:pPr>
        <w:pStyle w:val="H23G"/>
      </w:pPr>
      <w:r>
        <w:rPr>
          <w:lang w:val="fr-FR"/>
        </w:rPr>
        <w:tab/>
      </w:r>
      <w:r>
        <w:rPr>
          <w:lang w:val="fr-FR"/>
        </w:rPr>
        <w:tab/>
        <w:t>6.6.3.4</w:t>
      </w:r>
    </w:p>
    <w:p w14:paraId="7841500F" w14:textId="77777777" w:rsidR="00E3244C" w:rsidRPr="004108CE" w:rsidRDefault="00E3244C" w:rsidP="00315EAF">
      <w:pPr>
        <w:pStyle w:val="SingleTxtG"/>
      </w:pPr>
      <w:r>
        <w:rPr>
          <w:lang w:val="fr-FR"/>
        </w:rPr>
        <w:t>Cette proposition de modification est sans objet en français.</w:t>
      </w:r>
    </w:p>
    <w:p w14:paraId="7CA93858" w14:textId="77777777" w:rsidR="00E3244C" w:rsidRPr="007707D6" w:rsidRDefault="00E3244C" w:rsidP="007707D6">
      <w:pPr>
        <w:pStyle w:val="HChG"/>
      </w:pPr>
      <w:r>
        <w:br w:type="page"/>
      </w:r>
      <w:r>
        <w:rPr>
          <w:lang w:val="fr-FR"/>
        </w:rPr>
        <w:lastRenderedPageBreak/>
        <w:t>Annexe II</w:t>
      </w:r>
    </w:p>
    <w:p w14:paraId="02E39390" w14:textId="77777777" w:rsidR="00E3244C" w:rsidRPr="009B3E61" w:rsidRDefault="00E3244C" w:rsidP="00E3244C">
      <w:pPr>
        <w:pStyle w:val="SingleTxtG"/>
        <w:jc w:val="right"/>
      </w:pPr>
      <w:r>
        <w:rPr>
          <w:lang w:val="fr-FR"/>
        </w:rPr>
        <w:t>[</w:t>
      </w:r>
      <w:r w:rsidRPr="004616E1">
        <w:rPr>
          <w:i/>
          <w:iCs/>
          <w:lang w:val="fr-FR"/>
        </w:rPr>
        <w:t>Français seulement</w:t>
      </w:r>
      <w:r>
        <w:rPr>
          <w:lang w:val="fr-FR"/>
        </w:rPr>
        <w:t>]</w:t>
      </w:r>
    </w:p>
    <w:p w14:paraId="6FA0BE12" w14:textId="77777777" w:rsidR="00E3244C" w:rsidRPr="009B3E61" w:rsidRDefault="00E3244C" w:rsidP="004616E1">
      <w:pPr>
        <w:pStyle w:val="HChG"/>
      </w:pPr>
      <w:r>
        <w:rPr>
          <w:lang w:val="fr-FR"/>
        </w:rPr>
        <w:tab/>
      </w:r>
      <w:r>
        <w:rPr>
          <w:lang w:val="fr-FR"/>
        </w:rPr>
        <w:tab/>
        <w:t>Corrections applicables uniquement à la version française</w:t>
      </w:r>
    </w:p>
    <w:p w14:paraId="04A8B2AE" w14:textId="77777777" w:rsidR="00E3244C" w:rsidRPr="009B3E61" w:rsidRDefault="00E3244C" w:rsidP="004616E1">
      <w:pPr>
        <w:pStyle w:val="H23G"/>
      </w:pPr>
      <w:r>
        <w:rPr>
          <w:lang w:val="fr-FR"/>
        </w:rPr>
        <w:tab/>
      </w:r>
      <w:r>
        <w:rPr>
          <w:lang w:val="fr-FR"/>
        </w:rPr>
        <w:tab/>
        <w:t xml:space="preserve">4.1.9.2.4 e) iii), première </w:t>
      </w:r>
      <w:r w:rsidR="004616E1">
        <w:rPr>
          <w:lang w:val="fr-FR"/>
        </w:rPr>
        <w:t>phrase</w:t>
      </w:r>
    </w:p>
    <w:p w14:paraId="56DB643F" w14:textId="77777777" w:rsidR="00E3244C" w:rsidRPr="009B3E61" w:rsidRDefault="00E3244C" w:rsidP="00E3244C">
      <w:pPr>
        <w:pStyle w:val="SingleTxtG"/>
        <w:rPr>
          <w:szCs w:val="24"/>
          <w:lang w:val="fr-FR"/>
        </w:rPr>
      </w:pPr>
      <w:r>
        <w:rPr>
          <w:i/>
          <w:iCs/>
          <w:lang w:val="fr-FR"/>
        </w:rPr>
        <w:t xml:space="preserve">Au lieu </w:t>
      </w:r>
      <w:proofErr w:type="gramStart"/>
      <w:r>
        <w:rPr>
          <w:i/>
          <w:iCs/>
          <w:lang w:val="fr-FR"/>
        </w:rPr>
        <w:t>de</w:t>
      </w:r>
      <w:r w:rsidRPr="009B3E61">
        <w:rPr>
          <w:i/>
          <w:iCs/>
          <w:lang w:val="fr-FR"/>
        </w:rPr>
        <w:t xml:space="preserve"> </w:t>
      </w:r>
      <w:r w:rsidRPr="009B3E61">
        <w:rPr>
          <w:szCs w:val="24"/>
          <w:lang w:val="fr-FR"/>
        </w:rPr>
        <w:t>opération</w:t>
      </w:r>
      <w:proofErr w:type="gramEnd"/>
      <w:r w:rsidRPr="009B3E61">
        <w:rPr>
          <w:szCs w:val="24"/>
          <w:lang w:val="fr-FR"/>
        </w:rPr>
        <w:t xml:space="preserve"> spéciale, administrative ou opérationnelle </w:t>
      </w:r>
      <w:r>
        <w:rPr>
          <w:i/>
          <w:iCs/>
          <w:szCs w:val="24"/>
          <w:lang w:val="fr-FR"/>
        </w:rPr>
        <w:t>lire</w:t>
      </w:r>
      <w:r w:rsidRPr="009B3E61">
        <w:rPr>
          <w:i/>
          <w:iCs/>
          <w:szCs w:val="24"/>
          <w:lang w:val="fr-FR"/>
        </w:rPr>
        <w:t xml:space="preserve"> </w:t>
      </w:r>
      <w:r w:rsidRPr="009B3E61">
        <w:rPr>
          <w:szCs w:val="24"/>
          <w:lang w:val="fr-FR"/>
        </w:rPr>
        <w:t>opération spéciale administrative ou opérationnelle</w:t>
      </w:r>
    </w:p>
    <w:p w14:paraId="39A1B714" w14:textId="77777777" w:rsidR="00E3244C" w:rsidRPr="009B3E61" w:rsidRDefault="00E3244C" w:rsidP="004616E1">
      <w:pPr>
        <w:pStyle w:val="H23G"/>
        <w:rPr>
          <w:lang w:val="fr-FR"/>
        </w:rPr>
      </w:pPr>
      <w:r w:rsidRPr="009B3E61">
        <w:rPr>
          <w:lang w:val="fr-FR"/>
        </w:rPr>
        <w:tab/>
      </w:r>
      <w:r w:rsidRPr="009B3E61">
        <w:rPr>
          <w:lang w:val="fr-FR"/>
        </w:rPr>
        <w:tab/>
        <w:t xml:space="preserve">5.1.5.3.1, </w:t>
      </w:r>
      <w:r>
        <w:rPr>
          <w:lang w:val="fr-FR"/>
        </w:rPr>
        <w:t>phrase d’introduction</w:t>
      </w:r>
    </w:p>
    <w:p w14:paraId="0BF94D37" w14:textId="77777777" w:rsidR="00E3244C" w:rsidRPr="009B3E61" w:rsidRDefault="00E3244C" w:rsidP="00E3244C">
      <w:pPr>
        <w:pStyle w:val="SingleTxtG"/>
        <w:rPr>
          <w:szCs w:val="24"/>
          <w:lang w:val="fr-FR"/>
        </w:rPr>
      </w:pPr>
      <w:r>
        <w:rPr>
          <w:i/>
          <w:iCs/>
          <w:lang w:val="fr-FR"/>
        </w:rPr>
        <w:t>Au lieu de</w:t>
      </w:r>
      <w:r w:rsidRPr="009B3E61">
        <w:rPr>
          <w:szCs w:val="24"/>
          <w:lang w:val="fr-FR"/>
        </w:rPr>
        <w:t xml:space="preserve"> SCO-I et SCO III</w:t>
      </w:r>
      <w:r>
        <w:rPr>
          <w:szCs w:val="24"/>
          <w:lang w:val="fr-FR"/>
        </w:rPr>
        <w:t xml:space="preserve"> </w:t>
      </w:r>
      <w:r>
        <w:rPr>
          <w:i/>
          <w:iCs/>
          <w:szCs w:val="24"/>
          <w:lang w:val="fr-FR"/>
        </w:rPr>
        <w:t>lire</w:t>
      </w:r>
      <w:r w:rsidRPr="009B3E61">
        <w:rPr>
          <w:i/>
          <w:iCs/>
          <w:szCs w:val="24"/>
          <w:lang w:val="fr-FR"/>
        </w:rPr>
        <w:t xml:space="preserve"> </w:t>
      </w:r>
      <w:r w:rsidRPr="009B3E61">
        <w:rPr>
          <w:szCs w:val="24"/>
          <w:lang w:val="fr-FR"/>
        </w:rPr>
        <w:t xml:space="preserve">SCO-I </w:t>
      </w:r>
      <w:r w:rsidRPr="009B3E61">
        <w:rPr>
          <w:b/>
          <w:bCs/>
          <w:szCs w:val="24"/>
          <w:u w:val="single"/>
          <w:lang w:val="fr-FR"/>
        </w:rPr>
        <w:t>ou</w:t>
      </w:r>
      <w:r w:rsidRPr="009B3E61">
        <w:rPr>
          <w:szCs w:val="24"/>
          <w:lang w:val="fr-FR"/>
        </w:rPr>
        <w:t xml:space="preserve"> SCO III</w:t>
      </w:r>
    </w:p>
    <w:p w14:paraId="7613ED60" w14:textId="77777777" w:rsidR="00E3244C" w:rsidRPr="009B3E61" w:rsidRDefault="00E3244C" w:rsidP="004616E1">
      <w:pPr>
        <w:pStyle w:val="H23G"/>
      </w:pPr>
      <w:r>
        <w:rPr>
          <w:lang w:val="fr-FR"/>
        </w:rPr>
        <w:tab/>
      </w:r>
      <w:r>
        <w:rPr>
          <w:lang w:val="fr-FR"/>
        </w:rPr>
        <w:tab/>
        <w:t>6.4.23.2.1 e)</w:t>
      </w:r>
    </w:p>
    <w:p w14:paraId="75867721" w14:textId="77777777" w:rsidR="00E3244C" w:rsidRPr="009B3E61" w:rsidRDefault="00E3244C" w:rsidP="004616E1">
      <w:pPr>
        <w:pStyle w:val="SingleTxtG"/>
        <w:keepNext/>
        <w:rPr>
          <w:szCs w:val="24"/>
          <w:lang w:val="fr-FR"/>
        </w:rPr>
      </w:pPr>
      <w:r w:rsidRPr="00606A20">
        <w:rPr>
          <w:iCs/>
          <w:lang w:val="fr-FR"/>
        </w:rPr>
        <w:t>Lire</w:t>
      </w:r>
      <w:r w:rsidR="004616E1">
        <w:rPr>
          <w:iCs/>
          <w:lang w:val="fr-FR"/>
        </w:rPr>
        <w:t> </w:t>
      </w:r>
      <w:r w:rsidRPr="00606A20">
        <w:rPr>
          <w:iCs/>
          <w:lang w:val="fr-FR"/>
        </w:rPr>
        <w:t>:</w:t>
      </w:r>
    </w:p>
    <w:p w14:paraId="4295258C" w14:textId="77777777" w:rsidR="00E3244C" w:rsidRPr="009B3E61" w:rsidRDefault="00E3244C" w:rsidP="004616E1">
      <w:pPr>
        <w:pStyle w:val="SingleTxtG"/>
        <w:ind w:firstLine="567"/>
        <w:rPr>
          <w:szCs w:val="24"/>
          <w:lang w:val="fr-FR"/>
        </w:rPr>
      </w:pPr>
      <w:r w:rsidRPr="009B3E61">
        <w:rPr>
          <w:szCs w:val="24"/>
          <w:lang w:val="fr-FR"/>
        </w:rPr>
        <w:t>e)</w:t>
      </w:r>
      <w:r w:rsidRPr="009B3E61">
        <w:rPr>
          <w:szCs w:val="24"/>
          <w:lang w:val="fr-FR"/>
        </w:rPr>
        <w:tab/>
        <w:t>Comporter tous les renseignements nécessaires pour que l</w:t>
      </w:r>
      <w:r>
        <w:rPr>
          <w:szCs w:val="24"/>
          <w:lang w:val="fr-FR"/>
        </w:rPr>
        <w:t>’</w:t>
      </w:r>
      <w:r w:rsidRPr="009B3E61">
        <w:rPr>
          <w:szCs w:val="24"/>
          <w:lang w:val="fr-FR"/>
        </w:rPr>
        <w:t>autorité compétente ait l</w:t>
      </w:r>
      <w:r>
        <w:rPr>
          <w:szCs w:val="24"/>
          <w:lang w:val="fr-FR"/>
        </w:rPr>
        <w:t>’</w:t>
      </w:r>
      <w:r w:rsidRPr="009B3E61">
        <w:rPr>
          <w:szCs w:val="24"/>
          <w:lang w:val="fr-FR"/>
        </w:rPr>
        <w:t xml:space="preserve">assurance que les prescriptions </w:t>
      </w:r>
      <w:r w:rsidRPr="009B3E61">
        <w:rPr>
          <w:strike/>
          <w:szCs w:val="24"/>
          <w:lang w:val="fr-FR"/>
        </w:rPr>
        <w:t>applicables</w:t>
      </w:r>
      <w:r w:rsidRPr="009B3E61">
        <w:rPr>
          <w:szCs w:val="24"/>
          <w:lang w:val="fr-FR"/>
        </w:rPr>
        <w:t xml:space="preserve"> du 4.1.9.2.4 e) et </w:t>
      </w:r>
      <w:r w:rsidRPr="004616E1">
        <w:rPr>
          <w:strike/>
          <w:szCs w:val="24"/>
          <w:lang w:val="fr-FR"/>
        </w:rPr>
        <w:t xml:space="preserve">celles </w:t>
      </w:r>
      <w:r w:rsidRPr="009B3E61">
        <w:rPr>
          <w:b/>
          <w:bCs/>
          <w:szCs w:val="24"/>
          <w:u w:val="single"/>
          <w:lang w:val="fr-FR"/>
        </w:rPr>
        <w:t>les prescriptions applicables</w:t>
      </w:r>
      <w:r w:rsidRPr="004C1E51">
        <w:rPr>
          <w:b/>
          <w:bCs/>
          <w:szCs w:val="24"/>
          <w:lang w:val="fr-FR"/>
        </w:rPr>
        <w:t xml:space="preserve"> </w:t>
      </w:r>
      <w:r w:rsidRPr="009B3E61">
        <w:rPr>
          <w:szCs w:val="24"/>
          <w:lang w:val="fr-FR"/>
        </w:rPr>
        <w:t>du 7.1.8.2 sont satisfaites</w:t>
      </w:r>
      <w:r w:rsidR="003930F7">
        <w:rPr>
          <w:szCs w:val="24"/>
          <w:lang w:val="fr-FR"/>
        </w:rPr>
        <w:t> </w:t>
      </w:r>
      <w:r w:rsidRPr="009B3E61">
        <w:rPr>
          <w:szCs w:val="24"/>
          <w:lang w:val="fr-FR"/>
        </w:rPr>
        <w:t>;</w:t>
      </w:r>
    </w:p>
    <w:p w14:paraId="6ECE4FBC" w14:textId="77777777" w:rsidR="00E3244C" w:rsidRPr="009B3E61" w:rsidRDefault="00E3244C" w:rsidP="004616E1">
      <w:pPr>
        <w:pStyle w:val="H23G"/>
        <w:rPr>
          <w:lang w:val="fr-FR"/>
        </w:rPr>
      </w:pPr>
      <w:r w:rsidRPr="009B3E61">
        <w:rPr>
          <w:lang w:val="fr-FR"/>
        </w:rPr>
        <w:tab/>
      </w:r>
      <w:r w:rsidRPr="009B3E61">
        <w:rPr>
          <w:lang w:val="fr-FR"/>
        </w:rPr>
        <w:tab/>
      </w:r>
      <w:bookmarkStart w:id="4" w:name="_Hlk11767674"/>
      <w:r w:rsidRPr="009B3E61">
        <w:rPr>
          <w:lang w:val="fr-FR"/>
        </w:rPr>
        <w:t xml:space="preserve">6.5.2.2.4, </w:t>
      </w:r>
      <w:r>
        <w:rPr>
          <w:lang w:val="fr-FR"/>
        </w:rPr>
        <w:t>premier paragraphe</w:t>
      </w:r>
    </w:p>
    <w:p w14:paraId="7BD5E45E" w14:textId="77777777" w:rsidR="00446FE5" w:rsidRDefault="00E3244C" w:rsidP="004616E1">
      <w:pPr>
        <w:pStyle w:val="SingleTxtG"/>
        <w:rPr>
          <w:lang w:val="fr-FR"/>
        </w:rPr>
      </w:pPr>
      <w:r>
        <w:rPr>
          <w:i/>
          <w:iCs/>
          <w:lang w:val="fr-FR"/>
        </w:rPr>
        <w:t xml:space="preserve">Au lieu </w:t>
      </w:r>
      <w:proofErr w:type="gramStart"/>
      <w:r>
        <w:rPr>
          <w:i/>
          <w:iCs/>
          <w:lang w:val="fr-FR"/>
        </w:rPr>
        <w:t>de</w:t>
      </w:r>
      <w:r w:rsidRPr="009B3E61">
        <w:rPr>
          <w:i/>
          <w:iCs/>
          <w:lang w:val="fr-FR"/>
        </w:rPr>
        <w:t xml:space="preserve"> </w:t>
      </w:r>
      <w:r w:rsidRPr="009B3E61">
        <w:rPr>
          <w:lang w:val="fr-FR"/>
        </w:rPr>
        <w:t>Elles</w:t>
      </w:r>
      <w:proofErr w:type="gramEnd"/>
      <w:r w:rsidRPr="009B3E61">
        <w:rPr>
          <w:lang w:val="fr-FR"/>
        </w:rPr>
        <w:t xml:space="preserve"> doivent être apposées de manière durable, lisible, et placées dans un endroit facilement accessible pour l</w:t>
      </w:r>
      <w:r>
        <w:rPr>
          <w:lang w:val="fr-FR"/>
        </w:rPr>
        <w:t>’</w:t>
      </w:r>
      <w:r w:rsidRPr="009B3E61">
        <w:rPr>
          <w:lang w:val="fr-FR"/>
        </w:rPr>
        <w:t>inspection lors de l</w:t>
      </w:r>
      <w:r>
        <w:rPr>
          <w:lang w:val="fr-FR"/>
        </w:rPr>
        <w:t>’</w:t>
      </w:r>
      <w:r w:rsidRPr="009B3E61">
        <w:rPr>
          <w:lang w:val="fr-FR"/>
        </w:rPr>
        <w:t>assemblage du récipient intérieur dans l</w:t>
      </w:r>
      <w:r>
        <w:rPr>
          <w:lang w:val="fr-FR"/>
        </w:rPr>
        <w:t>’</w:t>
      </w:r>
      <w:r w:rsidRPr="009B3E61">
        <w:rPr>
          <w:lang w:val="fr-FR"/>
        </w:rPr>
        <w:t xml:space="preserve">enveloppe extérieure </w:t>
      </w:r>
      <w:r>
        <w:rPr>
          <w:i/>
          <w:iCs/>
          <w:lang w:val="fr-FR"/>
        </w:rPr>
        <w:t>lire</w:t>
      </w:r>
      <w:r w:rsidRPr="009B3E61">
        <w:rPr>
          <w:i/>
          <w:iCs/>
          <w:lang w:val="fr-FR"/>
        </w:rPr>
        <w:t xml:space="preserve"> </w:t>
      </w:r>
      <w:r w:rsidRPr="009B3E61">
        <w:rPr>
          <w:lang w:val="fr-FR"/>
        </w:rPr>
        <w:t xml:space="preserve">Elles doivent être </w:t>
      </w:r>
      <w:r w:rsidRPr="009B3E61">
        <w:rPr>
          <w:b/>
          <w:bCs/>
          <w:u w:val="single"/>
          <w:lang w:val="fr-FR"/>
        </w:rPr>
        <w:t>durables, lisibles,</w:t>
      </w:r>
      <w:r w:rsidRPr="004C1E51">
        <w:rPr>
          <w:b/>
          <w:bCs/>
          <w:lang w:val="fr-FR"/>
        </w:rPr>
        <w:t xml:space="preserve"> </w:t>
      </w:r>
      <w:r w:rsidRPr="009B3E61">
        <w:rPr>
          <w:lang w:val="fr-FR"/>
        </w:rPr>
        <w:t>et placées dans un endroit facilement accessible pour l</w:t>
      </w:r>
      <w:r>
        <w:rPr>
          <w:lang w:val="fr-FR"/>
        </w:rPr>
        <w:t>’</w:t>
      </w:r>
      <w:r w:rsidRPr="009B3E61">
        <w:rPr>
          <w:lang w:val="fr-FR"/>
        </w:rPr>
        <w:t xml:space="preserve">inspection </w:t>
      </w:r>
      <w:r w:rsidRPr="009B3E61">
        <w:rPr>
          <w:b/>
          <w:bCs/>
          <w:u w:val="single"/>
          <w:lang w:val="fr-FR"/>
        </w:rPr>
        <w:t>après assemblage</w:t>
      </w:r>
      <w:r w:rsidRPr="009B3E61">
        <w:rPr>
          <w:lang w:val="fr-FR"/>
        </w:rPr>
        <w:t xml:space="preserve"> du récipient intérieur dans l</w:t>
      </w:r>
      <w:r>
        <w:rPr>
          <w:lang w:val="fr-FR"/>
        </w:rPr>
        <w:t>’</w:t>
      </w:r>
      <w:r w:rsidRPr="009B3E61">
        <w:rPr>
          <w:lang w:val="fr-FR"/>
        </w:rPr>
        <w:t>enveloppe extérieure</w:t>
      </w:r>
      <w:bookmarkEnd w:id="4"/>
      <w:r w:rsidR="003930F7">
        <w:rPr>
          <w:lang w:val="fr-FR"/>
        </w:rPr>
        <w:t>.</w:t>
      </w:r>
    </w:p>
    <w:p w14:paraId="57A6DAC4" w14:textId="77777777" w:rsidR="004C1E51" w:rsidRPr="004C1E51" w:rsidRDefault="004C1E51" w:rsidP="004C1E51">
      <w:pPr>
        <w:pStyle w:val="SingleTxtG"/>
        <w:spacing w:before="240" w:after="0"/>
        <w:jc w:val="center"/>
        <w:rPr>
          <w:u w:val="single"/>
        </w:rPr>
      </w:pPr>
      <w:r>
        <w:rPr>
          <w:u w:val="single"/>
        </w:rPr>
        <w:tab/>
      </w:r>
      <w:r>
        <w:rPr>
          <w:u w:val="single"/>
        </w:rPr>
        <w:tab/>
      </w:r>
      <w:r>
        <w:rPr>
          <w:u w:val="single"/>
        </w:rPr>
        <w:tab/>
      </w:r>
    </w:p>
    <w:sectPr w:rsidR="004C1E51" w:rsidRPr="004C1E51" w:rsidSect="003001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C951" w14:textId="77777777" w:rsidR="001C7D74" w:rsidRDefault="001C7D74" w:rsidP="00F95C08">
      <w:pPr>
        <w:spacing w:line="240" w:lineRule="auto"/>
      </w:pPr>
    </w:p>
  </w:endnote>
  <w:endnote w:type="continuationSeparator" w:id="0">
    <w:p w14:paraId="2E5CB61D" w14:textId="77777777" w:rsidR="001C7D74" w:rsidRPr="00AC3823" w:rsidRDefault="001C7D74" w:rsidP="00AC3823">
      <w:pPr>
        <w:pStyle w:val="Footer"/>
      </w:pPr>
    </w:p>
  </w:endnote>
  <w:endnote w:type="continuationNotice" w:id="1">
    <w:p w14:paraId="1D490E95" w14:textId="77777777" w:rsidR="001C7D74" w:rsidRDefault="001C7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BD24" w14:textId="77777777" w:rsidR="003001A3" w:rsidRPr="003001A3" w:rsidRDefault="003001A3" w:rsidP="003001A3">
    <w:pPr>
      <w:pStyle w:val="Footer"/>
      <w:tabs>
        <w:tab w:val="right" w:pos="9638"/>
      </w:tabs>
    </w:pPr>
    <w:r w:rsidRPr="003001A3">
      <w:rPr>
        <w:b/>
        <w:sz w:val="18"/>
      </w:rPr>
      <w:fldChar w:fldCharType="begin"/>
    </w:r>
    <w:r w:rsidRPr="003001A3">
      <w:rPr>
        <w:b/>
        <w:sz w:val="18"/>
      </w:rPr>
      <w:instrText xml:space="preserve"> PAGE  \* MERGEFORMAT </w:instrText>
    </w:r>
    <w:r w:rsidRPr="003001A3">
      <w:rPr>
        <w:b/>
        <w:sz w:val="18"/>
      </w:rPr>
      <w:fldChar w:fldCharType="separate"/>
    </w:r>
    <w:r w:rsidRPr="003001A3">
      <w:rPr>
        <w:b/>
        <w:noProof/>
        <w:sz w:val="18"/>
      </w:rPr>
      <w:t>2</w:t>
    </w:r>
    <w:r w:rsidRPr="003001A3">
      <w:rPr>
        <w:b/>
        <w:sz w:val="18"/>
      </w:rPr>
      <w:fldChar w:fldCharType="end"/>
    </w:r>
    <w:r>
      <w:rPr>
        <w:b/>
        <w:sz w:val="18"/>
      </w:rPr>
      <w:tab/>
    </w:r>
    <w:r>
      <w:t>GE.19-15644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4D3E" w14:textId="77777777" w:rsidR="003001A3" w:rsidRPr="003001A3" w:rsidRDefault="003001A3" w:rsidP="003001A3">
    <w:pPr>
      <w:pStyle w:val="Footer"/>
      <w:tabs>
        <w:tab w:val="right" w:pos="9638"/>
      </w:tabs>
      <w:rPr>
        <w:b/>
        <w:sz w:val="18"/>
      </w:rPr>
    </w:pPr>
    <w:r>
      <w:t>GE.19-15644</w:t>
    </w:r>
    <w:r>
      <w:tab/>
    </w:r>
    <w:r w:rsidRPr="003001A3">
      <w:rPr>
        <w:b/>
        <w:sz w:val="18"/>
      </w:rPr>
      <w:fldChar w:fldCharType="begin"/>
    </w:r>
    <w:r w:rsidRPr="003001A3">
      <w:rPr>
        <w:b/>
        <w:sz w:val="18"/>
      </w:rPr>
      <w:instrText xml:space="preserve"> PAGE  \* MERGEFORMAT </w:instrText>
    </w:r>
    <w:r w:rsidRPr="003001A3">
      <w:rPr>
        <w:b/>
        <w:sz w:val="18"/>
      </w:rPr>
      <w:fldChar w:fldCharType="separate"/>
    </w:r>
    <w:r w:rsidRPr="003001A3">
      <w:rPr>
        <w:b/>
        <w:noProof/>
        <w:sz w:val="18"/>
      </w:rPr>
      <w:t>3</w:t>
    </w:r>
    <w:r w:rsidRPr="003001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5819" w14:textId="77777777" w:rsidR="0068456F" w:rsidRPr="003001A3" w:rsidRDefault="003001A3" w:rsidP="003001A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61C1CBC" wp14:editId="3F8734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15644  (</w:t>
    </w:r>
    <w:proofErr w:type="gramEnd"/>
    <w:r>
      <w:rPr>
        <w:sz w:val="20"/>
      </w:rPr>
      <w:t>F)    151019    151019</w:t>
    </w:r>
    <w:r>
      <w:rPr>
        <w:sz w:val="20"/>
      </w:rPr>
      <w:br/>
    </w:r>
    <w:r w:rsidRPr="003001A3">
      <w:rPr>
        <w:rFonts w:ascii="C39T30Lfz" w:hAnsi="C39T30Lfz"/>
        <w:sz w:val="56"/>
      </w:rPr>
      <w:t></w:t>
    </w:r>
    <w:r w:rsidRPr="003001A3">
      <w:rPr>
        <w:rFonts w:ascii="C39T30Lfz" w:hAnsi="C39T30Lfz"/>
        <w:sz w:val="56"/>
      </w:rPr>
      <w:t></w:t>
    </w:r>
    <w:r w:rsidRPr="003001A3">
      <w:rPr>
        <w:rFonts w:ascii="C39T30Lfz" w:hAnsi="C39T30Lfz"/>
        <w:sz w:val="56"/>
      </w:rPr>
      <w:t></w:t>
    </w:r>
    <w:r w:rsidRPr="003001A3">
      <w:rPr>
        <w:rFonts w:ascii="C39T30Lfz" w:hAnsi="C39T30Lfz"/>
        <w:sz w:val="56"/>
      </w:rPr>
      <w:t></w:t>
    </w:r>
    <w:r w:rsidRPr="003001A3">
      <w:rPr>
        <w:rFonts w:ascii="C39T30Lfz" w:hAnsi="C39T30Lfz"/>
        <w:sz w:val="56"/>
      </w:rPr>
      <w:t></w:t>
    </w:r>
    <w:r w:rsidRPr="003001A3">
      <w:rPr>
        <w:rFonts w:ascii="C39T30Lfz" w:hAnsi="C39T30Lfz"/>
        <w:sz w:val="56"/>
      </w:rPr>
      <w:t></w:t>
    </w:r>
    <w:r w:rsidRPr="003001A3">
      <w:rPr>
        <w:rFonts w:ascii="C39T30Lfz" w:hAnsi="C39T30Lfz"/>
        <w:sz w:val="56"/>
      </w:rPr>
      <w:t></w:t>
    </w:r>
    <w:r w:rsidRPr="003001A3">
      <w:rPr>
        <w:rFonts w:ascii="C39T30Lfz" w:hAnsi="C39T30Lfz"/>
        <w:sz w:val="56"/>
      </w:rPr>
      <w:t></w:t>
    </w:r>
    <w:r w:rsidRPr="003001A3">
      <w:rPr>
        <w:rFonts w:ascii="C39T30Lfz" w:hAnsi="C39T30Lfz"/>
        <w:sz w:val="56"/>
      </w:rPr>
      <w:t></w:t>
    </w:r>
    <w:r>
      <w:rPr>
        <w:noProof/>
        <w:sz w:val="20"/>
      </w:rPr>
      <w:drawing>
        <wp:anchor distT="0" distB="0" distL="114300" distR="114300" simplePos="0" relativeHeight="251658240" behindDoc="0" locked="0" layoutInCell="1" allowOverlap="1" wp14:anchorId="41087579" wp14:editId="7C8F793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5F14" w14:textId="77777777" w:rsidR="001C7D74" w:rsidRPr="00AC3823" w:rsidRDefault="001C7D74" w:rsidP="00AC3823">
      <w:pPr>
        <w:pStyle w:val="Footer"/>
        <w:tabs>
          <w:tab w:val="right" w:pos="2155"/>
        </w:tabs>
        <w:spacing w:after="80" w:line="240" w:lineRule="atLeast"/>
        <w:ind w:left="680"/>
        <w:rPr>
          <w:u w:val="single"/>
        </w:rPr>
      </w:pPr>
      <w:r>
        <w:rPr>
          <w:u w:val="single"/>
        </w:rPr>
        <w:tab/>
      </w:r>
    </w:p>
  </w:footnote>
  <w:footnote w:type="continuationSeparator" w:id="0">
    <w:p w14:paraId="6DB37D27" w14:textId="77777777" w:rsidR="001C7D74" w:rsidRPr="00AC3823" w:rsidRDefault="001C7D74" w:rsidP="00AC3823">
      <w:pPr>
        <w:pStyle w:val="Footer"/>
        <w:tabs>
          <w:tab w:val="right" w:pos="2155"/>
        </w:tabs>
        <w:spacing w:after="80" w:line="240" w:lineRule="atLeast"/>
        <w:ind w:left="680"/>
        <w:rPr>
          <w:u w:val="single"/>
        </w:rPr>
      </w:pPr>
      <w:r>
        <w:rPr>
          <w:u w:val="single"/>
        </w:rPr>
        <w:tab/>
      </w:r>
    </w:p>
  </w:footnote>
  <w:footnote w:type="continuationNotice" w:id="1">
    <w:p w14:paraId="224B6D17" w14:textId="77777777" w:rsidR="001C7D74" w:rsidRPr="00AC3823" w:rsidRDefault="001C7D74">
      <w:pPr>
        <w:spacing w:line="240" w:lineRule="auto"/>
        <w:rPr>
          <w:sz w:val="2"/>
          <w:szCs w:val="2"/>
        </w:rPr>
      </w:pPr>
    </w:p>
  </w:footnote>
  <w:footnote w:id="2">
    <w:p w14:paraId="272975FE" w14:textId="77777777" w:rsidR="00E3244C" w:rsidRPr="00D446A3" w:rsidRDefault="00DF405B" w:rsidP="00591962">
      <w:pPr>
        <w:pStyle w:val="FootnoteText"/>
      </w:pPr>
      <w:r>
        <w:rPr>
          <w:vertAlign w:val="superscript"/>
          <w:lang w:val="fr-FR"/>
        </w:rPr>
        <w:tab/>
      </w:r>
      <w:r w:rsidR="00E3244C" w:rsidRPr="00DF405B">
        <w:rPr>
          <w:sz w:val="20"/>
          <w:lang w:val="fr-FR"/>
        </w:rPr>
        <w:t>*</w:t>
      </w:r>
      <w:r w:rsidR="00E3244C">
        <w:rPr>
          <w:lang w:val="fr-FR"/>
        </w:rPr>
        <w:t xml:space="preserve"> </w:t>
      </w:r>
      <w:r w:rsidR="00E3244C">
        <w:rPr>
          <w:lang w:val="fr-FR"/>
        </w:rPr>
        <w:tab/>
        <w:t>Conformément au programme de travail du Sous-Comité pour la période 2019-2020, approuvé par le Comité à sa neuvième session (voir ST/SG/AC.10/C.3/108, par.</w:t>
      </w:r>
      <w:r w:rsidR="00591962">
        <w:rPr>
          <w:lang w:val="fr-FR"/>
        </w:rPr>
        <w:t> </w:t>
      </w:r>
      <w:r w:rsidR="00E3244C">
        <w:rPr>
          <w:lang w:val="fr-FR"/>
        </w:rPr>
        <w:t>141</w:t>
      </w:r>
      <w:r w:rsidR="00591962">
        <w:rPr>
          <w:lang w:val="fr-FR"/>
        </w:rPr>
        <w:t>,</w:t>
      </w:r>
      <w:r w:rsidR="00E3244C">
        <w:rPr>
          <w:lang w:val="fr-FR"/>
        </w:rPr>
        <w:t xml:space="preserve">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FB94" w14:textId="615899FD" w:rsidR="003001A3" w:rsidRPr="003001A3" w:rsidRDefault="00AC5E7F">
    <w:pPr>
      <w:pStyle w:val="Header"/>
    </w:pPr>
    <w:r>
      <w:fldChar w:fldCharType="begin"/>
    </w:r>
    <w:r>
      <w:instrText xml:space="preserve"> TITLE  \* MERGEFORMAT </w:instrText>
    </w:r>
    <w:r>
      <w:fldChar w:fldCharType="separate"/>
    </w:r>
    <w:r>
      <w:t>ST/SG/AC.10/C.3/2019/69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ED4A" w14:textId="04E65CDC" w:rsidR="003001A3" w:rsidRPr="003001A3" w:rsidRDefault="00AC5E7F" w:rsidP="003001A3">
    <w:pPr>
      <w:pStyle w:val="Header"/>
      <w:jc w:val="right"/>
    </w:pPr>
    <w:r>
      <w:fldChar w:fldCharType="begin"/>
    </w:r>
    <w:r>
      <w:instrText xml:space="preserve"> TITLE  \* MERGEFORMAT </w:instrText>
    </w:r>
    <w:r>
      <w:fldChar w:fldCharType="separate"/>
    </w:r>
    <w:r>
      <w:t>ST/SG/AC.10/C.3/2019/69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4"/>
    <w:rsid w:val="00010F98"/>
    <w:rsid w:val="00017F94"/>
    <w:rsid w:val="00023842"/>
    <w:rsid w:val="000305D3"/>
    <w:rsid w:val="000334F9"/>
    <w:rsid w:val="0007796D"/>
    <w:rsid w:val="000B7790"/>
    <w:rsid w:val="00111F2F"/>
    <w:rsid w:val="00132EA9"/>
    <w:rsid w:val="001424AB"/>
    <w:rsid w:val="0014365E"/>
    <w:rsid w:val="001625F9"/>
    <w:rsid w:val="00176178"/>
    <w:rsid w:val="001C4787"/>
    <w:rsid w:val="001C7D74"/>
    <w:rsid w:val="001F525A"/>
    <w:rsid w:val="00223272"/>
    <w:rsid w:val="0024779E"/>
    <w:rsid w:val="00283190"/>
    <w:rsid w:val="002832AC"/>
    <w:rsid w:val="00285795"/>
    <w:rsid w:val="002D7C93"/>
    <w:rsid w:val="003001A3"/>
    <w:rsid w:val="00306533"/>
    <w:rsid w:val="00315EAF"/>
    <w:rsid w:val="003930F7"/>
    <w:rsid w:val="003B2607"/>
    <w:rsid w:val="003D43ED"/>
    <w:rsid w:val="00441C3B"/>
    <w:rsid w:val="00446FE5"/>
    <w:rsid w:val="00452396"/>
    <w:rsid w:val="004616E1"/>
    <w:rsid w:val="004802A3"/>
    <w:rsid w:val="004C1E51"/>
    <w:rsid w:val="004E468C"/>
    <w:rsid w:val="005505B7"/>
    <w:rsid w:val="00564983"/>
    <w:rsid w:val="00573BE5"/>
    <w:rsid w:val="00584DC4"/>
    <w:rsid w:val="00586ED3"/>
    <w:rsid w:val="00591962"/>
    <w:rsid w:val="00596AA9"/>
    <w:rsid w:val="0068456F"/>
    <w:rsid w:val="006B48E6"/>
    <w:rsid w:val="0071601D"/>
    <w:rsid w:val="007707D6"/>
    <w:rsid w:val="007821CB"/>
    <w:rsid w:val="007A62E6"/>
    <w:rsid w:val="007C3658"/>
    <w:rsid w:val="008036B8"/>
    <w:rsid w:val="0080684C"/>
    <w:rsid w:val="00871C75"/>
    <w:rsid w:val="008776DC"/>
    <w:rsid w:val="008B40CD"/>
    <w:rsid w:val="009705C8"/>
    <w:rsid w:val="009C1CF4"/>
    <w:rsid w:val="00A30353"/>
    <w:rsid w:val="00AC3823"/>
    <w:rsid w:val="00AC3918"/>
    <w:rsid w:val="00AC5E7F"/>
    <w:rsid w:val="00AE323C"/>
    <w:rsid w:val="00B00181"/>
    <w:rsid w:val="00B00B0D"/>
    <w:rsid w:val="00B765F7"/>
    <w:rsid w:val="00BA0CA9"/>
    <w:rsid w:val="00BE7316"/>
    <w:rsid w:val="00C02897"/>
    <w:rsid w:val="00C15800"/>
    <w:rsid w:val="00C24560"/>
    <w:rsid w:val="00D3439C"/>
    <w:rsid w:val="00D72125"/>
    <w:rsid w:val="00D976E1"/>
    <w:rsid w:val="00DB1831"/>
    <w:rsid w:val="00DD3BFD"/>
    <w:rsid w:val="00DF405B"/>
    <w:rsid w:val="00DF6678"/>
    <w:rsid w:val="00E0052A"/>
    <w:rsid w:val="00E3244C"/>
    <w:rsid w:val="00EF2E22"/>
    <w:rsid w:val="00F01738"/>
    <w:rsid w:val="00F52461"/>
    <w:rsid w:val="00F660DF"/>
    <w:rsid w:val="00F71FF8"/>
    <w:rsid w:val="00F730C8"/>
    <w:rsid w:val="00F8709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3B777"/>
  <w15:docId w15:val="{552FE7AA-3435-43AD-9402-7C3E9D33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E3244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E3244C"/>
    <w:rPr>
      <w:rFonts w:ascii="Times New Roman" w:eastAsiaTheme="minorHAnsi" w:hAnsi="Times New Roman" w:cs="Times New Roman"/>
      <w:sz w:val="20"/>
      <w:szCs w:val="20"/>
      <w:lang w:eastAsia="en-US"/>
    </w:rPr>
  </w:style>
  <w:style w:type="character" w:customStyle="1" w:styleId="H1GChar">
    <w:name w:val="_ H_1_G Char"/>
    <w:link w:val="H1G"/>
    <w:rsid w:val="00E3244C"/>
    <w:rPr>
      <w:rFonts w:ascii="Times New Roman" w:eastAsiaTheme="minorHAnsi" w:hAnsi="Times New Roman" w:cs="Times New Roman"/>
      <w:b/>
      <w:sz w:val="24"/>
      <w:szCs w:val="20"/>
      <w:lang w:eastAsia="en-US"/>
    </w:rPr>
  </w:style>
  <w:style w:type="character" w:customStyle="1" w:styleId="H23GChar">
    <w:name w:val="_ H_2/3_G Char"/>
    <w:link w:val="H23G"/>
    <w:rsid w:val="00E3244C"/>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1858</Words>
  <Characters>10592</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ST/SG/AC.10/C.3/2019/69</vt:lpstr>
      <vt:lpstr>ST/SG/AC.10/C.3/2019/69</vt:lpstr>
    </vt:vector>
  </TitlesOfParts>
  <Company>DCM</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ST/SG/AC.10/C.3/2019/69</dc:title>
  <dc:subject/>
  <dc:creator>Nathalie VITTOZ</dc:creator>
  <cp:keywords/>
  <cp:lastModifiedBy>Laurence Berthet</cp:lastModifiedBy>
  <cp:revision>3</cp:revision>
  <cp:lastPrinted>2019-10-15T14:04:00Z</cp:lastPrinted>
  <dcterms:created xsi:type="dcterms:W3CDTF">2019-10-15T14:04:00Z</dcterms:created>
  <dcterms:modified xsi:type="dcterms:W3CDTF">2019-10-15T14:05:00Z</dcterms:modified>
</cp:coreProperties>
</file>