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EA806DC" w14:textId="77777777" w:rsidTr="00F01738">
        <w:trPr>
          <w:trHeight w:hRule="exact" w:val="851"/>
        </w:trPr>
        <w:tc>
          <w:tcPr>
            <w:tcW w:w="1276" w:type="dxa"/>
            <w:tcBorders>
              <w:bottom w:val="single" w:sz="4" w:space="0" w:color="auto"/>
            </w:tcBorders>
          </w:tcPr>
          <w:p w14:paraId="620126C7" w14:textId="77777777" w:rsidR="00132EA9" w:rsidRPr="00DB58B5" w:rsidRDefault="00132EA9" w:rsidP="00E81F28">
            <w:bookmarkStart w:id="0" w:name="_GoBack"/>
            <w:bookmarkEnd w:id="0"/>
          </w:p>
        </w:tc>
        <w:tc>
          <w:tcPr>
            <w:tcW w:w="2268" w:type="dxa"/>
            <w:tcBorders>
              <w:bottom w:val="single" w:sz="4" w:space="0" w:color="auto"/>
            </w:tcBorders>
            <w:vAlign w:val="bottom"/>
          </w:tcPr>
          <w:p w14:paraId="61398B1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98DECB" w14:textId="77777777" w:rsidR="00132EA9" w:rsidRPr="00DB58B5" w:rsidRDefault="00E81F28" w:rsidP="00E81F28">
            <w:pPr>
              <w:jc w:val="right"/>
            </w:pPr>
            <w:r w:rsidRPr="00E81F28">
              <w:rPr>
                <w:sz w:val="40"/>
              </w:rPr>
              <w:t>ST</w:t>
            </w:r>
            <w:r>
              <w:t>/SG/AC.10/C.3/2019/4</w:t>
            </w:r>
          </w:p>
        </w:tc>
      </w:tr>
      <w:tr w:rsidR="00132EA9" w:rsidRPr="00DB58B5" w14:paraId="5914BB13" w14:textId="77777777" w:rsidTr="00F01738">
        <w:trPr>
          <w:trHeight w:hRule="exact" w:val="2835"/>
        </w:trPr>
        <w:tc>
          <w:tcPr>
            <w:tcW w:w="1276" w:type="dxa"/>
            <w:tcBorders>
              <w:top w:val="single" w:sz="4" w:space="0" w:color="auto"/>
              <w:bottom w:val="single" w:sz="12" w:space="0" w:color="auto"/>
            </w:tcBorders>
          </w:tcPr>
          <w:p w14:paraId="4F1BFC2A" w14:textId="77777777" w:rsidR="00132EA9" w:rsidRPr="00DB58B5" w:rsidRDefault="00132EA9" w:rsidP="00F01738">
            <w:pPr>
              <w:spacing w:before="120"/>
              <w:jc w:val="center"/>
            </w:pPr>
            <w:r>
              <w:rPr>
                <w:noProof/>
                <w:lang w:eastAsia="fr-CH"/>
              </w:rPr>
              <w:drawing>
                <wp:inline distT="0" distB="0" distL="0" distR="0" wp14:anchorId="6BA546BA" wp14:editId="3E9738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A5B3B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2EC793B" w14:textId="77777777" w:rsidR="00132EA9" w:rsidRDefault="00E81F28" w:rsidP="00F01738">
            <w:pPr>
              <w:spacing w:before="240"/>
            </w:pPr>
            <w:r>
              <w:t>Distr. générale</w:t>
            </w:r>
          </w:p>
          <w:p w14:paraId="14F388C1" w14:textId="77777777" w:rsidR="00E81F28" w:rsidRDefault="00E81F28" w:rsidP="00E81F28">
            <w:pPr>
              <w:spacing w:line="240" w:lineRule="exact"/>
            </w:pPr>
            <w:r>
              <w:t>2</w:t>
            </w:r>
            <w:r w:rsidR="00D13F2A">
              <w:t>5</w:t>
            </w:r>
            <w:r>
              <w:t xml:space="preserve"> mars 2019</w:t>
            </w:r>
          </w:p>
          <w:p w14:paraId="5DD2100E" w14:textId="77777777" w:rsidR="00E81F28" w:rsidRDefault="00E81F28" w:rsidP="00E81F28">
            <w:pPr>
              <w:spacing w:line="240" w:lineRule="exact"/>
            </w:pPr>
            <w:r>
              <w:t>Français</w:t>
            </w:r>
          </w:p>
          <w:p w14:paraId="5EBECEE9" w14:textId="77777777" w:rsidR="00E81F28" w:rsidRPr="00DB58B5" w:rsidRDefault="00E81F28" w:rsidP="00E81F28">
            <w:pPr>
              <w:spacing w:line="240" w:lineRule="exact"/>
            </w:pPr>
            <w:r>
              <w:t>Original : anglais</w:t>
            </w:r>
          </w:p>
        </w:tc>
      </w:tr>
    </w:tbl>
    <w:p w14:paraId="0B59C077" w14:textId="77777777" w:rsidR="00E81F28" w:rsidRPr="00CA0680" w:rsidRDefault="00E81F28" w:rsidP="000305D3">
      <w:pPr>
        <w:spacing w:before="120"/>
        <w:rPr>
          <w:b/>
          <w:sz w:val="24"/>
          <w:szCs w:val="24"/>
        </w:rPr>
      </w:pPr>
      <w:r w:rsidRPr="00CA0680">
        <w:rPr>
          <w:b/>
          <w:sz w:val="24"/>
          <w:szCs w:val="24"/>
        </w:rPr>
        <w:t>Comité d</w:t>
      </w:r>
      <w:r w:rsidR="00D3733B">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3733B">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D3952AD" w14:textId="77777777" w:rsidR="00E81F28" w:rsidRPr="00CA0680" w:rsidRDefault="00E81F28" w:rsidP="000305D3">
      <w:pPr>
        <w:spacing w:before="120"/>
        <w:rPr>
          <w:b/>
        </w:rPr>
      </w:pPr>
      <w:r w:rsidRPr="00CA0680">
        <w:rPr>
          <w:b/>
        </w:rPr>
        <w:t>Sous</w:t>
      </w:r>
      <w:r>
        <w:rPr>
          <w:b/>
        </w:rPr>
        <w:t>-</w:t>
      </w:r>
      <w:r w:rsidRPr="00CA0680">
        <w:rPr>
          <w:b/>
        </w:rPr>
        <w:t>Comité d</w:t>
      </w:r>
      <w:r w:rsidR="00D3733B">
        <w:rPr>
          <w:b/>
        </w:rPr>
        <w:t>’</w:t>
      </w:r>
      <w:r w:rsidRPr="00CA0680">
        <w:rPr>
          <w:b/>
        </w:rPr>
        <w:t>experts du transport des marchandises dangereuses</w:t>
      </w:r>
    </w:p>
    <w:p w14:paraId="6B256839" w14:textId="77777777" w:rsidR="00E81F28" w:rsidRDefault="00E57302" w:rsidP="000305D3">
      <w:pPr>
        <w:spacing w:before="120"/>
        <w:rPr>
          <w:b/>
        </w:rPr>
      </w:pPr>
      <w:r w:rsidRPr="00E57302">
        <w:rPr>
          <w:b/>
        </w:rPr>
        <w:t>Cinquante-cinquième</w:t>
      </w:r>
      <w:r w:rsidR="00E81F28">
        <w:rPr>
          <w:b/>
        </w:rPr>
        <w:t xml:space="preserve"> </w:t>
      </w:r>
      <w:r w:rsidR="00E81F28" w:rsidRPr="00CA0680">
        <w:rPr>
          <w:b/>
        </w:rPr>
        <w:t>session</w:t>
      </w:r>
    </w:p>
    <w:p w14:paraId="151C4773" w14:textId="77777777" w:rsidR="00E81F28" w:rsidRDefault="00E81F28" w:rsidP="000305D3">
      <w:r>
        <w:t xml:space="preserve">Genève, </w:t>
      </w:r>
      <w:r w:rsidR="00E57302" w:rsidRPr="007E5A17">
        <w:t>1</w:t>
      </w:r>
      <w:r w:rsidR="00C6528A" w:rsidRPr="00C6528A">
        <w:rPr>
          <w:vertAlign w:val="superscript"/>
        </w:rPr>
        <w:t>er</w:t>
      </w:r>
      <w:r w:rsidR="00E57302" w:rsidRPr="007E5A17">
        <w:t xml:space="preserve">-5 </w:t>
      </w:r>
      <w:r w:rsidR="00E57302" w:rsidRPr="00A0505A">
        <w:t xml:space="preserve">juillet </w:t>
      </w:r>
      <w:r w:rsidR="00E57302" w:rsidRPr="007E5A17">
        <w:t>2019</w:t>
      </w:r>
    </w:p>
    <w:p w14:paraId="78EDBA40" w14:textId="77777777" w:rsidR="00E81F28" w:rsidRDefault="00E81F28" w:rsidP="000305D3">
      <w:r>
        <w:t>Point</w:t>
      </w:r>
      <w:r w:rsidR="00E57302">
        <w:t> </w:t>
      </w:r>
      <w:r w:rsidR="00E57302" w:rsidRPr="007E5A17">
        <w:t>6</w:t>
      </w:r>
      <w:r w:rsidR="00E57302">
        <w:t> </w:t>
      </w:r>
      <w:r w:rsidR="00E57302" w:rsidRPr="007E5A17">
        <w:t>e)</w:t>
      </w:r>
      <w:r>
        <w:t xml:space="preserve"> de l</w:t>
      </w:r>
      <w:r w:rsidR="00D3733B">
        <w:t>’</w:t>
      </w:r>
      <w:r>
        <w:t>ordre du jour provisoire</w:t>
      </w:r>
    </w:p>
    <w:p w14:paraId="530F2149" w14:textId="77777777" w:rsidR="00E57302" w:rsidRPr="00E57302" w:rsidRDefault="00E57302" w:rsidP="00E57302">
      <w:pPr>
        <w:rPr>
          <w:b/>
        </w:rPr>
      </w:pPr>
      <w:r w:rsidRPr="00E57302">
        <w:rPr>
          <w:b/>
        </w:rPr>
        <w:t>Propositions diverses d</w:t>
      </w:r>
      <w:r w:rsidR="00D3733B">
        <w:rPr>
          <w:b/>
        </w:rPr>
        <w:t>’</w:t>
      </w:r>
      <w:r w:rsidRPr="00E57302">
        <w:rPr>
          <w:b/>
        </w:rPr>
        <w:t>amendements au Règlement type</w:t>
      </w:r>
      <w:r w:rsidRPr="00E57302">
        <w:rPr>
          <w:b/>
        </w:rPr>
        <w:br/>
        <w:t>pour le transport des marchandises dangereuses</w:t>
      </w:r>
      <w:r w:rsidR="00D3733B">
        <w:rPr>
          <w:b/>
        </w:rPr>
        <w:t> </w:t>
      </w:r>
      <w:r w:rsidRPr="00E57302">
        <w:rPr>
          <w:b/>
        </w:rPr>
        <w:t xml:space="preserve">: </w:t>
      </w:r>
    </w:p>
    <w:p w14:paraId="067CC710" w14:textId="77777777" w:rsidR="00E57302" w:rsidRPr="007E5A17" w:rsidRDefault="00E57302" w:rsidP="00E57302">
      <w:r w:rsidRPr="00E57302">
        <w:rPr>
          <w:b/>
        </w:rPr>
        <w:t>Autres propositions diverses</w:t>
      </w:r>
    </w:p>
    <w:p w14:paraId="7BED669C" w14:textId="77777777" w:rsidR="00E57302" w:rsidRPr="00C072BE" w:rsidRDefault="00E57302" w:rsidP="00E57302">
      <w:pPr>
        <w:pStyle w:val="HChG"/>
      </w:pPr>
      <w:r w:rsidRPr="00D611D1">
        <w:tab/>
      </w:r>
      <w:r w:rsidRPr="00D611D1">
        <w:tab/>
      </w:r>
      <w:r w:rsidRPr="00C072BE">
        <w:t xml:space="preserve">Harmonisation de la prescription </w:t>
      </w:r>
      <w:r w:rsidR="00D13F2A">
        <w:br/>
      </w:r>
      <w:r>
        <w:t>« </w:t>
      </w:r>
      <w:r w:rsidRPr="00C072BE">
        <w:t>structurellement propre à</w:t>
      </w:r>
      <w:r w:rsidR="00D13F2A">
        <w:t xml:space="preserve"> </w:t>
      </w:r>
      <w:r w:rsidRPr="00C072BE">
        <w:t>l</w:t>
      </w:r>
      <w:r w:rsidR="00D3733B">
        <w:t>’</w:t>
      </w:r>
      <w:r w:rsidRPr="00C072BE">
        <w:t>emploi</w:t>
      </w:r>
      <w:r>
        <w:t> »</w:t>
      </w:r>
    </w:p>
    <w:p w14:paraId="5D86588B" w14:textId="77777777" w:rsidR="00E57302" w:rsidRPr="00C072BE" w:rsidRDefault="00E57302" w:rsidP="00E57302">
      <w:pPr>
        <w:pStyle w:val="H1G"/>
      </w:pPr>
      <w:r w:rsidRPr="00C072BE">
        <w:tab/>
      </w:r>
      <w:r w:rsidRPr="00C072BE">
        <w:tab/>
      </w:r>
      <w:r>
        <w:t xml:space="preserve">Communication des </w:t>
      </w:r>
      <w:r w:rsidRPr="00C072BE">
        <w:t>expert</w:t>
      </w:r>
      <w:r>
        <w:t>s</w:t>
      </w:r>
      <w:r w:rsidRPr="00C072BE">
        <w:t xml:space="preserve"> de l</w:t>
      </w:r>
      <w:r w:rsidR="00D3733B">
        <w:t>’</w:t>
      </w:r>
      <w:r w:rsidRPr="00C072BE">
        <w:t>Allemagne et du Conseil européen de</w:t>
      </w:r>
      <w:r>
        <w:t> </w:t>
      </w:r>
      <w:r w:rsidRPr="00C072BE">
        <w:t>l</w:t>
      </w:r>
      <w:r w:rsidR="00D3733B">
        <w:t>’</w:t>
      </w:r>
      <w:r w:rsidRPr="00C072BE">
        <w:t>industrie chimique (CEFIC)</w:t>
      </w:r>
      <w:r w:rsidR="00C713B3" w:rsidRPr="00C713B3">
        <w:rPr>
          <w:rStyle w:val="FootnoteReference"/>
          <w:b w:val="0"/>
          <w:sz w:val="20"/>
          <w:vertAlign w:val="baseline"/>
        </w:rPr>
        <w:footnoteReference w:customMarkFollows="1" w:id="2"/>
        <w:t>*</w:t>
      </w:r>
    </w:p>
    <w:p w14:paraId="05FFBFAA" w14:textId="77777777" w:rsidR="00E57302" w:rsidRPr="00D611D1" w:rsidRDefault="00E57302" w:rsidP="00E57302">
      <w:pPr>
        <w:pStyle w:val="HChG"/>
      </w:pPr>
      <w:r w:rsidRPr="00C072BE">
        <w:tab/>
      </w:r>
      <w:r w:rsidRPr="00C072BE">
        <w:tab/>
      </w:r>
      <w:r w:rsidRPr="00D611D1">
        <w:t>Introduction</w:t>
      </w:r>
    </w:p>
    <w:p w14:paraId="3F689734" w14:textId="77777777" w:rsidR="00E57302" w:rsidRPr="00C072BE" w:rsidRDefault="00E57302" w:rsidP="00E57302">
      <w:pPr>
        <w:pStyle w:val="SingleTxtG"/>
      </w:pPr>
      <w:r w:rsidRPr="00C072BE">
        <w:t>1.</w:t>
      </w:r>
      <w:r w:rsidRPr="00C072BE">
        <w:tab/>
        <w:t>Lors de la dernière session du Sous-Comité</w:t>
      </w:r>
      <w:r>
        <w:t xml:space="preserve">, les experts </w:t>
      </w:r>
      <w:r w:rsidRPr="00E24925">
        <w:t>de l</w:t>
      </w:r>
      <w:r w:rsidR="00D3733B">
        <w:t>’</w:t>
      </w:r>
      <w:r w:rsidRPr="00E24925">
        <w:t>Allemagne et du CEFIC</w:t>
      </w:r>
      <w:r>
        <w:t xml:space="preserve"> ont présenté des propositions visant à h</w:t>
      </w:r>
      <w:r w:rsidRPr="00E24925">
        <w:t>armonis</w:t>
      </w:r>
      <w:r>
        <w:t xml:space="preserve">er </w:t>
      </w:r>
      <w:r w:rsidRPr="00E24925">
        <w:t xml:space="preserve">la prescription </w:t>
      </w:r>
      <w:r>
        <w:t>« </w:t>
      </w:r>
      <w:r w:rsidRPr="00E24925">
        <w:t>structurellement propre à l</w:t>
      </w:r>
      <w:r w:rsidR="00D3733B">
        <w:t>’</w:t>
      </w:r>
      <w:r w:rsidRPr="00E24925">
        <w:t>emploi</w:t>
      </w:r>
      <w:r>
        <w:t xml:space="preserve"> » pour tous les conteneurs (voir le document informel </w:t>
      </w:r>
      <w:r w:rsidRPr="00C072BE">
        <w:t>INF.13 (</w:t>
      </w:r>
      <w:r>
        <w:t xml:space="preserve">cinquante-troisième </w:t>
      </w:r>
      <w:r w:rsidRPr="00C072BE">
        <w:t xml:space="preserve">session) </w:t>
      </w:r>
      <w:r>
        <w:t xml:space="preserve">et le document </w:t>
      </w:r>
      <w:r w:rsidRPr="00C072BE">
        <w:t>ST/SG/AC.10/C.3/2018/98).</w:t>
      </w:r>
    </w:p>
    <w:p w14:paraId="2A7D7371" w14:textId="77777777" w:rsidR="00E57302" w:rsidRPr="00FE1C6B" w:rsidRDefault="00E57302" w:rsidP="00E57302">
      <w:pPr>
        <w:pStyle w:val="SingleTxtG"/>
        <w:rPr>
          <w:lang w:val="fr-FR"/>
        </w:rPr>
      </w:pPr>
      <w:r w:rsidRPr="00C072BE">
        <w:t>2.</w:t>
      </w:r>
      <w:r w:rsidRPr="00C072BE">
        <w:tab/>
      </w:r>
      <w:r w:rsidRPr="00720E89">
        <w:t>Les prescriptions spéciales auxquelles doivent satisfaire les engins de transport destinés au transport de matières de la classe</w:t>
      </w:r>
      <w:r w:rsidR="00180441">
        <w:t> </w:t>
      </w:r>
      <w:r w:rsidRPr="00720E89">
        <w:t xml:space="preserve">1 sont énoncées au </w:t>
      </w:r>
      <w:r>
        <w:t>paragraphe</w:t>
      </w:r>
      <w:r w:rsidR="00180441">
        <w:t> </w:t>
      </w:r>
      <w:r w:rsidRPr="00720E89">
        <w:t>7.1.3.3 du Règlement type</w:t>
      </w:r>
      <w:r>
        <w:t>. Le paragraphe</w:t>
      </w:r>
      <w:r w:rsidR="00180441">
        <w:t> </w:t>
      </w:r>
      <w:r w:rsidRPr="00720E89">
        <w:t xml:space="preserve">7.1.3.3 </w:t>
      </w:r>
      <w:r>
        <w:t>d</w:t>
      </w:r>
      <w:r w:rsidRPr="00720E89">
        <w:t>ispose également que les conteneurs, les véhicules routiers et les wagons doivent être structurellement propres à l</w:t>
      </w:r>
      <w:r w:rsidR="00D3733B">
        <w:t>’</w:t>
      </w:r>
      <w:r w:rsidRPr="00720E89">
        <w:t xml:space="preserve">emploi. </w:t>
      </w:r>
      <w:r>
        <w:t xml:space="preserve">Cette </w:t>
      </w:r>
      <w:r w:rsidRPr="00720E89">
        <w:t xml:space="preserve">expression est définie au </w:t>
      </w:r>
      <w:r>
        <w:t>paragraphe</w:t>
      </w:r>
      <w:r w:rsidR="00180441">
        <w:t> </w:t>
      </w:r>
      <w:r w:rsidRPr="00720E89">
        <w:t>7.1.3.3.1 b)</w:t>
      </w:r>
      <w:r w:rsidR="00180441">
        <w:t> </w:t>
      </w:r>
      <w:r w:rsidRPr="00720E89">
        <w:t xml:space="preserve">: </w:t>
      </w:r>
      <w:r w:rsidR="00180441">
        <w:t>« </w:t>
      </w:r>
      <w:r w:rsidRPr="00720E89">
        <w:t xml:space="preserve">Le terme </w:t>
      </w:r>
      <w:r w:rsidRPr="00720E89">
        <w:rPr>
          <w:i/>
        </w:rPr>
        <w:t>structurellement propre à l</w:t>
      </w:r>
      <w:r w:rsidR="00D3733B">
        <w:rPr>
          <w:i/>
        </w:rPr>
        <w:t>’</w:t>
      </w:r>
      <w:r w:rsidRPr="00720E89">
        <w:rPr>
          <w:i/>
        </w:rPr>
        <w:t>emploi</w:t>
      </w:r>
      <w:r w:rsidRPr="00720E89">
        <w:t xml:space="preserve"> s</w:t>
      </w:r>
      <w:r w:rsidR="00D3733B">
        <w:t>’</w:t>
      </w:r>
      <w:r w:rsidRPr="00720E89">
        <w:t>entend d</w:t>
      </w:r>
      <w:r w:rsidR="00D3733B">
        <w:t>’</w:t>
      </w:r>
      <w:r w:rsidRPr="00720E89">
        <w:t>un conteneur, véhicule routier ou wagon qui ne présente pas de défauts importants affectant ses éléments structuraux tels que, pour les conteneurs, les longerons supérieurs et inférieurs, les traverses supérieures et inférieures, les seuils et linteaux de portes, les traverses de plancher, les montants d</w:t>
      </w:r>
      <w:r w:rsidR="00D3733B">
        <w:t>’</w:t>
      </w:r>
      <w:r w:rsidRPr="00720E89">
        <w:t>angle et les pièces de coin.</w:t>
      </w:r>
      <w:r w:rsidR="00180441">
        <w:t> »</w:t>
      </w:r>
      <w:r w:rsidRPr="00720E89">
        <w:t xml:space="preserve">. Cette définition comprend en outre des spécifications concernant les défauts, </w:t>
      </w:r>
      <w:r w:rsidRPr="00FE1C6B">
        <w:rPr>
          <w:lang w:val="fr-FR"/>
        </w:rPr>
        <w:t xml:space="preserve">en proscrivant la présence de </w:t>
      </w:r>
      <w:r w:rsidRPr="00FE1C6B">
        <w:rPr>
          <w:iCs/>
          <w:lang w:val="fr-FR"/>
        </w:rPr>
        <w:t xml:space="preserve">tout enfoncement ou pliure ayant plus de 19 mm de profondeur </w:t>
      </w:r>
      <w:r w:rsidRPr="00FE1C6B">
        <w:rPr>
          <w:lang w:val="fr-FR"/>
        </w:rPr>
        <w:t>et en limitant à un ou deux, selon l</w:t>
      </w:r>
      <w:r w:rsidR="00D3733B">
        <w:rPr>
          <w:lang w:val="fr-FR"/>
        </w:rPr>
        <w:t>’</w:t>
      </w:r>
      <w:r w:rsidRPr="00FE1C6B">
        <w:rPr>
          <w:lang w:val="fr-FR"/>
        </w:rPr>
        <w:t xml:space="preserve">élément structural, le nombre de raccords pouvant être </w:t>
      </w:r>
      <w:r w:rsidRPr="00FE1C6B">
        <w:rPr>
          <w:iCs/>
          <w:lang w:val="fr-FR"/>
        </w:rPr>
        <w:t>exécutés</w:t>
      </w:r>
      <w:r w:rsidRPr="00FE1C6B">
        <w:rPr>
          <w:i/>
          <w:iCs/>
          <w:lang w:val="fr-FR"/>
        </w:rPr>
        <w:t xml:space="preserve"> </w:t>
      </w:r>
      <w:r w:rsidRPr="00FE1C6B">
        <w:rPr>
          <w:lang w:val="fr-FR"/>
        </w:rPr>
        <w:t>en cas de réparation.</w:t>
      </w:r>
    </w:p>
    <w:p w14:paraId="29C28FD1" w14:textId="77777777" w:rsidR="00E57302" w:rsidRPr="00D611D1" w:rsidRDefault="00E57302" w:rsidP="00E57302">
      <w:pPr>
        <w:pStyle w:val="SingleTxtG"/>
      </w:pPr>
      <w:r w:rsidRPr="00C072BE">
        <w:t>3.</w:t>
      </w:r>
      <w:r w:rsidRPr="00C072BE">
        <w:tab/>
      </w:r>
      <w:r w:rsidRPr="00FE1C6B">
        <w:rPr>
          <w:lang w:val="fr-FR"/>
        </w:rPr>
        <w:t xml:space="preserve">Dans le Code maritime international des marchandises dangereuses (Code IMDG), </w:t>
      </w:r>
      <w:r>
        <w:rPr>
          <w:lang w:val="fr-FR"/>
        </w:rPr>
        <w:t>c</w:t>
      </w:r>
      <w:r w:rsidRPr="00FE1C6B">
        <w:rPr>
          <w:lang w:val="fr-FR"/>
        </w:rPr>
        <w:t xml:space="preserve">es prescriptions auxquelles doivent satisfaire les engins de transport pour le </w:t>
      </w:r>
      <w:r w:rsidRPr="00FE1C6B">
        <w:rPr>
          <w:iCs/>
          <w:lang w:val="fr-FR"/>
        </w:rPr>
        <w:t xml:space="preserve">transport de </w:t>
      </w:r>
      <w:r w:rsidRPr="00FE1C6B">
        <w:rPr>
          <w:iCs/>
          <w:lang w:val="fr-FR"/>
        </w:rPr>
        <w:lastRenderedPageBreak/>
        <w:t>matières de la classe 1</w:t>
      </w:r>
      <w:r w:rsidRPr="00FE1C6B">
        <w:rPr>
          <w:lang w:val="fr-FR"/>
        </w:rPr>
        <w:t>, à l</w:t>
      </w:r>
      <w:r w:rsidR="00D3733B">
        <w:rPr>
          <w:lang w:val="fr-FR"/>
        </w:rPr>
        <w:t>’</w:t>
      </w:r>
      <w:r w:rsidRPr="00FE1C6B">
        <w:rPr>
          <w:lang w:val="fr-FR"/>
        </w:rPr>
        <w:t>exception des éléments visés à la division 1.4, ont été appliquées en conséquence (sect</w:t>
      </w:r>
      <w:r>
        <w:rPr>
          <w:lang w:val="fr-FR"/>
        </w:rPr>
        <w:t>ion</w:t>
      </w:r>
      <w:r w:rsidRPr="00FE1C6B">
        <w:rPr>
          <w:lang w:val="fr-FR"/>
        </w:rPr>
        <w:t> 7.1.2 du Code IMDG)</w:t>
      </w:r>
      <w:r w:rsidR="00D3733B">
        <w:rPr>
          <w:lang w:val="fr-FR"/>
        </w:rPr>
        <w:t> </w:t>
      </w:r>
      <w:r w:rsidRPr="00FE1C6B">
        <w:rPr>
          <w:lang w:val="fr-FR"/>
        </w:rPr>
        <w:t>; dans le transport terrestre européen, les prescriptions correspondantes en matière d</w:t>
      </w:r>
      <w:r w:rsidR="00D3733B">
        <w:rPr>
          <w:lang w:val="fr-FR"/>
        </w:rPr>
        <w:t>’</w:t>
      </w:r>
      <w:r w:rsidRPr="00FE1C6B">
        <w:rPr>
          <w:lang w:val="fr-FR"/>
        </w:rPr>
        <w:t>aptitude structurelle à l</w:t>
      </w:r>
      <w:r w:rsidR="00D3733B">
        <w:rPr>
          <w:lang w:val="fr-FR"/>
        </w:rPr>
        <w:t>’</w:t>
      </w:r>
      <w:r w:rsidRPr="00FE1C6B">
        <w:rPr>
          <w:lang w:val="fr-FR"/>
        </w:rPr>
        <w:t xml:space="preserve">emploi ont été appliquées généralement à tous les grands conteneurs, indépendamment de la </w:t>
      </w:r>
      <w:r w:rsidRPr="00FE1C6B">
        <w:rPr>
          <w:iCs/>
          <w:lang w:val="fr-FR"/>
        </w:rPr>
        <w:t>classe des matières transportées</w:t>
      </w:r>
      <w:r w:rsidRPr="00FE1C6B">
        <w:rPr>
          <w:lang w:val="fr-FR"/>
        </w:rPr>
        <w:t xml:space="preserve"> (sect</w:t>
      </w:r>
      <w:r>
        <w:rPr>
          <w:lang w:val="fr-FR"/>
        </w:rPr>
        <w:t>ion</w:t>
      </w:r>
      <w:r w:rsidRPr="00FE1C6B">
        <w:rPr>
          <w:lang w:val="fr-FR"/>
        </w:rPr>
        <w:t> 7.1.4 du RID</w:t>
      </w:r>
      <w:r>
        <w:rPr>
          <w:lang w:val="fr-FR"/>
        </w:rPr>
        <w:t>/</w:t>
      </w:r>
      <w:r w:rsidRPr="00FE1C6B">
        <w:rPr>
          <w:lang w:val="fr-FR"/>
        </w:rPr>
        <w:t>ADR). Ainsi, l</w:t>
      </w:r>
      <w:r w:rsidR="00D3733B">
        <w:rPr>
          <w:lang w:val="fr-FR"/>
        </w:rPr>
        <w:t>’</w:t>
      </w:r>
      <w:r w:rsidRPr="00FE1C6B">
        <w:rPr>
          <w:lang w:val="fr-FR"/>
        </w:rPr>
        <w:t>application des prescriptions relatives à l</w:t>
      </w:r>
      <w:r w:rsidR="00D3733B">
        <w:rPr>
          <w:lang w:val="fr-FR"/>
        </w:rPr>
        <w:t>’</w:t>
      </w:r>
      <w:r w:rsidRPr="00FE1C6B">
        <w:rPr>
          <w:lang w:val="fr-FR"/>
        </w:rPr>
        <w:t>aptitude structurelle à l</w:t>
      </w:r>
      <w:r w:rsidR="00D3733B">
        <w:rPr>
          <w:lang w:val="fr-FR"/>
        </w:rPr>
        <w:t>’</w:t>
      </w:r>
      <w:r w:rsidRPr="00FE1C6B">
        <w:rPr>
          <w:lang w:val="fr-FR"/>
        </w:rPr>
        <w:t>emploi n</w:t>
      </w:r>
      <w:r w:rsidR="00D3733B">
        <w:rPr>
          <w:lang w:val="fr-FR"/>
        </w:rPr>
        <w:t>’</w:t>
      </w:r>
      <w:r w:rsidRPr="00FE1C6B">
        <w:rPr>
          <w:lang w:val="fr-FR"/>
        </w:rPr>
        <w:t xml:space="preserve">est pas harmonisée entre les différents modes de transport, à la seule exception des </w:t>
      </w:r>
      <w:r w:rsidRPr="00FE1C6B">
        <w:rPr>
          <w:iCs/>
          <w:lang w:val="fr-FR"/>
        </w:rPr>
        <w:t>conteneurs pour vrac</w:t>
      </w:r>
      <w:r w:rsidRPr="00FE1C6B">
        <w:rPr>
          <w:i/>
          <w:iCs/>
          <w:lang w:val="fr-FR"/>
        </w:rPr>
        <w:t xml:space="preserve"> </w:t>
      </w:r>
      <w:r w:rsidRPr="00FE1C6B">
        <w:rPr>
          <w:lang w:val="fr-FR"/>
        </w:rPr>
        <w:t xml:space="preserve">ou des </w:t>
      </w:r>
      <w:r w:rsidRPr="00FE1C6B">
        <w:rPr>
          <w:iCs/>
          <w:lang w:val="fr-FR"/>
        </w:rPr>
        <w:t>conteneurs pour vrac souples</w:t>
      </w:r>
      <w:r w:rsidRPr="00FE1C6B">
        <w:rPr>
          <w:lang w:val="fr-FR"/>
        </w:rPr>
        <w:t xml:space="preserve">, visés par les prescriptions des </w:t>
      </w:r>
      <w:r>
        <w:rPr>
          <w:lang w:val="fr-FR"/>
        </w:rPr>
        <w:t xml:space="preserve">paragraphes </w:t>
      </w:r>
      <w:r w:rsidRPr="00FE1C6B">
        <w:rPr>
          <w:lang w:val="fr-FR"/>
        </w:rPr>
        <w:t xml:space="preserve">4.3.1.15 et 4.3.1.16 du Règlement type, qui sont intégrées dans le Code IMDG et dans le RID/ADR. </w:t>
      </w:r>
      <w:r w:rsidRPr="00D611D1">
        <w:t>Ce manque d</w:t>
      </w:r>
      <w:r w:rsidR="00D3733B">
        <w:t>’</w:t>
      </w:r>
      <w:r w:rsidRPr="00D611D1">
        <w:t>harmonisation a déjà fait l</w:t>
      </w:r>
      <w:r w:rsidR="00D3733B">
        <w:t>’</w:t>
      </w:r>
      <w:r w:rsidRPr="00D611D1">
        <w:t>objet d</w:t>
      </w:r>
      <w:r w:rsidR="00D3733B">
        <w:t>’</w:t>
      </w:r>
      <w:r w:rsidRPr="00D611D1">
        <w:t>un document informel, INF.15, établi par le CEFIC en vue de la Réunion commune RID/ADR/ADN de septembre 2017</w:t>
      </w:r>
      <w:r w:rsidRPr="00F77132">
        <w:rPr>
          <w:rStyle w:val="FootnoteReference"/>
        </w:rPr>
        <w:footnoteReference w:id="3"/>
      </w:r>
      <w:r w:rsidRPr="00D611D1">
        <w:t>.</w:t>
      </w:r>
    </w:p>
    <w:p w14:paraId="28140FA2" w14:textId="77777777" w:rsidR="00E57302" w:rsidRPr="00FE1C6B" w:rsidRDefault="00E57302" w:rsidP="00E57302">
      <w:pPr>
        <w:pStyle w:val="SingleTxtG"/>
        <w:rPr>
          <w:lang w:val="fr-FR"/>
        </w:rPr>
      </w:pPr>
      <w:r w:rsidRPr="00C072BE">
        <w:t>4.</w:t>
      </w:r>
      <w:r w:rsidRPr="00C072BE">
        <w:tab/>
      </w:r>
      <w:r w:rsidRPr="00FE1C6B">
        <w:rPr>
          <w:lang w:val="fr-FR"/>
        </w:rPr>
        <w:t xml:space="preserve">En conséquence, </w:t>
      </w:r>
      <w:r>
        <w:rPr>
          <w:lang w:val="fr-FR"/>
        </w:rPr>
        <w:t xml:space="preserve">du point de vue </w:t>
      </w:r>
      <w:r w:rsidRPr="00FE1C6B">
        <w:rPr>
          <w:lang w:val="fr-FR"/>
        </w:rPr>
        <w:t xml:space="preserve">du </w:t>
      </w:r>
      <w:r w:rsidRPr="00E57302">
        <w:t>Règlement</w:t>
      </w:r>
      <w:r w:rsidRPr="00FE1C6B">
        <w:rPr>
          <w:lang w:val="fr-FR"/>
        </w:rPr>
        <w:t xml:space="preserve"> type, les questions suivantes se posent en particulier :</w:t>
      </w:r>
    </w:p>
    <w:p w14:paraId="24A87100" w14:textId="77777777" w:rsidR="00E57302" w:rsidRPr="00FE1C6B" w:rsidRDefault="00E57302" w:rsidP="00E57302">
      <w:pPr>
        <w:pStyle w:val="SingleTxtG"/>
        <w:ind w:firstLine="567"/>
        <w:rPr>
          <w:lang w:val="fr-FR"/>
        </w:rPr>
      </w:pPr>
      <w:r w:rsidRPr="00C072BE">
        <w:t>a)</w:t>
      </w:r>
      <w:r w:rsidRPr="00C072BE">
        <w:tab/>
      </w:r>
      <w:r w:rsidRPr="00FE1C6B">
        <w:rPr>
          <w:lang w:val="fr-FR"/>
        </w:rPr>
        <w:t xml:space="preserve">Pourquoi les prescriptions du </w:t>
      </w:r>
      <w:r>
        <w:rPr>
          <w:lang w:val="fr-FR"/>
        </w:rPr>
        <w:t xml:space="preserve">paragraphe </w:t>
      </w:r>
      <w:r w:rsidRPr="00FE1C6B">
        <w:rPr>
          <w:lang w:val="fr-FR"/>
        </w:rPr>
        <w:t xml:space="preserve">7.1.3.3.1 </w:t>
      </w:r>
      <w:r>
        <w:rPr>
          <w:lang w:val="fr-FR"/>
        </w:rPr>
        <w:t xml:space="preserve">ne </w:t>
      </w:r>
      <w:r w:rsidRPr="00FE1C6B">
        <w:rPr>
          <w:lang w:val="fr-FR"/>
        </w:rPr>
        <w:t>s</w:t>
      </w:r>
      <w:r w:rsidR="00D3733B">
        <w:rPr>
          <w:lang w:val="fr-FR"/>
        </w:rPr>
        <w:t>’</w:t>
      </w:r>
      <w:r w:rsidRPr="00FE1C6B">
        <w:rPr>
          <w:lang w:val="fr-FR"/>
        </w:rPr>
        <w:t xml:space="preserve">appliquent-elles </w:t>
      </w:r>
      <w:r>
        <w:rPr>
          <w:lang w:val="fr-FR"/>
        </w:rPr>
        <w:t>qu</w:t>
      </w:r>
      <w:r w:rsidR="00D3733B">
        <w:rPr>
          <w:lang w:val="fr-FR"/>
        </w:rPr>
        <w:t>’</w:t>
      </w:r>
      <w:r w:rsidRPr="00FE1C6B">
        <w:rPr>
          <w:lang w:val="fr-FR"/>
        </w:rPr>
        <w:t>à la classe 1 ?</w:t>
      </w:r>
    </w:p>
    <w:p w14:paraId="6D03DAD9" w14:textId="77777777" w:rsidR="00E57302" w:rsidRPr="00C072BE" w:rsidRDefault="00E57302" w:rsidP="00E57302">
      <w:pPr>
        <w:pStyle w:val="SingleTxtG"/>
        <w:ind w:firstLine="567"/>
      </w:pPr>
      <w:r w:rsidRPr="00C072BE">
        <w:t>b)</w:t>
      </w:r>
      <w:r w:rsidRPr="00C072BE">
        <w:tab/>
      </w:r>
      <w:r w:rsidRPr="00FE1C6B">
        <w:rPr>
          <w:lang w:val="fr-FR"/>
        </w:rPr>
        <w:t xml:space="preserve">Quel </w:t>
      </w:r>
      <w:r>
        <w:rPr>
          <w:lang w:val="fr-FR"/>
        </w:rPr>
        <w:t xml:space="preserve">est le </w:t>
      </w:r>
      <w:r w:rsidRPr="00FE1C6B">
        <w:rPr>
          <w:lang w:val="fr-FR"/>
        </w:rPr>
        <w:t xml:space="preserve">raisonnement technique </w:t>
      </w:r>
      <w:r>
        <w:rPr>
          <w:lang w:val="fr-FR"/>
        </w:rPr>
        <w:t xml:space="preserve">qui </w:t>
      </w:r>
      <w:r w:rsidRPr="00FE1C6B">
        <w:rPr>
          <w:lang w:val="fr-FR"/>
        </w:rPr>
        <w:t>sous-tend la limite de 19 mm pour les enfoncements ou pliures ?</w:t>
      </w:r>
    </w:p>
    <w:p w14:paraId="47EFAC78" w14:textId="77777777" w:rsidR="00E57302" w:rsidRPr="00C072BE" w:rsidRDefault="00E57302" w:rsidP="00E57302">
      <w:pPr>
        <w:pStyle w:val="SingleTxtG"/>
        <w:ind w:firstLine="567"/>
      </w:pPr>
      <w:r w:rsidRPr="00C072BE">
        <w:t>c)</w:t>
      </w:r>
      <w:r w:rsidRPr="00C072BE">
        <w:tab/>
      </w:r>
      <w:r w:rsidRPr="00FE1C6B">
        <w:rPr>
          <w:lang w:val="fr-FR"/>
        </w:rPr>
        <w:t xml:space="preserve">Quel </w:t>
      </w:r>
      <w:r w:rsidRPr="00AC5DD5">
        <w:rPr>
          <w:lang w:val="fr-FR"/>
        </w:rPr>
        <w:t xml:space="preserve">est le </w:t>
      </w:r>
      <w:r w:rsidRPr="00FE1C6B">
        <w:rPr>
          <w:lang w:val="fr-FR"/>
        </w:rPr>
        <w:t xml:space="preserve">raisonnement technique </w:t>
      </w:r>
      <w:r>
        <w:rPr>
          <w:lang w:val="fr-FR"/>
        </w:rPr>
        <w:t xml:space="preserve">qui </w:t>
      </w:r>
      <w:r w:rsidRPr="00FE1C6B">
        <w:rPr>
          <w:lang w:val="fr-FR"/>
        </w:rPr>
        <w:t>sous-tend la référence aux raccords exécutés en cas de réparation</w:t>
      </w:r>
      <w:r>
        <w:rPr>
          <w:lang w:val="fr-FR"/>
        </w:rPr>
        <w:t> </w:t>
      </w:r>
      <w:r w:rsidRPr="00C072BE">
        <w:t>?</w:t>
      </w:r>
    </w:p>
    <w:p w14:paraId="50B85853" w14:textId="77777777" w:rsidR="00E57302" w:rsidRPr="00C072BE" w:rsidRDefault="00E57302" w:rsidP="00C713B3">
      <w:pPr>
        <w:pStyle w:val="HChG"/>
      </w:pPr>
      <w:r w:rsidRPr="00C072BE">
        <w:tab/>
      </w:r>
      <w:r w:rsidRPr="00C072BE">
        <w:tab/>
      </w:r>
      <w:r w:rsidRPr="00622087">
        <w:rPr>
          <w:lang w:val="fr-FR"/>
        </w:rPr>
        <w:t>Contexte</w:t>
      </w:r>
    </w:p>
    <w:p w14:paraId="4B215519" w14:textId="77777777" w:rsidR="00E57302" w:rsidRPr="00622087" w:rsidRDefault="00E57302" w:rsidP="00E57302">
      <w:pPr>
        <w:pStyle w:val="SingleTxtG"/>
        <w:rPr>
          <w:lang w:val="fr-FR"/>
        </w:rPr>
      </w:pPr>
      <w:r w:rsidRPr="00C072BE">
        <w:t>5.</w:t>
      </w:r>
      <w:r w:rsidRPr="00C072BE">
        <w:tab/>
      </w:r>
      <w:r w:rsidRPr="00622087">
        <w:rPr>
          <w:lang w:val="fr-FR"/>
        </w:rPr>
        <w:t>Selon les informations communiquées par le secrétariat, la limitation de l</w:t>
      </w:r>
      <w:r w:rsidR="00D3733B">
        <w:rPr>
          <w:lang w:val="fr-FR"/>
        </w:rPr>
        <w:t>’</w:t>
      </w:r>
      <w:r w:rsidRPr="00622087">
        <w:rPr>
          <w:lang w:val="fr-FR"/>
        </w:rPr>
        <w:t>applicabilité à la classe 1 s</w:t>
      </w:r>
      <w:r w:rsidR="00D3733B">
        <w:rPr>
          <w:lang w:val="fr-FR"/>
        </w:rPr>
        <w:t>’</w:t>
      </w:r>
      <w:r w:rsidRPr="00622087">
        <w:rPr>
          <w:lang w:val="fr-FR"/>
        </w:rPr>
        <w:t>explique par des raisons historiques</w:t>
      </w:r>
      <w:r w:rsidR="00D3733B">
        <w:rPr>
          <w:lang w:val="fr-FR"/>
        </w:rPr>
        <w:t> </w:t>
      </w:r>
      <w:r w:rsidRPr="00622087">
        <w:rPr>
          <w:lang w:val="fr-FR"/>
        </w:rPr>
        <w:t>: avant le Sous-Comité d</w:t>
      </w:r>
      <w:r w:rsidR="00D3733B">
        <w:rPr>
          <w:lang w:val="fr-FR"/>
        </w:rPr>
        <w:t>’</w:t>
      </w:r>
      <w:r w:rsidRPr="00622087">
        <w:rPr>
          <w:lang w:val="fr-FR"/>
        </w:rPr>
        <w:t xml:space="preserve">experts du transport des marchandises dangereuses (Sous-Comité TMD), il existait un Comité TMD comportant deux </w:t>
      </w:r>
      <w:r>
        <w:rPr>
          <w:lang w:val="fr-FR"/>
        </w:rPr>
        <w:t>sous-</w:t>
      </w:r>
      <w:r w:rsidRPr="00622087">
        <w:rPr>
          <w:lang w:val="fr-FR"/>
        </w:rPr>
        <w:t>groupes, dont l</w:t>
      </w:r>
      <w:r w:rsidR="00D3733B">
        <w:rPr>
          <w:lang w:val="fr-FR"/>
        </w:rPr>
        <w:t>’</w:t>
      </w:r>
      <w:r w:rsidRPr="00622087">
        <w:rPr>
          <w:lang w:val="fr-FR"/>
        </w:rPr>
        <w:t>un était le groupe d</w:t>
      </w:r>
      <w:r w:rsidR="00D3733B">
        <w:rPr>
          <w:lang w:val="fr-FR"/>
        </w:rPr>
        <w:t>’</w:t>
      </w:r>
      <w:r w:rsidRPr="00622087">
        <w:rPr>
          <w:lang w:val="fr-FR"/>
        </w:rPr>
        <w:t>experts des matières explosives. Ce groupe a élaboré des recommandations spéciales pour la classe 1, qui ont été incorporées en 1981</w:t>
      </w:r>
      <w:r>
        <w:rPr>
          <w:lang w:val="fr-FR"/>
        </w:rPr>
        <w:t xml:space="preserve"> </w:t>
      </w:r>
      <w:r w:rsidRPr="00622087">
        <w:rPr>
          <w:lang w:val="fr-FR"/>
        </w:rPr>
        <w:t>dans la partie 4 des Recommandations relatives au transport des marchandises dangereuses, applicables à l</w:t>
      </w:r>
      <w:r w:rsidR="00D3733B">
        <w:rPr>
          <w:lang w:val="fr-FR"/>
        </w:rPr>
        <w:t>’</w:t>
      </w:r>
      <w:r w:rsidRPr="00622087">
        <w:rPr>
          <w:lang w:val="fr-FR"/>
        </w:rPr>
        <w:t>époque.</w:t>
      </w:r>
    </w:p>
    <w:p w14:paraId="58CA7DF7" w14:textId="77777777" w:rsidR="00E57302" w:rsidRPr="00C072BE" w:rsidRDefault="00E57302" w:rsidP="00E57302">
      <w:pPr>
        <w:pStyle w:val="SingleTxtG"/>
      </w:pPr>
      <w:r w:rsidRPr="00C072BE">
        <w:t>6.</w:t>
      </w:r>
      <w:r w:rsidRPr="00C072BE">
        <w:tab/>
      </w:r>
      <w:r w:rsidRPr="00276B00">
        <w:rPr>
          <w:lang w:val="fr-FR"/>
        </w:rPr>
        <w:t>L</w:t>
      </w:r>
      <w:r w:rsidR="00D3733B">
        <w:rPr>
          <w:lang w:val="fr-FR"/>
        </w:rPr>
        <w:t>’</w:t>
      </w:r>
      <w:r w:rsidRPr="00276B00">
        <w:rPr>
          <w:lang w:val="fr-FR"/>
        </w:rPr>
        <w:t>origine du critère des 19 mm n</w:t>
      </w:r>
      <w:r w:rsidR="00D3733B">
        <w:rPr>
          <w:lang w:val="fr-FR"/>
        </w:rPr>
        <w:t>’</w:t>
      </w:r>
      <w:r w:rsidRPr="00276B00">
        <w:rPr>
          <w:lang w:val="fr-FR"/>
        </w:rPr>
        <w:t xml:space="preserve">est pas tout à fait claire. Selon une information, </w:t>
      </w:r>
      <w:r>
        <w:rPr>
          <w:lang w:val="fr-FR"/>
        </w:rPr>
        <w:t xml:space="preserve">il proviendrait </w:t>
      </w:r>
      <w:r w:rsidRPr="00276B00">
        <w:rPr>
          <w:lang w:val="fr-FR"/>
        </w:rPr>
        <w:t>d</w:t>
      </w:r>
      <w:r w:rsidR="00D3733B">
        <w:rPr>
          <w:lang w:val="fr-FR"/>
        </w:rPr>
        <w:t>’</w:t>
      </w:r>
      <w:r w:rsidRPr="00276B00">
        <w:rPr>
          <w:lang w:val="fr-FR"/>
        </w:rPr>
        <w:t>une norme d</w:t>
      </w:r>
      <w:r w:rsidR="00D3733B">
        <w:rPr>
          <w:lang w:val="fr-FR"/>
        </w:rPr>
        <w:t>’</w:t>
      </w:r>
      <w:r w:rsidRPr="00276B00">
        <w:rPr>
          <w:lang w:val="fr-FR"/>
        </w:rPr>
        <w:t>inspection interne de la Garde côtière des États-Unis d</w:t>
      </w:r>
      <w:r w:rsidR="00D3733B">
        <w:rPr>
          <w:lang w:val="fr-FR"/>
        </w:rPr>
        <w:t>’</w:t>
      </w:r>
      <w:r w:rsidRPr="00276B00">
        <w:rPr>
          <w:lang w:val="fr-FR"/>
        </w:rPr>
        <w:t xml:space="preserve">Amérique. Il pourrait également </w:t>
      </w:r>
      <w:r>
        <w:rPr>
          <w:lang w:val="fr-FR"/>
        </w:rPr>
        <w:t>s</w:t>
      </w:r>
      <w:r w:rsidR="00D3733B">
        <w:rPr>
          <w:lang w:val="fr-FR"/>
        </w:rPr>
        <w:t>’</w:t>
      </w:r>
      <w:r>
        <w:rPr>
          <w:lang w:val="fr-FR"/>
        </w:rPr>
        <w:t xml:space="preserve">agir </w:t>
      </w:r>
      <w:r w:rsidRPr="00276B00">
        <w:rPr>
          <w:lang w:val="fr-FR"/>
        </w:rPr>
        <w:t>d</w:t>
      </w:r>
      <w:r w:rsidR="00D3733B">
        <w:rPr>
          <w:lang w:val="fr-FR"/>
        </w:rPr>
        <w:t>’</w:t>
      </w:r>
      <w:r w:rsidRPr="00276B00">
        <w:rPr>
          <w:lang w:val="fr-FR"/>
        </w:rPr>
        <w:t>une ancienne norme de l</w:t>
      </w:r>
      <w:r w:rsidR="00D3733B">
        <w:rPr>
          <w:lang w:val="fr-FR"/>
        </w:rPr>
        <w:t>’</w:t>
      </w:r>
      <w:r w:rsidRPr="00276B00">
        <w:rPr>
          <w:lang w:val="fr-FR"/>
        </w:rPr>
        <w:t>Institut des loueurs internationaux de conteneurs (IICL). Toutefois, le critère des 19 mm n</w:t>
      </w:r>
      <w:r w:rsidR="00D3733B">
        <w:rPr>
          <w:lang w:val="fr-FR"/>
        </w:rPr>
        <w:t>’</w:t>
      </w:r>
      <w:r w:rsidRPr="00276B00">
        <w:rPr>
          <w:lang w:val="fr-FR"/>
        </w:rPr>
        <w:t>apparaît pas dans la norme IICL-6 actuelle</w:t>
      </w:r>
      <w:r w:rsidRPr="00F77132">
        <w:rPr>
          <w:rStyle w:val="FootnoteReference"/>
        </w:rPr>
        <w:footnoteReference w:id="4"/>
      </w:r>
      <w:r>
        <w:rPr>
          <w:lang w:val="fr-FR"/>
        </w:rPr>
        <w:t>, qui d</w:t>
      </w:r>
      <w:r w:rsidR="00D3733B">
        <w:rPr>
          <w:lang w:val="fr-FR"/>
        </w:rPr>
        <w:t>’</w:t>
      </w:r>
      <w:r>
        <w:rPr>
          <w:lang w:val="fr-FR"/>
        </w:rPr>
        <w:t xml:space="preserve">ailleurs </w:t>
      </w:r>
      <w:r w:rsidRPr="00276B00">
        <w:rPr>
          <w:lang w:val="fr-FR"/>
        </w:rPr>
        <w:t>n</w:t>
      </w:r>
      <w:r w:rsidR="00D3733B">
        <w:rPr>
          <w:lang w:val="fr-FR"/>
        </w:rPr>
        <w:t>’</w:t>
      </w:r>
      <w:r w:rsidRPr="00276B00">
        <w:rPr>
          <w:lang w:val="fr-FR"/>
        </w:rPr>
        <w:t>est pas une norme de sécurité mais une norme de qualité</w:t>
      </w:r>
      <w:r>
        <w:rPr>
          <w:lang w:val="fr-FR"/>
        </w:rPr>
        <w:t xml:space="preserve">, </w:t>
      </w:r>
      <w:r w:rsidRPr="00276B00">
        <w:rPr>
          <w:lang w:val="fr-FR"/>
        </w:rPr>
        <w:t>une norme de réparation qui n</w:t>
      </w:r>
      <w:r w:rsidR="00D3733B">
        <w:rPr>
          <w:lang w:val="fr-FR"/>
        </w:rPr>
        <w:t>’</w:t>
      </w:r>
      <w:r w:rsidRPr="00276B00">
        <w:rPr>
          <w:lang w:val="fr-FR"/>
        </w:rPr>
        <w:t xml:space="preserve">a pas été </w:t>
      </w:r>
      <w:r>
        <w:rPr>
          <w:lang w:val="fr-FR"/>
        </w:rPr>
        <w:t xml:space="preserve">mise au point </w:t>
      </w:r>
      <w:r w:rsidRPr="00276B00">
        <w:rPr>
          <w:lang w:val="fr-FR"/>
        </w:rPr>
        <w:t>pour évaluer des conteneurs en vue d</w:t>
      </w:r>
      <w:r w:rsidR="00D3733B">
        <w:rPr>
          <w:lang w:val="fr-FR"/>
        </w:rPr>
        <w:t>’</w:t>
      </w:r>
      <w:r w:rsidRPr="00276B00">
        <w:rPr>
          <w:lang w:val="fr-FR"/>
        </w:rPr>
        <w:t>opérations concrètes de transport. D</w:t>
      </w:r>
      <w:r w:rsidR="00D3733B">
        <w:rPr>
          <w:lang w:val="fr-FR"/>
        </w:rPr>
        <w:t>’</w:t>
      </w:r>
      <w:r w:rsidRPr="00276B00">
        <w:rPr>
          <w:lang w:val="fr-FR"/>
        </w:rPr>
        <w:t xml:space="preserve">autre part, les anciennes prescriptions relatives à la limitation du nombre de raccords dans un élément structural ne figurent plus dans les normes actuelles </w:t>
      </w:r>
      <w:r>
        <w:rPr>
          <w:lang w:val="fr-FR"/>
        </w:rPr>
        <w:t>concernant les r</w:t>
      </w:r>
      <w:r w:rsidRPr="00276B00">
        <w:rPr>
          <w:lang w:val="fr-FR"/>
        </w:rPr>
        <w:t xml:space="preserve">éparations. Les conteneurs qui </w:t>
      </w:r>
      <w:r>
        <w:rPr>
          <w:lang w:val="fr-FR"/>
        </w:rPr>
        <w:t xml:space="preserve">auraient été </w:t>
      </w:r>
      <w:r w:rsidRPr="00276B00">
        <w:rPr>
          <w:lang w:val="fr-FR"/>
        </w:rPr>
        <w:t>réparés au moyen de raccords ne sont plus en service</w:t>
      </w:r>
      <w:r>
        <w:rPr>
          <w:lang w:val="fr-FR"/>
        </w:rPr>
        <w:t xml:space="preserve">, </w:t>
      </w:r>
      <w:r w:rsidRPr="00276B00">
        <w:rPr>
          <w:lang w:val="fr-FR"/>
        </w:rPr>
        <w:t xml:space="preserve">des retouches ou des ajustements soudés </w:t>
      </w:r>
      <w:r>
        <w:rPr>
          <w:lang w:val="fr-FR"/>
        </w:rPr>
        <w:t xml:space="preserve">étant désormais </w:t>
      </w:r>
      <w:r w:rsidRPr="00276B00">
        <w:rPr>
          <w:lang w:val="fr-FR"/>
        </w:rPr>
        <w:t>utilisés à la place des raccords. Les réparations sont effectuées conformément à la norme de réparation et d</w:t>
      </w:r>
      <w:r w:rsidR="00D3733B">
        <w:rPr>
          <w:lang w:val="fr-FR"/>
        </w:rPr>
        <w:t>’</w:t>
      </w:r>
      <w:r w:rsidRPr="00276B00">
        <w:rPr>
          <w:lang w:val="fr-FR"/>
        </w:rPr>
        <w:t>inspection en vigueur</w:t>
      </w:r>
      <w:r w:rsidRPr="00F77132">
        <w:rPr>
          <w:rStyle w:val="FootnoteReference"/>
        </w:rPr>
        <w:footnoteReference w:id="5"/>
      </w:r>
      <w:r w:rsidRPr="00276B00">
        <w:rPr>
          <w:lang w:val="fr-FR"/>
        </w:rPr>
        <w:t>.</w:t>
      </w:r>
      <w:r w:rsidRPr="00C072BE">
        <w:t xml:space="preserve"> </w:t>
      </w:r>
    </w:p>
    <w:p w14:paraId="6B4F5D6C" w14:textId="77777777" w:rsidR="00E57302" w:rsidRDefault="00E57302" w:rsidP="00E57302">
      <w:pPr>
        <w:pStyle w:val="SingleTxtG"/>
        <w:rPr>
          <w:lang w:val="fr-FR"/>
        </w:rPr>
      </w:pPr>
      <w:r w:rsidRPr="00C072BE">
        <w:t>7.</w:t>
      </w:r>
      <w:r w:rsidRPr="00C072BE">
        <w:tab/>
      </w:r>
      <w:r w:rsidRPr="0015346A">
        <w:rPr>
          <w:lang w:val="fr-FR"/>
        </w:rPr>
        <w:t>L</w:t>
      </w:r>
      <w:r w:rsidR="00D3733B">
        <w:rPr>
          <w:lang w:val="fr-FR"/>
        </w:rPr>
        <w:t>’</w:t>
      </w:r>
      <w:r w:rsidRPr="0015346A">
        <w:rPr>
          <w:lang w:val="fr-FR"/>
        </w:rPr>
        <w:t>Organisation maritime internationale (OMI) s</w:t>
      </w:r>
      <w:r w:rsidR="00D3733B">
        <w:rPr>
          <w:lang w:val="fr-FR"/>
        </w:rPr>
        <w:t>’</w:t>
      </w:r>
      <w:r w:rsidRPr="0015346A">
        <w:rPr>
          <w:lang w:val="fr-FR"/>
        </w:rPr>
        <w:t>est également occupée de l</w:t>
      </w:r>
      <w:r w:rsidR="00D3733B">
        <w:rPr>
          <w:lang w:val="fr-FR"/>
        </w:rPr>
        <w:t>’</w:t>
      </w:r>
      <w:r w:rsidRPr="0015346A">
        <w:rPr>
          <w:lang w:val="fr-FR"/>
        </w:rPr>
        <w:t xml:space="preserve">évaluation des dommages aux conteneurs. </w:t>
      </w:r>
      <w:r>
        <w:rPr>
          <w:lang w:val="fr-FR"/>
        </w:rPr>
        <w:t xml:space="preserve">Elle </w:t>
      </w:r>
      <w:r w:rsidRPr="0015346A">
        <w:rPr>
          <w:lang w:val="fr-FR"/>
        </w:rPr>
        <w:t xml:space="preserve">a publié le document </w:t>
      </w:r>
      <w:r w:rsidR="00D3733B">
        <w:t>« </w:t>
      </w:r>
      <w:r w:rsidRPr="0015346A">
        <w:rPr>
          <w:lang w:val="fr-FR"/>
        </w:rPr>
        <w:t>Recommendations on harmonized interpretation and implementation of the International Convention for Safe Containers, 1972</w:t>
      </w:r>
      <w:r w:rsidR="00D3733B">
        <w:t> »</w:t>
      </w:r>
      <w:r w:rsidRPr="0015346A">
        <w:rPr>
          <w:lang w:val="fr-FR"/>
        </w:rPr>
        <w:t xml:space="preserve"> (Recommandations sur l</w:t>
      </w:r>
      <w:r w:rsidR="00D3733B">
        <w:rPr>
          <w:lang w:val="fr-FR"/>
        </w:rPr>
        <w:t>’</w:t>
      </w:r>
      <w:r w:rsidRPr="0015346A">
        <w:rPr>
          <w:lang w:val="fr-FR"/>
        </w:rPr>
        <w:t>interprétation et l</w:t>
      </w:r>
      <w:r w:rsidR="00D3733B">
        <w:rPr>
          <w:lang w:val="fr-FR"/>
        </w:rPr>
        <w:t>’</w:t>
      </w:r>
      <w:r w:rsidRPr="0015346A">
        <w:rPr>
          <w:lang w:val="fr-FR"/>
        </w:rPr>
        <w:t xml:space="preserve">application harmonisées de la Convention internationale de 1972 sur la sécurité des conteneurs (CSC)). Ces recommandations ont déjà été </w:t>
      </w:r>
      <w:r>
        <w:rPr>
          <w:lang w:val="fr-FR"/>
        </w:rPr>
        <w:t xml:space="preserve">actualisées </w:t>
      </w:r>
      <w:r w:rsidRPr="0015346A">
        <w:rPr>
          <w:lang w:val="fr-FR"/>
        </w:rPr>
        <w:t>à plusieurs reprises et comprennent aussi des orientations concernant les graves déficiences structurelles des conteneurs (annexe</w:t>
      </w:r>
      <w:r w:rsidR="00D3733B">
        <w:rPr>
          <w:lang w:val="fr-FR"/>
        </w:rPr>
        <w:t> </w:t>
      </w:r>
      <w:r w:rsidRPr="0015346A">
        <w:rPr>
          <w:lang w:val="fr-FR"/>
        </w:rPr>
        <w:t>III de la CSC). La circulaire</w:t>
      </w:r>
      <w:r w:rsidR="00D3733B">
        <w:rPr>
          <w:lang w:val="fr-FR"/>
        </w:rPr>
        <w:t> </w:t>
      </w:r>
      <w:r w:rsidRPr="0015346A">
        <w:rPr>
          <w:lang w:val="fr-FR"/>
        </w:rPr>
        <w:t>CSC.1/Circ.138/Rev.1 correspondante a été communiquée dans le document informel</w:t>
      </w:r>
      <w:r w:rsidR="00D3733B">
        <w:rPr>
          <w:lang w:val="fr-FR"/>
        </w:rPr>
        <w:t> </w:t>
      </w:r>
      <w:r w:rsidRPr="0015346A">
        <w:rPr>
          <w:lang w:val="fr-FR"/>
        </w:rPr>
        <w:t xml:space="preserve">INF.13/Add.1 à la cinquante-troisième session. Elle contient des </w:t>
      </w:r>
      <w:r w:rsidRPr="0015346A">
        <w:rPr>
          <w:lang w:val="fr-FR"/>
        </w:rPr>
        <w:lastRenderedPageBreak/>
        <w:t>critères relatifs à l</w:t>
      </w:r>
      <w:r w:rsidR="00D3733B">
        <w:rPr>
          <w:lang w:val="fr-FR"/>
        </w:rPr>
        <w:t>’</w:t>
      </w:r>
      <w:r w:rsidRPr="0015346A">
        <w:rPr>
          <w:lang w:val="fr-FR"/>
        </w:rPr>
        <w:t xml:space="preserve">évaluation des dommages causés à divers éléments structuraux. Ces critères ont été élaborés </w:t>
      </w:r>
      <w:r>
        <w:rPr>
          <w:lang w:val="fr-FR"/>
        </w:rPr>
        <w:t xml:space="preserve">dans le but de </w:t>
      </w:r>
      <w:r w:rsidRPr="0015346A">
        <w:rPr>
          <w:lang w:val="fr-FR"/>
        </w:rPr>
        <w:t xml:space="preserve">donner aux agents de contrôle habilités des orientations concernant </w:t>
      </w:r>
      <w:r>
        <w:rPr>
          <w:lang w:val="fr-FR"/>
        </w:rPr>
        <w:t xml:space="preserve">la </w:t>
      </w:r>
      <w:r w:rsidRPr="0015346A">
        <w:rPr>
          <w:lang w:val="fr-FR"/>
        </w:rPr>
        <w:t xml:space="preserve">mise hors service </w:t>
      </w:r>
      <w:r>
        <w:rPr>
          <w:lang w:val="fr-FR"/>
        </w:rPr>
        <w:t xml:space="preserve">immédiate </w:t>
      </w:r>
      <w:r w:rsidRPr="0015346A">
        <w:rPr>
          <w:lang w:val="fr-FR"/>
        </w:rPr>
        <w:t xml:space="preserve">ou </w:t>
      </w:r>
      <w:r>
        <w:rPr>
          <w:lang w:val="fr-FR"/>
        </w:rPr>
        <w:t>l</w:t>
      </w:r>
      <w:r w:rsidR="00D3733B">
        <w:rPr>
          <w:lang w:val="fr-FR"/>
        </w:rPr>
        <w:t>’</w:t>
      </w:r>
      <w:r w:rsidRPr="0015346A">
        <w:rPr>
          <w:lang w:val="fr-FR"/>
        </w:rPr>
        <w:t>imposition de restrictions en matière de transport.</w:t>
      </w:r>
    </w:p>
    <w:p w14:paraId="5EBFD944" w14:textId="77777777" w:rsidR="00E57302" w:rsidRPr="00D611D1" w:rsidRDefault="00E57302" w:rsidP="00C713B3">
      <w:pPr>
        <w:pStyle w:val="HChG"/>
        <w:rPr>
          <w:b w:val="0"/>
        </w:rPr>
      </w:pPr>
      <w:r w:rsidRPr="00D611D1">
        <w:tab/>
      </w:r>
      <w:r w:rsidRPr="00D611D1">
        <w:tab/>
      </w:r>
      <w:r w:rsidRPr="00C713B3">
        <w:rPr>
          <w:lang w:val="fr-FR"/>
        </w:rPr>
        <w:t>Conclusion</w:t>
      </w:r>
    </w:p>
    <w:p w14:paraId="00FEE83D" w14:textId="77777777" w:rsidR="00E57302" w:rsidRPr="005E2FA4" w:rsidRDefault="00E57302" w:rsidP="00E57302">
      <w:pPr>
        <w:pStyle w:val="SingleTxtG"/>
        <w:rPr>
          <w:lang w:val="fr-FR"/>
        </w:rPr>
      </w:pPr>
      <w:r w:rsidRPr="00C072BE">
        <w:t>8.</w:t>
      </w:r>
      <w:r w:rsidRPr="00C072BE">
        <w:tab/>
      </w:r>
      <w:r w:rsidRPr="005E2FA4">
        <w:rPr>
          <w:lang w:val="fr-FR"/>
        </w:rPr>
        <w:t xml:space="preserve">Tous les engins de transport utilisés </w:t>
      </w:r>
      <w:r>
        <w:rPr>
          <w:lang w:val="fr-FR"/>
        </w:rPr>
        <w:t xml:space="preserve">pour </w:t>
      </w:r>
      <w:r w:rsidRPr="005E2FA4">
        <w:rPr>
          <w:lang w:val="fr-FR"/>
        </w:rPr>
        <w:t>transport</w:t>
      </w:r>
      <w:r>
        <w:rPr>
          <w:lang w:val="fr-FR"/>
        </w:rPr>
        <w:t>er</w:t>
      </w:r>
      <w:r w:rsidRPr="005E2FA4">
        <w:rPr>
          <w:lang w:val="fr-FR"/>
        </w:rPr>
        <w:t xml:space="preserve"> de</w:t>
      </w:r>
      <w:r>
        <w:rPr>
          <w:lang w:val="fr-FR"/>
        </w:rPr>
        <w:t>s</w:t>
      </w:r>
      <w:r w:rsidRPr="005E2FA4">
        <w:rPr>
          <w:lang w:val="fr-FR"/>
        </w:rPr>
        <w:t xml:space="preserve"> marchandises dangereuses devraient être structurellement propres à l</w:t>
      </w:r>
      <w:r w:rsidR="00D3733B">
        <w:rPr>
          <w:lang w:val="fr-FR"/>
        </w:rPr>
        <w:t>’</w:t>
      </w:r>
      <w:r w:rsidRPr="005E2FA4">
        <w:rPr>
          <w:lang w:val="fr-FR"/>
        </w:rPr>
        <w:t>emploi. Le texte faisant référence à l</w:t>
      </w:r>
      <w:r w:rsidR="00D3733B">
        <w:rPr>
          <w:lang w:val="fr-FR"/>
        </w:rPr>
        <w:t>’</w:t>
      </w:r>
      <w:r w:rsidRPr="005E2FA4">
        <w:rPr>
          <w:lang w:val="fr-FR"/>
        </w:rPr>
        <w:t>aptitude structurelle à l</w:t>
      </w:r>
      <w:r w:rsidR="00D3733B">
        <w:rPr>
          <w:lang w:val="fr-FR"/>
        </w:rPr>
        <w:t>’</w:t>
      </w:r>
      <w:r w:rsidRPr="005E2FA4">
        <w:rPr>
          <w:lang w:val="fr-FR"/>
        </w:rPr>
        <w:t>emploi devrait être retiré des dispositions spéciales applicables au transport d</w:t>
      </w:r>
      <w:r w:rsidR="00D3733B">
        <w:rPr>
          <w:lang w:val="fr-FR"/>
        </w:rPr>
        <w:t>’</w:t>
      </w:r>
      <w:r w:rsidRPr="005E2FA4">
        <w:rPr>
          <w:lang w:val="fr-FR"/>
        </w:rPr>
        <w:t xml:space="preserve">explosifs et placé dans les dispositions générales, </w:t>
      </w:r>
      <w:r>
        <w:rPr>
          <w:lang w:val="fr-FR"/>
        </w:rPr>
        <w:t>à la section</w:t>
      </w:r>
      <w:r w:rsidR="00C713B3">
        <w:rPr>
          <w:lang w:val="fr-FR"/>
        </w:rPr>
        <w:t> </w:t>
      </w:r>
      <w:r w:rsidRPr="005E2FA4">
        <w:rPr>
          <w:lang w:val="fr-FR"/>
        </w:rPr>
        <w:t xml:space="preserve">7.1.1. </w:t>
      </w:r>
      <w:r>
        <w:rPr>
          <w:lang w:val="fr-FR"/>
        </w:rPr>
        <w:t xml:space="preserve">Il faudrait modifier la </w:t>
      </w:r>
      <w:r w:rsidRPr="005E2FA4">
        <w:rPr>
          <w:lang w:val="fr-FR"/>
        </w:rPr>
        <w:t>définition de l</w:t>
      </w:r>
      <w:r w:rsidR="00D3733B">
        <w:rPr>
          <w:lang w:val="fr-FR"/>
        </w:rPr>
        <w:t>’</w:t>
      </w:r>
      <w:r w:rsidRPr="005E2FA4">
        <w:rPr>
          <w:lang w:val="fr-FR"/>
        </w:rPr>
        <w:t>expression « structurellement propre à l</w:t>
      </w:r>
      <w:r w:rsidR="00D3733B">
        <w:rPr>
          <w:lang w:val="fr-FR"/>
        </w:rPr>
        <w:t>’</w:t>
      </w:r>
      <w:r w:rsidRPr="005E2FA4">
        <w:rPr>
          <w:lang w:val="fr-FR"/>
        </w:rPr>
        <w:t xml:space="preserve">emploi » </w:t>
      </w:r>
      <w:r>
        <w:rPr>
          <w:lang w:val="fr-FR"/>
        </w:rPr>
        <w:t xml:space="preserve">pour </w:t>
      </w:r>
      <w:r w:rsidRPr="005E2FA4">
        <w:rPr>
          <w:lang w:val="fr-FR"/>
        </w:rPr>
        <w:t>ten</w:t>
      </w:r>
      <w:r>
        <w:rPr>
          <w:lang w:val="fr-FR"/>
        </w:rPr>
        <w:t xml:space="preserve">ir </w:t>
      </w:r>
      <w:r w:rsidRPr="005E2FA4">
        <w:rPr>
          <w:lang w:val="fr-FR"/>
        </w:rPr>
        <w:t xml:space="preserve">compte des progrès techniques réalisés </w:t>
      </w:r>
      <w:r>
        <w:rPr>
          <w:lang w:val="fr-FR"/>
        </w:rPr>
        <w:t>ce</w:t>
      </w:r>
      <w:r w:rsidRPr="005E2FA4">
        <w:rPr>
          <w:lang w:val="fr-FR"/>
        </w:rPr>
        <w:t>s dernières années. Les références aux enfoncements et aux pliures de plus de 19 mm de profondeur, ainsi qu</w:t>
      </w:r>
      <w:r w:rsidR="00D3733B">
        <w:rPr>
          <w:lang w:val="fr-FR"/>
        </w:rPr>
        <w:t>’</w:t>
      </w:r>
      <w:r w:rsidRPr="005E2FA4">
        <w:rPr>
          <w:lang w:val="fr-FR"/>
        </w:rPr>
        <w:t>aux raccords, devraient être supprimées. Il n</w:t>
      </w:r>
      <w:r w:rsidR="00D3733B">
        <w:rPr>
          <w:lang w:val="fr-FR"/>
        </w:rPr>
        <w:t>’</w:t>
      </w:r>
      <w:r w:rsidRPr="005E2FA4">
        <w:rPr>
          <w:lang w:val="fr-FR"/>
        </w:rPr>
        <w:t xml:space="preserve">existe pas de justification technique </w:t>
      </w:r>
      <w:r>
        <w:rPr>
          <w:lang w:val="fr-FR"/>
        </w:rPr>
        <w:t>au c</w:t>
      </w:r>
      <w:r w:rsidRPr="005E2FA4">
        <w:rPr>
          <w:lang w:val="fr-FR"/>
        </w:rPr>
        <w:t>ritère des 19 mm et son application pose des problèmes dans la pratique car elle fait obstacle à une évaluation qualitative fondée sur l</w:t>
      </w:r>
      <w:r w:rsidR="00D3733B">
        <w:rPr>
          <w:lang w:val="fr-FR"/>
        </w:rPr>
        <w:t>’</w:t>
      </w:r>
      <w:r w:rsidRPr="005E2FA4">
        <w:rPr>
          <w:lang w:val="fr-FR"/>
        </w:rPr>
        <w:t xml:space="preserve">expertise. </w:t>
      </w:r>
      <w:r>
        <w:rPr>
          <w:lang w:val="fr-FR"/>
        </w:rPr>
        <w:t>Il</w:t>
      </w:r>
      <w:r w:rsidRPr="005E2FA4">
        <w:rPr>
          <w:lang w:val="fr-FR"/>
        </w:rPr>
        <w:t xml:space="preserve"> convien</w:t>
      </w:r>
      <w:r>
        <w:rPr>
          <w:lang w:val="fr-FR"/>
        </w:rPr>
        <w:t>drai</w:t>
      </w:r>
      <w:r w:rsidRPr="005E2FA4">
        <w:rPr>
          <w:lang w:val="fr-FR"/>
        </w:rPr>
        <w:t xml:space="preserve">t </w:t>
      </w:r>
      <w:r>
        <w:rPr>
          <w:lang w:val="fr-FR"/>
        </w:rPr>
        <w:t xml:space="preserve">en outre </w:t>
      </w:r>
      <w:r w:rsidRPr="005E2FA4">
        <w:rPr>
          <w:lang w:val="fr-FR"/>
        </w:rPr>
        <w:t>d</w:t>
      </w:r>
      <w:r w:rsidR="00D3733B">
        <w:rPr>
          <w:lang w:val="fr-FR"/>
        </w:rPr>
        <w:t>’</w:t>
      </w:r>
      <w:r w:rsidRPr="005E2FA4">
        <w:rPr>
          <w:lang w:val="fr-FR"/>
        </w:rPr>
        <w:t xml:space="preserve">ajouter des dispositions pertinentes </w:t>
      </w:r>
      <w:r>
        <w:rPr>
          <w:lang w:val="fr-FR"/>
        </w:rPr>
        <w:t xml:space="preserve">concernant </w:t>
      </w:r>
      <w:r w:rsidRPr="005E2FA4">
        <w:rPr>
          <w:lang w:val="fr-FR"/>
        </w:rPr>
        <w:t>le désalignement d</w:t>
      </w:r>
      <w:r w:rsidR="00D3733B">
        <w:rPr>
          <w:lang w:val="fr-FR"/>
        </w:rPr>
        <w:t>’</w:t>
      </w:r>
      <w:r w:rsidRPr="005E2FA4">
        <w:rPr>
          <w:lang w:val="fr-FR"/>
        </w:rPr>
        <w:t xml:space="preserve">ensemble et </w:t>
      </w:r>
      <w:r>
        <w:rPr>
          <w:lang w:val="fr-FR"/>
        </w:rPr>
        <w:t xml:space="preserve">les </w:t>
      </w:r>
      <w:r w:rsidRPr="005E2FA4">
        <w:rPr>
          <w:lang w:val="fr-FR"/>
        </w:rPr>
        <w:t>dommage</w:t>
      </w:r>
      <w:r>
        <w:rPr>
          <w:lang w:val="fr-FR"/>
        </w:rPr>
        <w:t xml:space="preserve">s causés aux </w:t>
      </w:r>
      <w:r w:rsidRPr="005E2FA4">
        <w:rPr>
          <w:lang w:val="fr-FR"/>
        </w:rPr>
        <w:t xml:space="preserve">attaches de levage ou </w:t>
      </w:r>
      <w:r>
        <w:rPr>
          <w:lang w:val="fr-FR"/>
        </w:rPr>
        <w:t xml:space="preserve">à </w:t>
      </w:r>
      <w:r w:rsidRPr="005E2FA4">
        <w:rPr>
          <w:lang w:val="fr-FR"/>
        </w:rPr>
        <w:t>l</w:t>
      </w:r>
      <w:r w:rsidR="00D3733B">
        <w:rPr>
          <w:lang w:val="fr-FR"/>
        </w:rPr>
        <w:t>’</w:t>
      </w:r>
      <w:r w:rsidRPr="005E2FA4">
        <w:rPr>
          <w:lang w:val="fr-FR"/>
        </w:rPr>
        <w:t>interface de l</w:t>
      </w:r>
      <w:r w:rsidR="00D3733B">
        <w:rPr>
          <w:lang w:val="fr-FR"/>
        </w:rPr>
        <w:t>’</w:t>
      </w:r>
      <w:r w:rsidRPr="005E2FA4">
        <w:rPr>
          <w:lang w:val="fr-FR"/>
        </w:rPr>
        <w:t>équipement de manutention (voir</w:t>
      </w:r>
      <w:r>
        <w:rPr>
          <w:lang w:val="fr-FR"/>
        </w:rPr>
        <w:t xml:space="preserve"> le paragraphe</w:t>
      </w:r>
      <w:r w:rsidR="00C713B3">
        <w:rPr>
          <w:lang w:val="fr-FR"/>
        </w:rPr>
        <w:t> </w:t>
      </w:r>
      <w:r w:rsidRPr="005E2FA4">
        <w:rPr>
          <w:lang w:val="fr-FR"/>
        </w:rPr>
        <w:t xml:space="preserve">4.3.1.15). </w:t>
      </w:r>
    </w:p>
    <w:p w14:paraId="4E201A2A" w14:textId="77777777" w:rsidR="00E57302" w:rsidRDefault="00E57302" w:rsidP="00E57302">
      <w:pPr>
        <w:pStyle w:val="SingleTxtG"/>
        <w:rPr>
          <w:lang w:val="fr-FR"/>
        </w:rPr>
      </w:pPr>
      <w:r w:rsidRPr="00C072BE">
        <w:t>9.</w:t>
      </w:r>
      <w:r w:rsidRPr="00C072BE">
        <w:tab/>
      </w:r>
      <w:r w:rsidRPr="00D94888">
        <w:rPr>
          <w:lang w:val="fr-FR"/>
        </w:rPr>
        <w:t>Tous les engins de transport devant transporter des marchandises dangereuses devraient faire l</w:t>
      </w:r>
      <w:r w:rsidR="00D3733B">
        <w:rPr>
          <w:lang w:val="fr-FR"/>
        </w:rPr>
        <w:t>’</w:t>
      </w:r>
      <w:r w:rsidRPr="00D94888">
        <w:rPr>
          <w:lang w:val="fr-FR"/>
        </w:rPr>
        <w:t>objet d</w:t>
      </w:r>
      <w:r w:rsidR="00D3733B">
        <w:rPr>
          <w:lang w:val="fr-FR"/>
        </w:rPr>
        <w:t>’</w:t>
      </w:r>
      <w:r w:rsidRPr="00D94888">
        <w:rPr>
          <w:lang w:val="fr-FR"/>
        </w:rPr>
        <w:t>une inspection visuelle appropriée avant le chargement. Cette inspection devrait comprendre une recherche de résidus éventuels du chargement précédent et une vérification de l</w:t>
      </w:r>
      <w:r w:rsidR="00D3733B">
        <w:rPr>
          <w:lang w:val="fr-FR"/>
        </w:rPr>
        <w:t>’</w:t>
      </w:r>
      <w:r w:rsidRPr="00D94888">
        <w:rPr>
          <w:lang w:val="fr-FR"/>
        </w:rPr>
        <w:t>absence de saillies à l</w:t>
      </w:r>
      <w:r w:rsidR="00D3733B">
        <w:rPr>
          <w:lang w:val="fr-FR"/>
        </w:rPr>
        <w:t>’</w:t>
      </w:r>
      <w:r w:rsidRPr="00D94888">
        <w:rPr>
          <w:lang w:val="fr-FR"/>
        </w:rPr>
        <w:t>intérieur de l</w:t>
      </w:r>
      <w:r w:rsidR="00D3733B">
        <w:rPr>
          <w:lang w:val="fr-FR"/>
        </w:rPr>
        <w:t>’</w:t>
      </w:r>
      <w:r w:rsidRPr="00D94888">
        <w:rPr>
          <w:lang w:val="fr-FR"/>
        </w:rPr>
        <w:t>engin, car ces facteurs peuvent influer sur l</w:t>
      </w:r>
      <w:r w:rsidR="00D3733B">
        <w:rPr>
          <w:lang w:val="fr-FR"/>
        </w:rPr>
        <w:t>’</w:t>
      </w:r>
      <w:r w:rsidRPr="00D94888">
        <w:rPr>
          <w:lang w:val="fr-FR"/>
        </w:rPr>
        <w:t>intégrité des colis devant y être chargés</w:t>
      </w:r>
      <w:r>
        <w:rPr>
          <w:lang w:val="fr-FR"/>
        </w:rPr>
        <w:t>.</w:t>
      </w:r>
    </w:p>
    <w:p w14:paraId="4098AB54" w14:textId="77777777" w:rsidR="00E57302" w:rsidRPr="00E53475" w:rsidRDefault="00E57302" w:rsidP="00E57302">
      <w:pPr>
        <w:pStyle w:val="SingleTxtG"/>
      </w:pPr>
      <w:r w:rsidRPr="00D611D1">
        <w:t>10.</w:t>
      </w:r>
      <w:r w:rsidRPr="00D611D1">
        <w:tab/>
        <w:t>Lors de la dernière session,</w:t>
      </w:r>
      <w:r>
        <w:t xml:space="preserve"> la plupart des délégations qui se sont exprimées ont considéré que le texte actuel pourrait être amélioré et ont donné leur accord de principe à la </w:t>
      </w:r>
      <w:r w:rsidRPr="009F0CC9">
        <w:t>proposition. Des observations détaillées ont été formulées oralement au cours de la discussion. Les experts de l</w:t>
      </w:r>
      <w:r w:rsidR="00D3733B">
        <w:t>’</w:t>
      </w:r>
      <w:r w:rsidRPr="009F0CC9">
        <w:t>Allemagne et du CEFIC ont établi une version révisée (voir le paragraphe</w:t>
      </w:r>
      <w:r w:rsidR="00C713B3">
        <w:t> </w:t>
      </w:r>
      <w:r w:rsidRPr="009F0CC9">
        <w:t xml:space="preserve">11 ci-dessous) </w:t>
      </w:r>
      <w:r w:rsidRPr="00E57302">
        <w:rPr>
          <w:lang w:val="fr-FR"/>
        </w:rPr>
        <w:t>tenant</w:t>
      </w:r>
      <w:r w:rsidRPr="009F0CC9">
        <w:t xml:space="preserve"> compte des observations reçues. L</w:t>
      </w:r>
      <w:r w:rsidR="00D3733B">
        <w:t>’</w:t>
      </w:r>
      <w:r>
        <w:t xml:space="preserve">idée </w:t>
      </w:r>
      <w:r w:rsidRPr="009F0CC9">
        <w:t>d</w:t>
      </w:r>
      <w:r w:rsidR="00D3733B">
        <w:t>’</w:t>
      </w:r>
      <w:r w:rsidRPr="009F0CC9">
        <w:t>introduire une référence à la Convention internationale pour la sécurité des conteneurs (CSC) et au contenu de la circulaire</w:t>
      </w:r>
      <w:r w:rsidR="00D3733B">
        <w:t> </w:t>
      </w:r>
      <w:r w:rsidRPr="009F0CC9">
        <w:t xml:space="preserve">CSC.1/Circ.138/Rev.1 </w:t>
      </w:r>
      <w:r>
        <w:t>en tant que documents d</w:t>
      </w:r>
      <w:r w:rsidR="00D3733B">
        <w:t>’</w:t>
      </w:r>
      <w:r>
        <w:t>orientation n</w:t>
      </w:r>
      <w:r w:rsidR="00D3733B">
        <w:t>’</w:t>
      </w:r>
      <w:r>
        <w:t>a pas été retenue dans la proposition révisée. Les prescriptions portant sur l</w:t>
      </w:r>
      <w:r w:rsidR="00D3733B">
        <w:t>’</w:t>
      </w:r>
      <w:r>
        <w:t xml:space="preserve">aptitude à </w:t>
      </w:r>
      <w:r w:rsidRPr="00E53475">
        <w:t>l</w:t>
      </w:r>
      <w:r w:rsidR="00D3733B">
        <w:t>’</w:t>
      </w:r>
      <w:r w:rsidRPr="00E53475">
        <w:t>emploi</w:t>
      </w:r>
      <w:r>
        <w:t xml:space="preserve"> et l</w:t>
      </w:r>
      <w:r w:rsidR="00D3733B">
        <w:t>’</w:t>
      </w:r>
      <w:r w:rsidRPr="00E53475">
        <w:t>étanchéité aux intempéries</w:t>
      </w:r>
      <w:r>
        <w:t xml:space="preserve"> (voir le paragraphe</w:t>
      </w:r>
      <w:r w:rsidR="00C713B3">
        <w:t> </w:t>
      </w:r>
      <w:r w:rsidRPr="00E53475">
        <w:t>7.1.1.1</w:t>
      </w:r>
      <w:r w:rsidR="00C713B3">
        <w:t> </w:t>
      </w:r>
      <w:r w:rsidRPr="00E53475">
        <w:t>c)) ne subsistent qu</w:t>
      </w:r>
      <w:r w:rsidR="00D3733B">
        <w:t>’</w:t>
      </w:r>
      <w:r w:rsidRPr="00E53475">
        <w:t>en tant que dispositions</w:t>
      </w:r>
      <w:r>
        <w:t xml:space="preserve"> applicables seulement au </w:t>
      </w:r>
      <w:r w:rsidRPr="00E53475">
        <w:t>transport d</w:t>
      </w:r>
      <w:r w:rsidR="00D3733B">
        <w:t>’</w:t>
      </w:r>
      <w:r w:rsidRPr="00E53475">
        <w:t>explosifs</w:t>
      </w:r>
      <w:r>
        <w:t>.</w:t>
      </w:r>
    </w:p>
    <w:p w14:paraId="3BF1944D" w14:textId="77777777" w:rsidR="00E57302" w:rsidRPr="009565F5" w:rsidRDefault="00E57302" w:rsidP="00C713B3">
      <w:pPr>
        <w:pStyle w:val="HChG"/>
        <w:rPr>
          <w:b w:val="0"/>
        </w:rPr>
      </w:pPr>
      <w:r w:rsidRPr="00F77132">
        <w:tab/>
      </w:r>
      <w:r w:rsidRPr="00F77132">
        <w:tab/>
      </w:r>
      <w:r w:rsidRPr="00C713B3">
        <w:rPr>
          <w:lang w:val="fr-FR"/>
        </w:rPr>
        <w:t>Proposition</w:t>
      </w:r>
    </w:p>
    <w:p w14:paraId="3DD31F32" w14:textId="77777777" w:rsidR="00E57302" w:rsidRPr="009565F5" w:rsidRDefault="00E57302" w:rsidP="00E57302">
      <w:pPr>
        <w:pStyle w:val="SingleTxtG"/>
      </w:pPr>
      <w:r w:rsidRPr="009565F5">
        <w:t>11.</w:t>
      </w:r>
      <w:r w:rsidRPr="009565F5">
        <w:tab/>
        <w:t>Modifier le paragraphe</w:t>
      </w:r>
      <w:r w:rsidR="00180441">
        <w:t> </w:t>
      </w:r>
      <w:r w:rsidRPr="009565F5">
        <w:t xml:space="preserve">7.1.1.6 </w:t>
      </w:r>
      <w:r w:rsidRPr="00E57302">
        <w:rPr>
          <w:lang w:val="fr-FR"/>
        </w:rPr>
        <w:t>comme</w:t>
      </w:r>
      <w:r w:rsidRPr="009565F5">
        <w:t xml:space="preserve"> suit (le texte supprimé est </w:t>
      </w:r>
      <w:r w:rsidRPr="009565F5">
        <w:rPr>
          <w:strike/>
        </w:rPr>
        <w:t>biffé</w:t>
      </w:r>
      <w:r w:rsidRPr="009565F5">
        <w:t xml:space="preserve">, </w:t>
      </w:r>
      <w:r w:rsidRPr="00743B7E">
        <w:t xml:space="preserve">les ajouts </w:t>
      </w:r>
      <w:r>
        <w:t xml:space="preserve">sont </w:t>
      </w:r>
      <w:r w:rsidRPr="009565F5">
        <w:rPr>
          <w:u w:val="single"/>
        </w:rPr>
        <w:t>souligné</w:t>
      </w:r>
      <w:r>
        <w:rPr>
          <w:u w:val="single"/>
        </w:rPr>
        <w:t>s</w:t>
      </w:r>
      <w:r w:rsidRPr="009565F5">
        <w:t>)</w:t>
      </w:r>
      <w:r w:rsidR="00180441">
        <w:t> :</w:t>
      </w:r>
    </w:p>
    <w:p w14:paraId="6760971B" w14:textId="77777777" w:rsidR="00E57302" w:rsidRPr="00E53475" w:rsidRDefault="00180441" w:rsidP="00180441">
      <w:pPr>
        <w:pStyle w:val="SingleTxtG"/>
        <w:ind w:left="1701"/>
      </w:pPr>
      <w:bookmarkStart w:id="1" w:name="_Hlk512434691"/>
      <w:r>
        <w:t>« </w:t>
      </w:r>
      <w:r w:rsidR="00E57302" w:rsidRPr="00E53475">
        <w:t>7.1.1.6</w:t>
      </w:r>
      <w:r w:rsidR="00E57302" w:rsidRPr="00E53475">
        <w:tab/>
        <w:t>L</w:t>
      </w:r>
      <w:r w:rsidR="00D3733B">
        <w:t>’</w:t>
      </w:r>
      <w:r w:rsidR="00E57302" w:rsidRPr="00E53475">
        <w:t xml:space="preserve">intérieur et </w:t>
      </w:r>
      <w:r w:rsidR="00E57302" w:rsidRPr="00180441">
        <w:rPr>
          <w:lang w:val="fr-FR"/>
        </w:rPr>
        <w:t>l</w:t>
      </w:r>
      <w:r w:rsidR="00D3733B">
        <w:rPr>
          <w:lang w:val="fr-FR"/>
        </w:rPr>
        <w:t>’</w:t>
      </w:r>
      <w:r w:rsidR="00E57302" w:rsidRPr="00180441">
        <w:rPr>
          <w:lang w:val="fr-FR"/>
        </w:rPr>
        <w:t>extérieur</w:t>
      </w:r>
      <w:r w:rsidR="00E57302" w:rsidRPr="00E53475">
        <w:t xml:space="preserve"> d</w:t>
      </w:r>
      <w:r w:rsidR="00D3733B">
        <w:t>’</w:t>
      </w:r>
      <w:r w:rsidR="00E57302" w:rsidRPr="00E53475">
        <w:t>un engin de transport</w:t>
      </w:r>
      <w:r w:rsidR="00E57302">
        <w:t xml:space="preserve"> doivent être inspectés avant le chargement afin de s</w:t>
      </w:r>
      <w:r w:rsidR="00D3733B">
        <w:t>’</w:t>
      </w:r>
      <w:r w:rsidR="00E57302">
        <w:t>assurer de l</w:t>
      </w:r>
      <w:r w:rsidR="00D3733B">
        <w:t>’</w:t>
      </w:r>
      <w:r w:rsidR="00E57302">
        <w:t>absence de tout dommage susceptible d</w:t>
      </w:r>
      <w:r w:rsidR="00D3733B">
        <w:t>’</w:t>
      </w:r>
      <w:r w:rsidR="00E57302">
        <w:t>affecter son intégrité ou celle des colis devant y être chargés.</w:t>
      </w:r>
    </w:p>
    <w:p w14:paraId="7F91CDC2" w14:textId="77777777" w:rsidR="00E57302" w:rsidRPr="00B3137E" w:rsidRDefault="00E57302" w:rsidP="00180441">
      <w:pPr>
        <w:pStyle w:val="SingleTxtG"/>
        <w:ind w:left="1701"/>
        <w:rPr>
          <w:u w:val="single"/>
          <w:lang w:val="fr-FR"/>
        </w:rPr>
      </w:pPr>
      <w:r w:rsidRPr="00B3137E">
        <w:rPr>
          <w:u w:val="single"/>
        </w:rPr>
        <w:t>L</w:t>
      </w:r>
      <w:r w:rsidR="00D3733B">
        <w:rPr>
          <w:u w:val="single"/>
        </w:rPr>
        <w:t>’</w:t>
      </w:r>
      <w:r w:rsidRPr="00B3137E">
        <w:rPr>
          <w:u w:val="single"/>
        </w:rPr>
        <w:t xml:space="preserve">engin de transport doit être </w:t>
      </w:r>
      <w:r w:rsidRPr="00B3137E">
        <w:rPr>
          <w:u w:val="single"/>
          <w:lang w:val="fr-FR"/>
        </w:rPr>
        <w:t>examiné afin de s</w:t>
      </w:r>
      <w:r w:rsidR="00D3733B">
        <w:rPr>
          <w:u w:val="single"/>
          <w:lang w:val="fr-FR"/>
        </w:rPr>
        <w:t>’</w:t>
      </w:r>
      <w:r w:rsidRPr="00B3137E">
        <w:rPr>
          <w:u w:val="single"/>
          <w:lang w:val="fr-FR"/>
        </w:rPr>
        <w:t>assurer qu</w:t>
      </w:r>
      <w:r w:rsidR="00D3733B">
        <w:rPr>
          <w:u w:val="single"/>
          <w:lang w:val="fr-FR"/>
        </w:rPr>
        <w:t>’</w:t>
      </w:r>
      <w:r w:rsidRPr="00B3137E">
        <w:rPr>
          <w:u w:val="single"/>
          <w:lang w:val="fr-FR"/>
        </w:rPr>
        <w:t xml:space="preserve">il </w:t>
      </w:r>
      <w:r>
        <w:rPr>
          <w:u w:val="single"/>
          <w:lang w:val="fr-FR"/>
        </w:rPr>
        <w:t>est</w:t>
      </w:r>
      <w:r w:rsidRPr="00B3137E">
        <w:rPr>
          <w:u w:val="single"/>
          <w:lang w:val="fr-FR"/>
        </w:rPr>
        <w:t xml:space="preserve"> </w:t>
      </w:r>
      <w:r w:rsidRPr="00B3137E">
        <w:rPr>
          <w:iCs/>
          <w:u w:val="single"/>
          <w:lang w:val="fr-FR"/>
        </w:rPr>
        <w:t>structurellement propre à l</w:t>
      </w:r>
      <w:r w:rsidR="00D3733B">
        <w:rPr>
          <w:iCs/>
          <w:u w:val="single"/>
          <w:lang w:val="fr-FR"/>
        </w:rPr>
        <w:t>’</w:t>
      </w:r>
      <w:r w:rsidRPr="00B3137E">
        <w:rPr>
          <w:iCs/>
          <w:u w:val="single"/>
          <w:lang w:val="fr-FR"/>
        </w:rPr>
        <w:t>emploi</w:t>
      </w:r>
      <w:r w:rsidRPr="00B3137E">
        <w:rPr>
          <w:i/>
          <w:iCs/>
          <w:u w:val="single"/>
          <w:lang w:val="fr-FR"/>
        </w:rPr>
        <w:t xml:space="preserve"> </w:t>
      </w:r>
      <w:r w:rsidRPr="00B3137E">
        <w:rPr>
          <w:u w:val="single"/>
          <w:lang w:val="fr-FR"/>
        </w:rPr>
        <w:t xml:space="preserve">et que le plancher et les parois intérieurs ne présentent pas </w:t>
      </w:r>
      <w:r w:rsidRPr="00180441">
        <w:rPr>
          <w:u w:val="single"/>
        </w:rPr>
        <w:t>de</w:t>
      </w:r>
      <w:r w:rsidRPr="00B3137E">
        <w:rPr>
          <w:u w:val="single"/>
          <w:lang w:val="fr-FR"/>
        </w:rPr>
        <w:t xml:space="preserve"> saillies</w:t>
      </w:r>
      <w:r>
        <w:rPr>
          <w:u w:val="single"/>
          <w:lang w:val="fr-FR"/>
        </w:rPr>
        <w:t xml:space="preserve"> susceptibles d</w:t>
      </w:r>
      <w:r w:rsidR="00D3733B">
        <w:rPr>
          <w:u w:val="single"/>
          <w:lang w:val="fr-FR"/>
        </w:rPr>
        <w:t>’</w:t>
      </w:r>
      <w:r>
        <w:rPr>
          <w:u w:val="single"/>
          <w:lang w:val="fr-FR"/>
        </w:rPr>
        <w:t>affecter le chargement qui se trouve à l</w:t>
      </w:r>
      <w:r w:rsidR="00D3733B">
        <w:rPr>
          <w:u w:val="single"/>
          <w:lang w:val="fr-FR"/>
        </w:rPr>
        <w:t>’</w:t>
      </w:r>
      <w:r>
        <w:rPr>
          <w:u w:val="single"/>
          <w:lang w:val="fr-FR"/>
        </w:rPr>
        <w:t>intérieur</w:t>
      </w:r>
      <w:r w:rsidRPr="00B3137E">
        <w:rPr>
          <w:u w:val="single"/>
          <w:lang w:val="fr-FR"/>
        </w:rPr>
        <w:t>.</w:t>
      </w:r>
      <w:bookmarkStart w:id="2" w:name="_Hlk512439094"/>
      <w:bookmarkEnd w:id="2"/>
    </w:p>
    <w:p w14:paraId="178F7B59" w14:textId="77777777" w:rsidR="00E57302" w:rsidRPr="00F77132" w:rsidRDefault="00E57302" w:rsidP="00180441">
      <w:pPr>
        <w:pStyle w:val="SingleTxtG"/>
        <w:ind w:left="1701"/>
        <w:rPr>
          <w:u w:val="single"/>
        </w:rPr>
      </w:pPr>
      <w:r w:rsidRPr="00785C82">
        <w:rPr>
          <w:u w:val="single"/>
          <w:lang w:val="fr-FR"/>
        </w:rPr>
        <w:t>L</w:t>
      </w:r>
      <w:r w:rsidR="00D3733B">
        <w:rPr>
          <w:u w:val="single"/>
          <w:lang w:val="fr-FR"/>
        </w:rPr>
        <w:t>’</w:t>
      </w:r>
      <w:r w:rsidRPr="00785C82">
        <w:rPr>
          <w:u w:val="single"/>
          <w:lang w:val="fr-FR"/>
        </w:rPr>
        <w:t xml:space="preserve">expression </w:t>
      </w:r>
      <w:r w:rsidR="00180441">
        <w:rPr>
          <w:u w:val="single"/>
          <w:lang w:val="fr-FR"/>
        </w:rPr>
        <w:t>« </w:t>
      </w:r>
      <w:r w:rsidRPr="00785C82">
        <w:rPr>
          <w:u w:val="single"/>
          <w:lang w:val="fr-FR"/>
        </w:rPr>
        <w:t>structurellement propre à l</w:t>
      </w:r>
      <w:r w:rsidR="00D3733B">
        <w:rPr>
          <w:u w:val="single"/>
          <w:lang w:val="fr-FR"/>
        </w:rPr>
        <w:t>’</w:t>
      </w:r>
      <w:r w:rsidRPr="00785C82">
        <w:rPr>
          <w:u w:val="single"/>
          <w:lang w:val="fr-FR"/>
        </w:rPr>
        <w:t>emploi</w:t>
      </w:r>
      <w:r w:rsidR="00180441">
        <w:rPr>
          <w:u w:val="single"/>
          <w:lang w:val="fr-FR"/>
        </w:rPr>
        <w:t> »</w:t>
      </w:r>
      <w:r w:rsidRPr="00785C82">
        <w:rPr>
          <w:u w:val="single"/>
          <w:lang w:val="fr-FR"/>
        </w:rPr>
        <w:t xml:space="preserve"> s</w:t>
      </w:r>
      <w:r w:rsidR="00D3733B">
        <w:rPr>
          <w:u w:val="single"/>
          <w:lang w:val="fr-FR"/>
        </w:rPr>
        <w:t>’</w:t>
      </w:r>
      <w:r w:rsidRPr="00785C82">
        <w:rPr>
          <w:u w:val="single"/>
          <w:lang w:val="fr-FR"/>
        </w:rPr>
        <w:t>entend d</w:t>
      </w:r>
      <w:r w:rsidR="00D3733B">
        <w:rPr>
          <w:u w:val="single"/>
          <w:lang w:val="fr-FR"/>
        </w:rPr>
        <w:t>’</w:t>
      </w:r>
      <w:r w:rsidRPr="00785C82">
        <w:rPr>
          <w:u w:val="single"/>
          <w:lang w:val="fr-FR"/>
        </w:rPr>
        <w:t xml:space="preserve">un </w:t>
      </w:r>
      <w:r w:rsidRPr="00785C82">
        <w:rPr>
          <w:u w:val="single"/>
        </w:rPr>
        <w:t xml:space="preserve">engin de transport </w:t>
      </w:r>
      <w:r w:rsidRPr="00785C82">
        <w:rPr>
          <w:u w:val="single"/>
          <w:lang w:val="fr-FR"/>
        </w:rPr>
        <w:t>qui ne présente pas de défauts importants affectant ses éléments structuraux tels que, pour les conteneurs, les longerons supérieurs et inférieurs, les traverses supérieures et inférieures, les seuils et linteaux de portes, les traverses de plancher, les montants d</w:t>
      </w:r>
      <w:r w:rsidR="00D3733B">
        <w:rPr>
          <w:u w:val="single"/>
          <w:lang w:val="fr-FR"/>
        </w:rPr>
        <w:t>’</w:t>
      </w:r>
      <w:r w:rsidRPr="00785C82">
        <w:rPr>
          <w:u w:val="single"/>
          <w:lang w:val="fr-FR"/>
        </w:rPr>
        <w:t xml:space="preserve">angle et les pièces de coin. </w:t>
      </w:r>
      <w:r w:rsidRPr="00F77132">
        <w:rPr>
          <w:u w:val="single"/>
        </w:rPr>
        <w:t>On entend par « défauts importants</w:t>
      </w:r>
      <w:r w:rsidR="00D13F2A">
        <w:rPr>
          <w:u w:val="single"/>
        </w:rPr>
        <w:t> »</w:t>
      </w:r>
      <w:r w:rsidRPr="00F77132">
        <w:rPr>
          <w:u w:val="single"/>
        </w:rPr>
        <w:t> :</w:t>
      </w:r>
    </w:p>
    <w:p w14:paraId="767BC026" w14:textId="77777777" w:rsidR="00E57302" w:rsidRDefault="00E57302" w:rsidP="00180441">
      <w:pPr>
        <w:pStyle w:val="SingleTxtG"/>
        <w:ind w:left="2268" w:hanging="567"/>
        <w:rPr>
          <w:u w:val="single"/>
          <w:lang w:val="fr-FR"/>
        </w:rPr>
      </w:pPr>
      <w:r w:rsidRPr="00785C82">
        <w:rPr>
          <w:u w:val="single"/>
        </w:rPr>
        <w:t>a)</w:t>
      </w:r>
      <w:r w:rsidRPr="00785C82">
        <w:rPr>
          <w:u w:val="single"/>
        </w:rPr>
        <w:tab/>
      </w:r>
      <w:r w:rsidRPr="00785C82">
        <w:rPr>
          <w:u w:val="single"/>
          <w:lang w:val="fr-FR"/>
        </w:rPr>
        <w:t xml:space="preserve">Les pliures, fissures ou </w:t>
      </w:r>
      <w:r w:rsidRPr="00180441">
        <w:rPr>
          <w:u w:val="single"/>
        </w:rPr>
        <w:t>ruptures</w:t>
      </w:r>
      <w:r w:rsidRPr="00785C82">
        <w:rPr>
          <w:u w:val="single"/>
          <w:lang w:val="fr-FR"/>
        </w:rPr>
        <w:t xml:space="preserve"> dans un élément structural ou de soutien et tout endommagement de l</w:t>
      </w:r>
      <w:r w:rsidR="00D3733B">
        <w:rPr>
          <w:u w:val="single"/>
          <w:lang w:val="fr-FR"/>
        </w:rPr>
        <w:t>’</w:t>
      </w:r>
      <w:r w:rsidRPr="00785C82">
        <w:rPr>
          <w:u w:val="single"/>
          <w:lang w:val="fr-FR"/>
        </w:rPr>
        <w:t>équipement de service ou du matériel d</w:t>
      </w:r>
      <w:r w:rsidR="00D3733B">
        <w:rPr>
          <w:u w:val="single"/>
          <w:lang w:val="fr-FR"/>
        </w:rPr>
        <w:t>’</w:t>
      </w:r>
      <w:r w:rsidRPr="00785C82">
        <w:rPr>
          <w:u w:val="single"/>
          <w:lang w:val="fr-FR"/>
        </w:rPr>
        <w:t>exploitation qui affectent l</w:t>
      </w:r>
      <w:r w:rsidR="00D3733B">
        <w:rPr>
          <w:u w:val="single"/>
          <w:lang w:val="fr-FR"/>
        </w:rPr>
        <w:t>’</w:t>
      </w:r>
      <w:r w:rsidRPr="00785C82">
        <w:rPr>
          <w:u w:val="single"/>
          <w:lang w:val="fr-FR"/>
        </w:rPr>
        <w:t>intégrité du conteneur</w:t>
      </w:r>
      <w:r w:rsidR="00D3733B">
        <w:rPr>
          <w:u w:val="single"/>
          <w:lang w:val="fr-FR"/>
        </w:rPr>
        <w:t> </w:t>
      </w:r>
      <w:r w:rsidRPr="00785C82">
        <w:rPr>
          <w:u w:val="single"/>
          <w:lang w:val="fr-FR"/>
        </w:rPr>
        <w:t>;</w:t>
      </w:r>
    </w:p>
    <w:p w14:paraId="04876233" w14:textId="77777777" w:rsidR="00E57302" w:rsidRPr="00785C82" w:rsidRDefault="00E57302" w:rsidP="00180441">
      <w:pPr>
        <w:pStyle w:val="SingleTxtG"/>
        <w:ind w:left="2268" w:hanging="567"/>
        <w:rPr>
          <w:u w:val="single"/>
          <w:lang w:val="fr-FR"/>
        </w:rPr>
      </w:pPr>
      <w:r w:rsidRPr="00785C82">
        <w:rPr>
          <w:u w:val="single"/>
          <w:lang w:val="fr-FR"/>
        </w:rPr>
        <w:lastRenderedPageBreak/>
        <w:t>b)</w:t>
      </w:r>
      <w:r w:rsidRPr="00785C82">
        <w:rPr>
          <w:u w:val="single"/>
          <w:lang w:val="fr-FR"/>
        </w:rPr>
        <w:tab/>
        <w:t>Les charnières de porte et ferrures grippées, tordues, cassées, hors d</w:t>
      </w:r>
      <w:r w:rsidR="00D3733B">
        <w:rPr>
          <w:u w:val="single"/>
          <w:lang w:val="fr-FR"/>
        </w:rPr>
        <w:t>’</w:t>
      </w:r>
      <w:r w:rsidRPr="00785C82">
        <w:rPr>
          <w:u w:val="single"/>
          <w:lang w:val="fr-FR"/>
        </w:rPr>
        <w:t>usage ou manquantes</w:t>
      </w:r>
      <w:r w:rsidR="00D3733B">
        <w:rPr>
          <w:u w:val="single"/>
          <w:lang w:val="fr-FR"/>
        </w:rPr>
        <w:t> </w:t>
      </w:r>
      <w:r w:rsidRPr="00785C82">
        <w:rPr>
          <w:u w:val="single"/>
          <w:lang w:val="fr-FR"/>
        </w:rPr>
        <w:t>;</w:t>
      </w:r>
      <w:r>
        <w:rPr>
          <w:u w:val="single"/>
          <w:lang w:val="fr-FR"/>
        </w:rPr>
        <w:t xml:space="preserve"> </w:t>
      </w:r>
    </w:p>
    <w:p w14:paraId="58CF03AF" w14:textId="77777777" w:rsidR="00E57302" w:rsidRPr="00785C82" w:rsidRDefault="00E57302" w:rsidP="00180441">
      <w:pPr>
        <w:pStyle w:val="SingleTxtG"/>
        <w:ind w:left="2268" w:hanging="567"/>
        <w:rPr>
          <w:u w:val="single"/>
          <w:lang w:val="fr-FR"/>
        </w:rPr>
      </w:pPr>
      <w:r w:rsidRPr="00785C82">
        <w:rPr>
          <w:u w:val="single"/>
        </w:rPr>
        <w:t>c)</w:t>
      </w:r>
      <w:r w:rsidRPr="00785C82">
        <w:rPr>
          <w:u w:val="single"/>
        </w:rPr>
        <w:tab/>
      </w:r>
      <w:r w:rsidRPr="00785C82">
        <w:rPr>
          <w:u w:val="single"/>
          <w:lang w:val="fr-FR"/>
        </w:rPr>
        <w:t xml:space="preserve">Les joints </w:t>
      </w:r>
      <w:r>
        <w:rPr>
          <w:u w:val="single"/>
          <w:lang w:val="fr-FR"/>
        </w:rPr>
        <w:t>de porte endommagés ou manquants</w:t>
      </w:r>
      <w:r w:rsidR="00D3733B">
        <w:rPr>
          <w:u w:val="single"/>
          <w:lang w:val="fr-FR"/>
        </w:rPr>
        <w:t> </w:t>
      </w:r>
      <w:r w:rsidRPr="00785C82">
        <w:rPr>
          <w:u w:val="single"/>
          <w:lang w:val="fr-FR"/>
        </w:rPr>
        <w:t>; ou</w:t>
      </w:r>
    </w:p>
    <w:p w14:paraId="18CD4384" w14:textId="77777777" w:rsidR="00E57302" w:rsidRPr="00785C82" w:rsidRDefault="00E57302" w:rsidP="00180441">
      <w:pPr>
        <w:pStyle w:val="SingleTxtG"/>
        <w:ind w:left="2268" w:hanging="567"/>
        <w:rPr>
          <w:u w:val="single"/>
        </w:rPr>
      </w:pPr>
      <w:r w:rsidRPr="00785C82">
        <w:rPr>
          <w:u w:val="single"/>
        </w:rPr>
        <w:t>d)</w:t>
      </w:r>
      <w:r w:rsidRPr="00785C82">
        <w:rPr>
          <w:u w:val="single"/>
        </w:rPr>
        <w:tab/>
      </w:r>
      <w:r>
        <w:rPr>
          <w:u w:val="single"/>
        </w:rPr>
        <w:t>T</w:t>
      </w:r>
      <w:r w:rsidRPr="00785C82">
        <w:rPr>
          <w:u w:val="single"/>
          <w:lang w:val="fr-FR"/>
        </w:rPr>
        <w:t>out désalignement d</w:t>
      </w:r>
      <w:r w:rsidR="00D3733B">
        <w:rPr>
          <w:u w:val="single"/>
          <w:lang w:val="fr-FR"/>
        </w:rPr>
        <w:t>’</w:t>
      </w:r>
      <w:r w:rsidRPr="00785C82">
        <w:rPr>
          <w:u w:val="single"/>
          <w:lang w:val="fr-FR"/>
        </w:rPr>
        <w:t xml:space="preserve">ensemble ou tout </w:t>
      </w:r>
      <w:r>
        <w:rPr>
          <w:u w:val="single"/>
          <w:lang w:val="fr-FR"/>
        </w:rPr>
        <w:t xml:space="preserve">dommage causé aux </w:t>
      </w:r>
      <w:r w:rsidRPr="00785C82">
        <w:rPr>
          <w:u w:val="single"/>
          <w:lang w:val="fr-FR"/>
        </w:rPr>
        <w:t xml:space="preserve">attaches de levage ou </w:t>
      </w:r>
      <w:r>
        <w:rPr>
          <w:u w:val="single"/>
          <w:lang w:val="fr-FR"/>
        </w:rPr>
        <w:t>à</w:t>
      </w:r>
      <w:r w:rsidRPr="00785C82">
        <w:rPr>
          <w:u w:val="single"/>
          <w:lang w:val="fr-FR"/>
        </w:rPr>
        <w:t xml:space="preserve"> l</w:t>
      </w:r>
      <w:r w:rsidR="00D3733B">
        <w:rPr>
          <w:u w:val="single"/>
          <w:lang w:val="fr-FR"/>
        </w:rPr>
        <w:t>’</w:t>
      </w:r>
      <w:r w:rsidRPr="00785C82">
        <w:rPr>
          <w:u w:val="single"/>
          <w:lang w:val="fr-FR"/>
        </w:rPr>
        <w:t>interface de l</w:t>
      </w:r>
      <w:r w:rsidR="00D3733B">
        <w:rPr>
          <w:u w:val="single"/>
          <w:lang w:val="fr-FR"/>
        </w:rPr>
        <w:t>’</w:t>
      </w:r>
      <w:r w:rsidRPr="00785C82">
        <w:rPr>
          <w:u w:val="single"/>
          <w:lang w:val="fr-FR"/>
        </w:rPr>
        <w:t>équipement de manutention suffisant pour empêcher le positionnement correct du matériel de manutention, le montage et l</w:t>
      </w:r>
      <w:r w:rsidR="00D3733B">
        <w:rPr>
          <w:u w:val="single"/>
          <w:lang w:val="fr-FR"/>
        </w:rPr>
        <w:t>’</w:t>
      </w:r>
      <w:r w:rsidRPr="00785C82">
        <w:rPr>
          <w:u w:val="single"/>
          <w:lang w:val="fr-FR"/>
        </w:rPr>
        <w:t>arrimage sur les châssis, véhicules routiers ou wagons, ou l</w:t>
      </w:r>
      <w:r w:rsidR="00D3733B">
        <w:rPr>
          <w:u w:val="single"/>
          <w:lang w:val="fr-FR"/>
        </w:rPr>
        <w:t>’</w:t>
      </w:r>
      <w:r w:rsidRPr="00785C82">
        <w:rPr>
          <w:u w:val="single"/>
          <w:lang w:val="fr-FR"/>
        </w:rPr>
        <w:t>insertion dans les cellules des navires</w:t>
      </w:r>
      <w:r w:rsidRPr="00785C82">
        <w:rPr>
          <w:u w:val="single"/>
        </w:rPr>
        <w:t>.</w:t>
      </w:r>
    </w:p>
    <w:p w14:paraId="15A3EADC" w14:textId="77777777" w:rsidR="00E57302" w:rsidRPr="00743B7E" w:rsidRDefault="00E57302" w:rsidP="00122B4C">
      <w:pPr>
        <w:pStyle w:val="SingleTxtG"/>
        <w:rPr>
          <w:i/>
          <w:u w:val="single"/>
        </w:rPr>
      </w:pPr>
      <w:r w:rsidRPr="00122B4C">
        <w:rPr>
          <w:b/>
          <w:i/>
          <w:u w:val="single"/>
        </w:rPr>
        <w:t>NOTE</w:t>
      </w:r>
      <w:r w:rsidR="00122B4C">
        <w:rPr>
          <w:i/>
          <w:u w:val="single"/>
        </w:rPr>
        <w:t> </w:t>
      </w:r>
      <w:r w:rsidRPr="00785C82">
        <w:rPr>
          <w:i/>
          <w:u w:val="single"/>
        </w:rPr>
        <w:t>:</w:t>
      </w:r>
      <w:r w:rsidRPr="00785C82">
        <w:rPr>
          <w:i/>
          <w:u w:val="single"/>
        </w:rPr>
        <w:tab/>
        <w:t>Pour le remplissage de</w:t>
      </w:r>
      <w:r>
        <w:rPr>
          <w:i/>
          <w:u w:val="single"/>
        </w:rPr>
        <w:t>s</w:t>
      </w:r>
      <w:r w:rsidRPr="00785C82">
        <w:rPr>
          <w:i/>
          <w:u w:val="single"/>
        </w:rPr>
        <w:t xml:space="preserve"> citerne</w:t>
      </w:r>
      <w:r>
        <w:rPr>
          <w:i/>
          <w:u w:val="single"/>
        </w:rPr>
        <w:t>s</w:t>
      </w:r>
      <w:r w:rsidRPr="00785C82">
        <w:rPr>
          <w:i/>
          <w:u w:val="single"/>
        </w:rPr>
        <w:t xml:space="preserve"> mobile</w:t>
      </w:r>
      <w:r>
        <w:rPr>
          <w:i/>
          <w:u w:val="single"/>
        </w:rPr>
        <w:t xml:space="preserve">s et des </w:t>
      </w:r>
      <w:r w:rsidRPr="00743B7E">
        <w:rPr>
          <w:i/>
          <w:u w:val="single"/>
        </w:rPr>
        <w:t>conteneu</w:t>
      </w:r>
      <w:r>
        <w:rPr>
          <w:i/>
          <w:u w:val="single"/>
        </w:rPr>
        <w:t>r</w:t>
      </w:r>
      <w:r w:rsidRPr="00743B7E">
        <w:rPr>
          <w:i/>
          <w:u w:val="single"/>
        </w:rPr>
        <w:t>s à gaz à éléments multiples (CGEM)</w:t>
      </w:r>
      <w:r>
        <w:rPr>
          <w:i/>
          <w:u w:val="single"/>
        </w:rPr>
        <w:t>, voir le c</w:t>
      </w:r>
      <w:r w:rsidRPr="00785C82">
        <w:rPr>
          <w:i/>
          <w:u w:val="single"/>
        </w:rPr>
        <w:t>hap</w:t>
      </w:r>
      <w:r>
        <w:rPr>
          <w:i/>
          <w:u w:val="single"/>
        </w:rPr>
        <w:t>i</w:t>
      </w:r>
      <w:r w:rsidRPr="00785C82">
        <w:rPr>
          <w:i/>
          <w:u w:val="single"/>
        </w:rPr>
        <w:t>tr</w:t>
      </w:r>
      <w:r>
        <w:rPr>
          <w:i/>
          <w:u w:val="single"/>
        </w:rPr>
        <w:t>e</w:t>
      </w:r>
      <w:r w:rsidRPr="00785C82">
        <w:rPr>
          <w:i/>
          <w:u w:val="single"/>
        </w:rPr>
        <w:t xml:space="preserve"> 4.2. </w:t>
      </w:r>
      <w:r>
        <w:rPr>
          <w:i/>
          <w:u w:val="single"/>
        </w:rPr>
        <w:t xml:space="preserve">Pour le remplissage des </w:t>
      </w:r>
      <w:r w:rsidRPr="00743B7E">
        <w:rPr>
          <w:i/>
          <w:u w:val="single"/>
        </w:rPr>
        <w:t>conteneurs pour vrac souples, voir le chapitre 4.3</w:t>
      </w:r>
    </w:p>
    <w:bookmarkEnd w:id="1"/>
    <w:p w14:paraId="4C75AD79" w14:textId="77777777" w:rsidR="00E57302" w:rsidRPr="00743B7E" w:rsidRDefault="00E57302" w:rsidP="00122B4C">
      <w:pPr>
        <w:pStyle w:val="H1G"/>
        <w:rPr>
          <w:lang w:eastAsia="zh-CN"/>
        </w:rPr>
      </w:pPr>
      <w:r w:rsidRPr="00743B7E">
        <w:rPr>
          <w:lang w:eastAsia="zh-CN"/>
        </w:rPr>
        <w:tab/>
      </w:r>
      <w:r w:rsidRPr="00743B7E">
        <w:rPr>
          <w:lang w:eastAsia="zh-CN"/>
        </w:rPr>
        <w:tab/>
      </w:r>
      <w:r w:rsidRPr="00743B7E">
        <w:rPr>
          <w:lang w:val="fr-FR" w:eastAsia="zh-CN"/>
        </w:rPr>
        <w:t>Amendements corollaires</w:t>
      </w:r>
    </w:p>
    <w:p w14:paraId="598CD399" w14:textId="77777777" w:rsidR="00E57302" w:rsidRPr="00743B7E" w:rsidRDefault="00E57302" w:rsidP="00E57302">
      <w:pPr>
        <w:pStyle w:val="SingleTxtG"/>
        <w:rPr>
          <w:lang w:val="fr-FR"/>
        </w:rPr>
      </w:pPr>
      <w:r w:rsidRPr="00217385">
        <w:t>12.</w:t>
      </w:r>
      <w:r w:rsidRPr="00217385">
        <w:tab/>
      </w:r>
      <w:r w:rsidRPr="00743B7E">
        <w:rPr>
          <w:lang w:val="fr-FR"/>
        </w:rPr>
        <w:t xml:space="preserve">Modifier le </w:t>
      </w:r>
      <w:r>
        <w:rPr>
          <w:lang w:val="fr-FR"/>
        </w:rPr>
        <w:t>paragraphe</w:t>
      </w:r>
      <w:r w:rsidR="00122B4C">
        <w:rPr>
          <w:lang w:val="fr-FR"/>
        </w:rPr>
        <w:t> </w:t>
      </w:r>
      <w:r w:rsidRPr="00743B7E">
        <w:rPr>
          <w:lang w:val="fr-FR"/>
        </w:rPr>
        <w:t xml:space="preserve">4.3.1.15 comme suit (le texte supprimé est </w:t>
      </w:r>
      <w:r w:rsidRPr="00743B7E">
        <w:rPr>
          <w:strike/>
          <w:lang w:val="fr-FR"/>
        </w:rPr>
        <w:t>biffé</w:t>
      </w:r>
      <w:r w:rsidRPr="00743B7E">
        <w:rPr>
          <w:lang w:val="fr-FR"/>
        </w:rPr>
        <w:t xml:space="preserve"> ; les ajouts sont </w:t>
      </w:r>
      <w:r w:rsidRPr="00217385">
        <w:rPr>
          <w:u w:val="single"/>
          <w:lang w:val="fr-FR"/>
        </w:rPr>
        <w:t>soulignés</w:t>
      </w:r>
      <w:r w:rsidRPr="00743B7E">
        <w:rPr>
          <w:lang w:val="fr-FR"/>
        </w:rPr>
        <w:t>) :</w:t>
      </w:r>
    </w:p>
    <w:p w14:paraId="0A9E69DB" w14:textId="77777777" w:rsidR="00E57302" w:rsidRPr="00F77132" w:rsidRDefault="00122B4C" w:rsidP="00122B4C">
      <w:pPr>
        <w:pStyle w:val="SingleTxtG"/>
        <w:ind w:left="1701"/>
      </w:pPr>
      <w:r>
        <w:t>« </w:t>
      </w:r>
      <w:r w:rsidR="00E57302" w:rsidRPr="004003E1">
        <w:t>4.3.1.15</w:t>
      </w:r>
      <w:r w:rsidR="00E57302" w:rsidRPr="004003E1">
        <w:tab/>
      </w:r>
      <w:r w:rsidR="00E57302" w:rsidRPr="004003E1">
        <w:rPr>
          <w:lang w:val="fr-FR"/>
        </w:rPr>
        <w:t>Avant de remplir un conteneur pour vrac, il faut procéder à une inspection visuelle pour s</w:t>
      </w:r>
      <w:r w:rsidR="00D3733B">
        <w:rPr>
          <w:lang w:val="fr-FR"/>
        </w:rPr>
        <w:t>’</w:t>
      </w:r>
      <w:r w:rsidR="00E57302" w:rsidRPr="004003E1">
        <w:rPr>
          <w:lang w:val="fr-FR"/>
        </w:rPr>
        <w:t>assurer qu</w:t>
      </w:r>
      <w:r w:rsidR="00D3733B">
        <w:rPr>
          <w:lang w:val="fr-FR"/>
        </w:rPr>
        <w:t>’</w:t>
      </w:r>
      <w:r w:rsidR="00E57302" w:rsidRPr="004003E1">
        <w:rPr>
          <w:lang w:val="fr-FR"/>
        </w:rPr>
        <w:t>il est structuralement propre à l</w:t>
      </w:r>
      <w:r w:rsidR="00D3733B">
        <w:rPr>
          <w:lang w:val="fr-FR"/>
        </w:rPr>
        <w:t>’</w:t>
      </w:r>
      <w:r w:rsidR="00E57302" w:rsidRPr="004003E1">
        <w:rPr>
          <w:lang w:val="fr-FR"/>
        </w:rPr>
        <w:t xml:space="preserve">emploi, que </w:t>
      </w:r>
      <w:r w:rsidR="00E57302">
        <w:rPr>
          <w:lang w:val="fr-FR"/>
        </w:rPr>
        <w:t xml:space="preserve">ses </w:t>
      </w:r>
      <w:r w:rsidR="00E57302" w:rsidRPr="004003E1">
        <w:rPr>
          <w:lang w:val="fr-FR"/>
        </w:rPr>
        <w:t>parois intérieures, plafond et plancher sont exempts de saillies ou de dommages et que les doublures intérieures ou l</w:t>
      </w:r>
      <w:r w:rsidR="00D3733B">
        <w:rPr>
          <w:lang w:val="fr-FR"/>
        </w:rPr>
        <w:t>’</w:t>
      </w:r>
      <w:r w:rsidR="00E57302" w:rsidRPr="004003E1">
        <w:rPr>
          <w:lang w:val="fr-FR"/>
        </w:rPr>
        <w:t>équipement de rétention des matières ne présentent pas d</w:t>
      </w:r>
      <w:r w:rsidR="00D3733B">
        <w:rPr>
          <w:lang w:val="fr-FR"/>
        </w:rPr>
        <w:t>’</w:t>
      </w:r>
      <w:r w:rsidR="00E57302" w:rsidRPr="004003E1">
        <w:rPr>
          <w:lang w:val="fr-FR"/>
        </w:rPr>
        <w:t>accrocs, de déchirures ou de dommage susceptible de compromettre ses capacités de rétention de la cargaison. Le terme “structurellement propre à l</w:t>
      </w:r>
      <w:r w:rsidR="00D3733B">
        <w:rPr>
          <w:lang w:val="fr-FR"/>
        </w:rPr>
        <w:t>’</w:t>
      </w:r>
      <w:r w:rsidR="00E57302" w:rsidRPr="004003E1">
        <w:rPr>
          <w:lang w:val="fr-FR"/>
        </w:rPr>
        <w:t>emploi” s</w:t>
      </w:r>
      <w:r w:rsidR="00D3733B">
        <w:rPr>
          <w:lang w:val="fr-FR"/>
        </w:rPr>
        <w:t>’</w:t>
      </w:r>
      <w:r w:rsidR="00E57302" w:rsidRPr="004003E1">
        <w:rPr>
          <w:lang w:val="fr-FR"/>
        </w:rPr>
        <w:t>entend d</w:t>
      </w:r>
      <w:r w:rsidR="00D3733B">
        <w:rPr>
          <w:lang w:val="fr-FR"/>
        </w:rPr>
        <w:t>’</w:t>
      </w:r>
      <w:r w:rsidR="00E57302" w:rsidRPr="004003E1">
        <w:rPr>
          <w:lang w:val="fr-FR"/>
        </w:rPr>
        <w:t>un conteneur pour vrac qui ne présente pas de défauts importants affectant ses éléments structuraux tels que les longerons supérieurs et inférieurs, les traverses supérieures et inférieures, les seuils et linteaux de portes, les traverses de plancher, les montants d</w:t>
      </w:r>
      <w:r w:rsidR="00D3733B">
        <w:rPr>
          <w:lang w:val="fr-FR"/>
        </w:rPr>
        <w:t>’</w:t>
      </w:r>
      <w:r w:rsidR="00E57302" w:rsidRPr="004003E1">
        <w:rPr>
          <w:lang w:val="fr-FR"/>
        </w:rPr>
        <w:t xml:space="preserve">angle et les pièces de coin. </w:t>
      </w:r>
      <w:r w:rsidR="00E57302" w:rsidRPr="00F77132">
        <w:t xml:space="preserve">On entend par </w:t>
      </w:r>
      <w:r w:rsidR="00D13F2A">
        <w:t>« </w:t>
      </w:r>
      <w:r w:rsidR="00E57302" w:rsidRPr="00F77132">
        <w:t>défauts importants</w:t>
      </w:r>
      <w:r w:rsidR="00D13F2A">
        <w:t> »</w:t>
      </w:r>
      <w:r>
        <w:t> </w:t>
      </w:r>
      <w:r w:rsidR="00E57302" w:rsidRPr="00F77132">
        <w:t>:</w:t>
      </w:r>
    </w:p>
    <w:p w14:paraId="7A4F9ECB" w14:textId="77777777" w:rsidR="00E57302" w:rsidRPr="00B74482" w:rsidRDefault="00E57302" w:rsidP="00122B4C">
      <w:pPr>
        <w:pStyle w:val="SingleTxtG"/>
        <w:ind w:left="2268" w:hanging="567"/>
      </w:pPr>
      <w:r w:rsidRPr="00A86B29">
        <w:t>a)</w:t>
      </w:r>
      <w:r w:rsidRPr="00A86B29">
        <w:tab/>
      </w:r>
      <w:r w:rsidRPr="00A86B29">
        <w:rPr>
          <w:lang w:val="fr-FR"/>
        </w:rPr>
        <w:t xml:space="preserve">Les pliures, fissures ou ruptures dans un élément structural ou de soutien </w:t>
      </w:r>
      <w:r w:rsidRPr="00A86B29">
        <w:rPr>
          <w:strike/>
          <w:lang w:val="fr-FR"/>
        </w:rPr>
        <w:t>qui affectent l</w:t>
      </w:r>
      <w:r w:rsidR="00D3733B">
        <w:rPr>
          <w:strike/>
          <w:lang w:val="fr-FR"/>
        </w:rPr>
        <w:t>’</w:t>
      </w:r>
      <w:r w:rsidRPr="00A86B29">
        <w:rPr>
          <w:strike/>
          <w:lang w:val="fr-FR"/>
        </w:rPr>
        <w:t>intégrité d</w:t>
      </w:r>
      <w:r>
        <w:rPr>
          <w:strike/>
          <w:lang w:val="fr-FR"/>
        </w:rPr>
        <w:t>u</w:t>
      </w:r>
      <w:r w:rsidRPr="00A86B29">
        <w:rPr>
          <w:strike/>
          <w:lang w:val="fr-FR"/>
        </w:rPr>
        <w:t xml:space="preserve"> conteneur</w:t>
      </w:r>
      <w:r>
        <w:rPr>
          <w:lang w:val="fr-FR"/>
        </w:rPr>
        <w:t xml:space="preserve"> </w:t>
      </w:r>
      <w:r w:rsidRPr="00A86B29">
        <w:rPr>
          <w:u w:val="single"/>
          <w:lang w:val="fr-FR"/>
        </w:rPr>
        <w:t>et tout dommage</w:t>
      </w:r>
      <w:r>
        <w:rPr>
          <w:u w:val="single"/>
          <w:lang w:val="fr-FR"/>
        </w:rPr>
        <w:t xml:space="preserve"> causé à </w:t>
      </w:r>
      <w:r w:rsidRPr="00A86B29">
        <w:rPr>
          <w:u w:val="single"/>
          <w:lang w:val="fr-FR"/>
        </w:rPr>
        <w:t>l</w:t>
      </w:r>
      <w:r w:rsidR="00D3733B">
        <w:rPr>
          <w:u w:val="single"/>
          <w:lang w:val="fr-FR"/>
        </w:rPr>
        <w:t>’</w:t>
      </w:r>
      <w:r w:rsidRPr="00A86B29">
        <w:rPr>
          <w:u w:val="single"/>
          <w:lang w:val="fr-FR"/>
        </w:rPr>
        <w:t xml:space="preserve">équipement de service ou </w:t>
      </w:r>
      <w:r>
        <w:rPr>
          <w:u w:val="single"/>
          <w:lang w:val="fr-FR"/>
        </w:rPr>
        <w:t>a</w:t>
      </w:r>
      <w:r w:rsidRPr="00A86B29">
        <w:rPr>
          <w:u w:val="single"/>
          <w:lang w:val="fr-FR"/>
        </w:rPr>
        <w:t>u matériel d</w:t>
      </w:r>
      <w:r w:rsidR="00D3733B">
        <w:rPr>
          <w:u w:val="single"/>
          <w:lang w:val="fr-FR"/>
        </w:rPr>
        <w:t>’</w:t>
      </w:r>
      <w:r w:rsidRPr="00A86B29">
        <w:rPr>
          <w:u w:val="single"/>
          <w:lang w:val="fr-FR"/>
        </w:rPr>
        <w:t>exploitation qui affectent l</w:t>
      </w:r>
      <w:r w:rsidR="00D3733B">
        <w:rPr>
          <w:u w:val="single"/>
          <w:lang w:val="fr-FR"/>
        </w:rPr>
        <w:t>’</w:t>
      </w:r>
      <w:r w:rsidRPr="00A86B29">
        <w:rPr>
          <w:u w:val="single"/>
          <w:lang w:val="fr-FR"/>
        </w:rPr>
        <w:t>intégrité du conteneur</w:t>
      </w:r>
      <w:r w:rsidR="00D3733B">
        <w:rPr>
          <w:u w:val="single"/>
          <w:lang w:val="fr-FR"/>
        </w:rPr>
        <w:t> </w:t>
      </w:r>
      <w:r>
        <w:rPr>
          <w:u w:val="single"/>
          <w:lang w:val="fr-FR"/>
        </w:rPr>
        <w:t>;</w:t>
      </w:r>
      <w:r w:rsidR="00D3733B">
        <w:rPr>
          <w:lang w:val="fr-FR"/>
        </w:rPr>
        <w:t xml:space="preserve"> </w:t>
      </w:r>
      <w:r w:rsidRPr="00B74482">
        <w:rPr>
          <w:strike/>
        </w:rPr>
        <w:t>plus d</w:t>
      </w:r>
      <w:r w:rsidR="00D3733B">
        <w:rPr>
          <w:strike/>
        </w:rPr>
        <w:t>’</w:t>
      </w:r>
      <w:r w:rsidRPr="00B74482">
        <w:rPr>
          <w:strike/>
        </w:rPr>
        <w:t>un raccord ou l</w:t>
      </w:r>
      <w:r w:rsidR="00D3733B">
        <w:rPr>
          <w:strike/>
        </w:rPr>
        <w:t>’</w:t>
      </w:r>
      <w:r w:rsidRPr="00B74482">
        <w:rPr>
          <w:strike/>
        </w:rPr>
        <w:t>existence de raccords improprement exécutés (par exemple par recouvrement) aux traverses supérieures ou inférieures ou aux linteaux de portes</w:t>
      </w:r>
      <w:r w:rsidR="00D3733B">
        <w:rPr>
          <w:strike/>
        </w:rPr>
        <w:t> </w:t>
      </w:r>
      <w:r w:rsidRPr="00B74482">
        <w:rPr>
          <w:strike/>
        </w:rPr>
        <w:t>;</w:t>
      </w:r>
    </w:p>
    <w:p w14:paraId="5B8BC057" w14:textId="77777777" w:rsidR="00E57302" w:rsidRPr="00B74482" w:rsidRDefault="00E57302" w:rsidP="00122B4C">
      <w:pPr>
        <w:pStyle w:val="SingleTxtG"/>
        <w:ind w:left="2268" w:hanging="567"/>
        <w:rPr>
          <w:strike/>
        </w:rPr>
      </w:pPr>
      <w:r w:rsidRPr="00B74482">
        <w:rPr>
          <w:strike/>
        </w:rPr>
        <w:t>c)</w:t>
      </w:r>
      <w:r w:rsidRPr="00B74482">
        <w:rPr>
          <w:strike/>
        </w:rPr>
        <w:tab/>
      </w:r>
      <w:r>
        <w:rPr>
          <w:strike/>
        </w:rPr>
        <w:t>P</w:t>
      </w:r>
      <w:r w:rsidRPr="00B74482">
        <w:rPr>
          <w:strike/>
        </w:rPr>
        <w:t>lus de deux raccords à l</w:t>
      </w:r>
      <w:r w:rsidR="00D3733B">
        <w:rPr>
          <w:strike/>
        </w:rPr>
        <w:t>’</w:t>
      </w:r>
      <w:r w:rsidRPr="00B74482">
        <w:rPr>
          <w:strike/>
        </w:rPr>
        <w:t>un quelconque des longerons supérieurs ou inférieurs</w:t>
      </w:r>
      <w:r w:rsidR="00D3733B">
        <w:rPr>
          <w:strike/>
        </w:rPr>
        <w:t> </w:t>
      </w:r>
      <w:r w:rsidRPr="00B74482">
        <w:rPr>
          <w:strike/>
        </w:rPr>
        <w:t xml:space="preserve">; </w:t>
      </w:r>
    </w:p>
    <w:p w14:paraId="1B5EA758" w14:textId="77777777" w:rsidR="00E57302" w:rsidRPr="00B74482" w:rsidRDefault="00E57302" w:rsidP="00122B4C">
      <w:pPr>
        <w:pStyle w:val="SingleTxtG"/>
        <w:ind w:left="2268" w:hanging="567"/>
        <w:rPr>
          <w:strike/>
        </w:rPr>
      </w:pPr>
      <w:r w:rsidRPr="00B74482">
        <w:rPr>
          <w:strike/>
        </w:rPr>
        <w:t>d)</w:t>
      </w:r>
      <w:r w:rsidRPr="00B74482">
        <w:rPr>
          <w:strike/>
        </w:rPr>
        <w:tab/>
      </w:r>
      <w:r>
        <w:rPr>
          <w:strike/>
        </w:rPr>
        <w:t xml:space="preserve">Tout </w:t>
      </w:r>
      <w:r w:rsidRPr="00B74482">
        <w:rPr>
          <w:strike/>
        </w:rPr>
        <w:t>raccord dans un seuil de porte ou un montant d</w:t>
      </w:r>
      <w:r w:rsidR="00D3733B">
        <w:rPr>
          <w:strike/>
        </w:rPr>
        <w:t>’</w:t>
      </w:r>
      <w:r w:rsidRPr="00B74482">
        <w:rPr>
          <w:strike/>
        </w:rPr>
        <w:t>angle</w:t>
      </w:r>
      <w:r w:rsidR="00D3733B">
        <w:rPr>
          <w:strike/>
        </w:rPr>
        <w:t> </w:t>
      </w:r>
      <w:r w:rsidRPr="00B74482">
        <w:rPr>
          <w:strike/>
        </w:rPr>
        <w:t>;</w:t>
      </w:r>
    </w:p>
    <w:p w14:paraId="1946975D" w14:textId="77777777" w:rsidR="00E57302" w:rsidRPr="00B74482" w:rsidRDefault="00E57302" w:rsidP="00122B4C">
      <w:pPr>
        <w:pStyle w:val="SingleTxtG"/>
        <w:ind w:left="2268" w:hanging="567"/>
      </w:pPr>
      <w:r w:rsidRPr="00B74482">
        <w:rPr>
          <w:strike/>
        </w:rPr>
        <w:t>e</w:t>
      </w:r>
      <w:r w:rsidRPr="00B74482">
        <w:t>b)</w:t>
      </w:r>
      <w:r w:rsidRPr="00B74482">
        <w:tab/>
        <w:t xml:space="preserve">Les portes et les ferrures </w:t>
      </w:r>
      <w:r>
        <w:t>qui so</w:t>
      </w:r>
      <w:r w:rsidRPr="00B74482">
        <w:t xml:space="preserve">nt </w:t>
      </w:r>
      <w:r w:rsidRPr="00122B4C">
        <w:rPr>
          <w:lang w:val="fr-FR"/>
        </w:rPr>
        <w:t>grippées</w:t>
      </w:r>
      <w:r w:rsidRPr="00B74482">
        <w:t>, tordues, cassées, manquantes ou hors d</w:t>
      </w:r>
      <w:r w:rsidR="00D3733B">
        <w:t>’</w:t>
      </w:r>
      <w:r w:rsidRPr="00B74482">
        <w:t>usage</w:t>
      </w:r>
      <w:r w:rsidR="00D3733B">
        <w:t> </w:t>
      </w:r>
      <w:r w:rsidRPr="00B74482">
        <w:t>;</w:t>
      </w:r>
    </w:p>
    <w:p w14:paraId="44298DB2" w14:textId="77777777" w:rsidR="00E57302" w:rsidRPr="00E466F2" w:rsidRDefault="00E57302" w:rsidP="00122B4C">
      <w:pPr>
        <w:pStyle w:val="SingleTxtG"/>
        <w:ind w:left="2268" w:hanging="567"/>
      </w:pPr>
      <w:r w:rsidRPr="00E466F2">
        <w:rPr>
          <w:strike/>
        </w:rPr>
        <w:t>f</w:t>
      </w:r>
      <w:r w:rsidRPr="00E466F2">
        <w:t>c)</w:t>
      </w:r>
      <w:r w:rsidRPr="00E466F2">
        <w:tab/>
        <w:t>Les join</w:t>
      </w:r>
      <w:r>
        <w:t>t</w:t>
      </w:r>
      <w:r w:rsidRPr="00E466F2">
        <w:t xml:space="preserve">s </w:t>
      </w:r>
      <w:r w:rsidRPr="00E466F2">
        <w:rPr>
          <w:u w:val="single"/>
        </w:rPr>
        <w:t>de porte</w:t>
      </w:r>
      <w:r w:rsidRPr="00122B4C">
        <w:rPr>
          <w:u w:val="single"/>
        </w:rPr>
        <w:t xml:space="preserve"> </w:t>
      </w:r>
      <w:r w:rsidRPr="00E466F2">
        <w:rPr>
          <w:u w:val="single"/>
        </w:rPr>
        <w:t xml:space="preserve">qui sont </w:t>
      </w:r>
      <w:r w:rsidRPr="00122B4C">
        <w:rPr>
          <w:u w:val="single"/>
          <w:lang w:val="fr-FR"/>
        </w:rPr>
        <w:t>endommagés</w:t>
      </w:r>
      <w:r w:rsidRPr="00E466F2">
        <w:rPr>
          <w:u w:val="single"/>
        </w:rPr>
        <w:t xml:space="preserve"> ou </w:t>
      </w:r>
      <w:r w:rsidRPr="00D3733B">
        <w:rPr>
          <w:u w:val="single"/>
        </w:rPr>
        <w:t>manquants</w:t>
      </w:r>
      <w:r w:rsidR="00D3733B" w:rsidRPr="00D3733B">
        <w:rPr>
          <w:u w:val="single"/>
        </w:rPr>
        <w:t> </w:t>
      </w:r>
      <w:r w:rsidRPr="00D3733B">
        <w:rPr>
          <w:u w:val="single"/>
        </w:rPr>
        <w:t xml:space="preserve">; </w:t>
      </w:r>
      <w:r w:rsidRPr="00E466F2">
        <w:rPr>
          <w:u w:val="single"/>
        </w:rPr>
        <w:t>ou</w:t>
      </w:r>
    </w:p>
    <w:p w14:paraId="092DC760" w14:textId="77777777" w:rsidR="00E57302" w:rsidRDefault="00E57302" w:rsidP="00122B4C">
      <w:pPr>
        <w:pStyle w:val="SingleTxtG"/>
        <w:ind w:left="2268" w:hanging="567"/>
      </w:pPr>
      <w:r w:rsidRPr="00E466F2">
        <w:rPr>
          <w:strike/>
        </w:rPr>
        <w:t>g</w:t>
      </w:r>
      <w:r w:rsidRPr="00E466F2">
        <w:t>d)</w:t>
      </w:r>
      <w:r w:rsidRPr="00E466F2">
        <w:tab/>
      </w:r>
      <w:r>
        <w:t>T</w:t>
      </w:r>
      <w:r w:rsidRPr="00E466F2">
        <w:t>out désalignement d</w:t>
      </w:r>
      <w:r w:rsidR="00D3733B">
        <w:t>’</w:t>
      </w:r>
      <w:r w:rsidRPr="00E466F2">
        <w:t xml:space="preserve">ensemble </w:t>
      </w:r>
      <w:r w:rsidRPr="000243D8">
        <w:rPr>
          <w:u w:val="single"/>
          <w:lang w:val="fr-FR"/>
        </w:rPr>
        <w:t>et tout dommage</w:t>
      </w:r>
      <w:r>
        <w:rPr>
          <w:u w:val="single"/>
          <w:lang w:val="fr-FR"/>
        </w:rPr>
        <w:t xml:space="preserve"> causé aux </w:t>
      </w:r>
      <w:r w:rsidRPr="000243D8">
        <w:rPr>
          <w:u w:val="single"/>
        </w:rPr>
        <w:t xml:space="preserve">attaches de levage ou </w:t>
      </w:r>
      <w:r>
        <w:rPr>
          <w:u w:val="single"/>
        </w:rPr>
        <w:t>à</w:t>
      </w:r>
      <w:r w:rsidRPr="000243D8">
        <w:rPr>
          <w:u w:val="single"/>
        </w:rPr>
        <w:t xml:space="preserve"> l</w:t>
      </w:r>
      <w:r w:rsidR="00D3733B">
        <w:rPr>
          <w:u w:val="single"/>
        </w:rPr>
        <w:t>’</w:t>
      </w:r>
      <w:r w:rsidRPr="000243D8">
        <w:rPr>
          <w:u w:val="single"/>
        </w:rPr>
        <w:t>interface de l</w:t>
      </w:r>
      <w:r w:rsidR="00D3733B">
        <w:rPr>
          <w:u w:val="single"/>
        </w:rPr>
        <w:t>’</w:t>
      </w:r>
      <w:r w:rsidRPr="000243D8">
        <w:rPr>
          <w:u w:val="single"/>
        </w:rPr>
        <w:t>équipement de manutention</w:t>
      </w:r>
      <w:r w:rsidRPr="000243D8">
        <w:t xml:space="preserve"> </w:t>
      </w:r>
      <w:r w:rsidRPr="00E466F2">
        <w:t>suffisant pour empêcher le positionnement correct du matériel de manutention, le montage et l</w:t>
      </w:r>
      <w:r w:rsidR="00D3733B">
        <w:t>’</w:t>
      </w:r>
      <w:r w:rsidRPr="00E466F2">
        <w:t>assujettissement sur les châssis ou les véhicules, ou l</w:t>
      </w:r>
      <w:r w:rsidR="00D3733B">
        <w:t>’</w:t>
      </w:r>
      <w:r w:rsidRPr="00E466F2">
        <w:t>insertion dans les cellules des navires</w:t>
      </w:r>
      <w:r w:rsidR="00D3733B">
        <w:t> </w:t>
      </w:r>
      <w:r w:rsidRPr="000243D8">
        <w:rPr>
          <w:strike/>
        </w:rPr>
        <w:t>;</w:t>
      </w:r>
      <w:r w:rsidRPr="00E466F2">
        <w:t>.</w:t>
      </w:r>
      <w:r w:rsidR="00122B4C">
        <w:t> ».</w:t>
      </w:r>
    </w:p>
    <w:p w14:paraId="3C465BF5" w14:textId="77777777" w:rsidR="00257D10" w:rsidRPr="00257D10" w:rsidRDefault="00257D10" w:rsidP="00257D10">
      <w:pPr>
        <w:pStyle w:val="SingleTxtG"/>
        <w:ind w:left="2268" w:hanging="567"/>
        <w:rPr>
          <w:strike/>
        </w:rPr>
      </w:pPr>
      <w:r w:rsidRPr="00257D10">
        <w:rPr>
          <w:strike/>
        </w:rPr>
        <w:t>h)</w:t>
      </w:r>
      <w:r w:rsidRPr="00257D10">
        <w:rPr>
          <w:strike/>
        </w:rPr>
        <w:tab/>
        <w:t>Tout endommagement des attaches de levage ou de l’interface de l’équipement de manutention ;</w:t>
      </w:r>
    </w:p>
    <w:p w14:paraId="724294AD" w14:textId="77777777" w:rsidR="00257D10" w:rsidRDefault="00257D10" w:rsidP="00257D10">
      <w:pPr>
        <w:pStyle w:val="SingleTxtG"/>
        <w:ind w:left="2268" w:hanging="567"/>
      </w:pPr>
      <w:r w:rsidRPr="00257D10">
        <w:rPr>
          <w:strike/>
        </w:rPr>
        <w:t>i)</w:t>
      </w:r>
      <w:r w:rsidRPr="00257D10">
        <w:rPr>
          <w:strike/>
        </w:rPr>
        <w:tab/>
        <w:t>Tout endommagement de l’équipement de service ou du matériel d’exploitation.</w:t>
      </w:r>
    </w:p>
    <w:p w14:paraId="7F4EA668" w14:textId="77777777" w:rsidR="00E57302" w:rsidRPr="004003E1" w:rsidRDefault="00E57302" w:rsidP="00122B4C">
      <w:pPr>
        <w:pStyle w:val="SingleTxtG"/>
      </w:pPr>
      <w:r w:rsidRPr="004003E1">
        <w:t>13.</w:t>
      </w:r>
      <w:r w:rsidRPr="004003E1">
        <w:tab/>
        <w:t>Modifier le paragraphe</w:t>
      </w:r>
      <w:r w:rsidR="00122B4C">
        <w:t> </w:t>
      </w:r>
      <w:r w:rsidRPr="004003E1">
        <w:t xml:space="preserve">7.1.3.3.1 </w:t>
      </w:r>
      <w:r w:rsidRPr="00122B4C">
        <w:rPr>
          <w:lang w:val="fr-FR"/>
        </w:rPr>
        <w:t>comme</w:t>
      </w:r>
      <w:r w:rsidRPr="004003E1">
        <w:t xml:space="preserve"> suit</w:t>
      </w:r>
      <w:r w:rsidR="00122B4C">
        <w:t> </w:t>
      </w:r>
      <w:r w:rsidRPr="004003E1">
        <w:t>:</w:t>
      </w:r>
    </w:p>
    <w:p w14:paraId="0752E3D6" w14:textId="77777777" w:rsidR="00E57302" w:rsidRPr="00F60CD5" w:rsidRDefault="00122B4C" w:rsidP="00122B4C">
      <w:pPr>
        <w:pStyle w:val="SingleTxtG"/>
        <w:ind w:left="1701"/>
        <w:rPr>
          <w:strike/>
        </w:rPr>
      </w:pPr>
      <w:r>
        <w:t>« </w:t>
      </w:r>
      <w:r w:rsidR="00E57302" w:rsidRPr="00F60CD5">
        <w:t xml:space="preserve">7.1.3.3.1 </w:t>
      </w:r>
      <w:r w:rsidR="00E57302" w:rsidRPr="00F60CD5">
        <w:rPr>
          <w:strike/>
        </w:rPr>
        <w:t>Un conteneur, un véhicule routier ou un wagon de chemin de fer</w:t>
      </w:r>
      <w:r w:rsidR="00E57302">
        <w:rPr>
          <w:strike/>
        </w:rPr>
        <w:t xml:space="preserve"> ne doit être présenté pour le transport de matières et objets explosibles de la classe 1 que s</w:t>
      </w:r>
      <w:r w:rsidR="00D3733B">
        <w:rPr>
          <w:strike/>
        </w:rPr>
        <w:t>’</w:t>
      </w:r>
      <w:r w:rsidR="00E57302">
        <w:rPr>
          <w:strike/>
        </w:rPr>
        <w:t xml:space="preserve">il </w:t>
      </w:r>
      <w:r w:rsidR="00E57302">
        <w:rPr>
          <w:strike/>
        </w:rPr>
        <w:lastRenderedPageBreak/>
        <w:t>est structurellement propre à l</w:t>
      </w:r>
      <w:r w:rsidR="00D3733B">
        <w:rPr>
          <w:strike/>
        </w:rPr>
        <w:t>’</w:t>
      </w:r>
      <w:r w:rsidR="00E57302">
        <w:rPr>
          <w:strike/>
        </w:rPr>
        <w:t>emploi, ce qui doit être prouvé (pour les conteneurs seulement) par la présence d</w:t>
      </w:r>
      <w:r w:rsidR="00D3733B">
        <w:rPr>
          <w:strike/>
        </w:rPr>
        <w:t>’</w:t>
      </w:r>
      <w:r w:rsidR="00E57302">
        <w:rPr>
          <w:strike/>
        </w:rPr>
        <w:t>une plaque d</w:t>
      </w:r>
      <w:r w:rsidR="00D3733B">
        <w:rPr>
          <w:strike/>
        </w:rPr>
        <w:t>’</w:t>
      </w:r>
      <w:r w:rsidR="00E57302">
        <w:rPr>
          <w:strike/>
        </w:rPr>
        <w:t>agrément CSC (Convention internationale sur la sécurité des conteneurs), et vérifié par une inspection visuelle poussée quant aux points suivants :</w:t>
      </w:r>
    </w:p>
    <w:p w14:paraId="11FB4C8E" w14:textId="77777777" w:rsidR="00E57302" w:rsidRPr="00597E77" w:rsidRDefault="00E57302" w:rsidP="00122B4C">
      <w:pPr>
        <w:pStyle w:val="SingleTxtG"/>
        <w:ind w:left="1701"/>
        <w:rPr>
          <w:strike/>
        </w:rPr>
      </w:pPr>
      <w:r>
        <w:rPr>
          <w:strike/>
        </w:rPr>
        <w:t xml:space="preserve">a) </w:t>
      </w:r>
      <w:r w:rsidRPr="00F60CD5">
        <w:rPr>
          <w:strike/>
        </w:rPr>
        <w:t xml:space="preserve">Avant de charger des matières et objets explosibles </w:t>
      </w:r>
      <w:r>
        <w:rPr>
          <w:strike/>
        </w:rPr>
        <w:t xml:space="preserve">dans un </w:t>
      </w:r>
      <w:r w:rsidRPr="002A1FE2">
        <w:rPr>
          <w:strike/>
        </w:rPr>
        <w:t>conteneur, un véhicule routier ou un wagon de chemin de fer</w:t>
      </w:r>
      <w:r>
        <w:rPr>
          <w:strike/>
        </w:rPr>
        <w:t>, on doit l</w:t>
      </w:r>
      <w:r w:rsidR="00D3733B">
        <w:rPr>
          <w:strike/>
        </w:rPr>
        <w:t>’</w:t>
      </w:r>
      <w:r>
        <w:rPr>
          <w:strike/>
        </w:rPr>
        <w:t>examiner pour s</w:t>
      </w:r>
      <w:r w:rsidR="00D3733B">
        <w:rPr>
          <w:strike/>
        </w:rPr>
        <w:t>’</w:t>
      </w:r>
      <w:r>
        <w:rPr>
          <w:strike/>
        </w:rPr>
        <w:t>assurer qu</w:t>
      </w:r>
      <w:r w:rsidR="00D3733B">
        <w:rPr>
          <w:strike/>
        </w:rPr>
        <w:t>’</w:t>
      </w:r>
      <w:r>
        <w:rPr>
          <w:strike/>
        </w:rPr>
        <w:t>il ne contient pas de résidu d</w:t>
      </w:r>
      <w:r w:rsidR="00D3733B">
        <w:rPr>
          <w:strike/>
        </w:rPr>
        <w:t>’</w:t>
      </w:r>
      <w:r>
        <w:rPr>
          <w:strike/>
        </w:rPr>
        <w:t>un chargement précédent, qu</w:t>
      </w:r>
      <w:r w:rsidR="00D3733B">
        <w:rPr>
          <w:strike/>
        </w:rPr>
        <w:t>’</w:t>
      </w:r>
      <w:r>
        <w:rPr>
          <w:strike/>
        </w:rPr>
        <w:t>il est structurellement propre à l</w:t>
      </w:r>
      <w:r w:rsidR="00D3733B">
        <w:rPr>
          <w:strike/>
        </w:rPr>
        <w:t>’</w:t>
      </w:r>
      <w:r>
        <w:rPr>
          <w:strike/>
        </w:rPr>
        <w:t>emploi et que le plancher et les parois intérieurs ne présentent pas de saillies</w:t>
      </w:r>
      <w:r w:rsidR="00D3733B">
        <w:rPr>
          <w:strike/>
        </w:rPr>
        <w:t> </w:t>
      </w:r>
      <w:r w:rsidRPr="00597E77">
        <w:rPr>
          <w:strike/>
        </w:rPr>
        <w:t xml:space="preserve">; </w:t>
      </w:r>
    </w:p>
    <w:p w14:paraId="70B4A5D2" w14:textId="77777777" w:rsidR="00E57302" w:rsidRPr="002A5F6D" w:rsidRDefault="00E57302" w:rsidP="00122B4C">
      <w:pPr>
        <w:pStyle w:val="SingleTxtG"/>
        <w:ind w:left="1701"/>
        <w:rPr>
          <w:strike/>
        </w:rPr>
      </w:pPr>
      <w:r w:rsidRPr="00597E77">
        <w:rPr>
          <w:strike/>
        </w:rPr>
        <w:t xml:space="preserve">b) </w:t>
      </w:r>
      <w:r w:rsidRPr="00597E77">
        <w:rPr>
          <w:strike/>
          <w:lang w:val="fr-FR"/>
        </w:rPr>
        <w:t>Le terme “</w:t>
      </w:r>
      <w:r w:rsidRPr="00597E77">
        <w:rPr>
          <w:i/>
          <w:strike/>
          <w:lang w:val="fr-FR"/>
        </w:rPr>
        <w:t>structurellement propre à l</w:t>
      </w:r>
      <w:r w:rsidR="00D3733B">
        <w:rPr>
          <w:i/>
          <w:strike/>
          <w:lang w:val="fr-FR"/>
        </w:rPr>
        <w:t>’</w:t>
      </w:r>
      <w:r w:rsidRPr="00597E77">
        <w:rPr>
          <w:i/>
          <w:strike/>
          <w:lang w:val="fr-FR"/>
        </w:rPr>
        <w:t>emploi</w:t>
      </w:r>
      <w:r w:rsidRPr="00597E77">
        <w:rPr>
          <w:strike/>
          <w:lang w:val="fr-FR"/>
        </w:rPr>
        <w:t>” s</w:t>
      </w:r>
      <w:r w:rsidR="00D3733B">
        <w:rPr>
          <w:strike/>
          <w:lang w:val="fr-FR"/>
        </w:rPr>
        <w:t>’</w:t>
      </w:r>
      <w:r w:rsidRPr="00597E77">
        <w:rPr>
          <w:strike/>
          <w:lang w:val="fr-FR"/>
        </w:rPr>
        <w:t>entend d</w:t>
      </w:r>
      <w:r w:rsidR="00D3733B">
        <w:rPr>
          <w:strike/>
          <w:lang w:val="fr-FR"/>
        </w:rPr>
        <w:t>’</w:t>
      </w:r>
      <w:r w:rsidRPr="00597E77">
        <w:rPr>
          <w:strike/>
          <w:lang w:val="fr-FR"/>
        </w:rPr>
        <w:t>un conteneur</w:t>
      </w:r>
      <w:r>
        <w:rPr>
          <w:strike/>
          <w:lang w:val="fr-FR"/>
        </w:rPr>
        <w:t>,</w:t>
      </w:r>
      <w:r w:rsidRPr="00597E77">
        <w:rPr>
          <w:strike/>
          <w:lang w:val="fr-FR"/>
        </w:rPr>
        <w:t xml:space="preserve"> </w:t>
      </w:r>
      <w:r>
        <w:rPr>
          <w:strike/>
        </w:rPr>
        <w:t xml:space="preserve">véhicule routier ou </w:t>
      </w:r>
      <w:r w:rsidRPr="00597E77">
        <w:rPr>
          <w:strike/>
        </w:rPr>
        <w:t>wagon</w:t>
      </w:r>
      <w:r w:rsidRPr="00597E77">
        <w:rPr>
          <w:strike/>
          <w:lang w:val="fr-FR"/>
        </w:rPr>
        <w:t xml:space="preserve"> qui ne présente pas de défauts importants affectant ses éléments structuraux tels que</w:t>
      </w:r>
      <w:r>
        <w:rPr>
          <w:strike/>
          <w:lang w:val="fr-FR"/>
        </w:rPr>
        <w:t>, pour les conteneurs,</w:t>
      </w:r>
      <w:r w:rsidRPr="00597E77">
        <w:rPr>
          <w:strike/>
          <w:lang w:val="fr-FR"/>
        </w:rPr>
        <w:t xml:space="preserve"> les longerons supérieurs et inférieurs, les traverses supérieures et inférieures, les seuils et linteaux de portes, les traverses de plancher, les montants d</w:t>
      </w:r>
      <w:r w:rsidR="00D3733B">
        <w:rPr>
          <w:strike/>
          <w:lang w:val="fr-FR"/>
        </w:rPr>
        <w:t>’</w:t>
      </w:r>
      <w:r w:rsidRPr="00597E77">
        <w:rPr>
          <w:strike/>
          <w:lang w:val="fr-FR"/>
        </w:rPr>
        <w:t xml:space="preserve">angle et les pièces de coin. </w:t>
      </w:r>
      <w:r w:rsidRPr="00597E77">
        <w:rPr>
          <w:strike/>
        </w:rPr>
        <w:t xml:space="preserve">On entend par “défauts importants </w:t>
      </w:r>
      <w:r>
        <w:rPr>
          <w:strike/>
        </w:rPr>
        <w:t xml:space="preserve">tout </w:t>
      </w:r>
      <w:r w:rsidRPr="00597E77">
        <w:rPr>
          <w:strike/>
          <w:lang w:val="fr-FR"/>
        </w:rPr>
        <w:t xml:space="preserve">enfoncement </w:t>
      </w:r>
      <w:r>
        <w:rPr>
          <w:strike/>
          <w:lang w:val="fr-FR"/>
        </w:rPr>
        <w:t xml:space="preserve">ou </w:t>
      </w:r>
      <w:r w:rsidRPr="00597E77">
        <w:rPr>
          <w:strike/>
          <w:lang w:val="fr-FR"/>
        </w:rPr>
        <w:t>pliure</w:t>
      </w:r>
      <w:r>
        <w:rPr>
          <w:strike/>
          <w:lang w:val="fr-FR"/>
        </w:rPr>
        <w:t xml:space="preserve"> ayant </w:t>
      </w:r>
      <w:r w:rsidRPr="00597E77">
        <w:rPr>
          <w:strike/>
          <w:lang w:val="fr-FR"/>
        </w:rPr>
        <w:t>plus de 19 mm de profondeur</w:t>
      </w:r>
      <w:r>
        <w:rPr>
          <w:strike/>
          <w:lang w:val="fr-FR"/>
        </w:rPr>
        <w:t xml:space="preserve"> dans un élément structural, quelle que soit la longueur de cette déformation, toute fissure ou rupture d</w:t>
      </w:r>
      <w:r w:rsidR="00D3733B">
        <w:rPr>
          <w:strike/>
          <w:lang w:val="fr-FR"/>
        </w:rPr>
        <w:t>’</w:t>
      </w:r>
      <w:r>
        <w:rPr>
          <w:strike/>
          <w:lang w:val="fr-FR"/>
        </w:rPr>
        <w:t>un élément structural, la présence de plus d</w:t>
      </w:r>
      <w:r w:rsidR="00D3733B">
        <w:rPr>
          <w:strike/>
          <w:lang w:val="fr-FR"/>
        </w:rPr>
        <w:t>’</w:t>
      </w:r>
      <w:r>
        <w:rPr>
          <w:strike/>
          <w:lang w:val="fr-FR"/>
        </w:rPr>
        <w:t>un raccord, ou l</w:t>
      </w:r>
      <w:r w:rsidR="00D3733B">
        <w:rPr>
          <w:strike/>
          <w:lang w:val="fr-FR"/>
        </w:rPr>
        <w:t>’</w:t>
      </w:r>
      <w:r>
        <w:rPr>
          <w:strike/>
          <w:lang w:val="fr-FR"/>
        </w:rPr>
        <w:t xml:space="preserve">existence de raccords improprement exécutés (par exemple par recouvrement) aux </w:t>
      </w:r>
      <w:r w:rsidRPr="00364E74">
        <w:rPr>
          <w:strike/>
          <w:lang w:val="fr-FR"/>
        </w:rPr>
        <w:t>traverses supérieures et inférieures</w:t>
      </w:r>
      <w:r>
        <w:rPr>
          <w:strike/>
          <w:lang w:val="fr-FR"/>
        </w:rPr>
        <w:t xml:space="preserve"> ou aux linteaux de portes, ou de plus de deux raccords à l</w:t>
      </w:r>
      <w:r w:rsidR="00D3733B">
        <w:rPr>
          <w:strike/>
          <w:lang w:val="fr-FR"/>
        </w:rPr>
        <w:t>’</w:t>
      </w:r>
      <w:r>
        <w:rPr>
          <w:strike/>
          <w:lang w:val="fr-FR"/>
        </w:rPr>
        <w:t xml:space="preserve">un quelconque des </w:t>
      </w:r>
      <w:r w:rsidRPr="00364E74">
        <w:rPr>
          <w:strike/>
          <w:lang w:val="fr-FR"/>
        </w:rPr>
        <w:t>longerons supérieurs et inférieurs</w:t>
      </w:r>
      <w:r>
        <w:rPr>
          <w:strike/>
          <w:lang w:val="fr-FR"/>
        </w:rPr>
        <w:t>, un d</w:t>
      </w:r>
      <w:r w:rsidR="00D3733B">
        <w:rPr>
          <w:strike/>
          <w:lang w:val="fr-FR"/>
        </w:rPr>
        <w:t>’</w:t>
      </w:r>
      <w:r>
        <w:rPr>
          <w:strike/>
          <w:lang w:val="fr-FR"/>
        </w:rPr>
        <w:t>un seul raccord dans un seuil de porte ou un montant d</w:t>
      </w:r>
      <w:r w:rsidR="00D3733B">
        <w:rPr>
          <w:strike/>
          <w:lang w:val="fr-FR"/>
        </w:rPr>
        <w:t>’</w:t>
      </w:r>
      <w:r>
        <w:rPr>
          <w:strike/>
          <w:lang w:val="fr-FR"/>
        </w:rPr>
        <w:t xml:space="preserve">angle, le fait que </w:t>
      </w:r>
      <w:r w:rsidRPr="00D13F2A">
        <w:rPr>
          <w:strike/>
          <w:lang w:val="fr-FR"/>
        </w:rPr>
        <w:t>les charnières de porte et les ferrures grippées, tordues, cassées, hors d</w:t>
      </w:r>
      <w:r w:rsidR="00D3733B" w:rsidRPr="00D13F2A">
        <w:rPr>
          <w:strike/>
          <w:lang w:val="fr-FR"/>
        </w:rPr>
        <w:t>’</w:t>
      </w:r>
      <w:r w:rsidRPr="00D13F2A">
        <w:rPr>
          <w:strike/>
          <w:lang w:val="fr-FR"/>
        </w:rPr>
        <w:t>usage ou manquantes, le fait que les joints et garnitures ne soient pas étanches ou, pour les conteneurs, tout désalignement d</w:t>
      </w:r>
      <w:r w:rsidR="00D3733B" w:rsidRPr="00D13F2A">
        <w:rPr>
          <w:strike/>
          <w:lang w:val="fr-FR"/>
        </w:rPr>
        <w:t>’</w:t>
      </w:r>
      <w:r w:rsidRPr="00D13F2A">
        <w:rPr>
          <w:strike/>
          <w:lang w:val="fr-FR"/>
        </w:rPr>
        <w:t>ensemble suffisant pour empêcher le positionnement correct du matériel de manutention, le montage et l</w:t>
      </w:r>
      <w:r w:rsidR="00D3733B" w:rsidRPr="00D13F2A">
        <w:rPr>
          <w:strike/>
          <w:lang w:val="fr-FR"/>
        </w:rPr>
        <w:t>’</w:t>
      </w:r>
      <w:r w:rsidRPr="00D13F2A">
        <w:rPr>
          <w:strike/>
          <w:lang w:val="fr-FR"/>
        </w:rPr>
        <w:t>arrimage sur les châssis, véhicules routiers ou wagons, ou l</w:t>
      </w:r>
      <w:r w:rsidR="00D3733B" w:rsidRPr="00D13F2A">
        <w:rPr>
          <w:strike/>
          <w:lang w:val="fr-FR"/>
        </w:rPr>
        <w:t>’</w:t>
      </w:r>
      <w:r w:rsidRPr="00D13F2A">
        <w:rPr>
          <w:strike/>
          <w:lang w:val="fr-FR"/>
        </w:rPr>
        <w:t>insertion dans les cellules des navires</w:t>
      </w:r>
      <w:r w:rsidR="00D3733B" w:rsidRPr="00D13F2A">
        <w:rPr>
          <w:strike/>
          <w:lang w:val="fr-FR"/>
        </w:rPr>
        <w:t> </w:t>
      </w:r>
      <w:r w:rsidRPr="00D13F2A">
        <w:rPr>
          <w:strike/>
        </w:rPr>
        <w:t>;</w:t>
      </w:r>
      <w:r w:rsidRPr="002A5F6D">
        <w:rPr>
          <w:strike/>
        </w:rPr>
        <w:t xml:space="preserve"> </w:t>
      </w:r>
    </w:p>
    <w:p w14:paraId="5D4A5901" w14:textId="77777777" w:rsidR="00E81F28" w:rsidRDefault="00E57302" w:rsidP="00122B4C">
      <w:pPr>
        <w:pStyle w:val="SingleTxtG"/>
        <w:ind w:left="1701"/>
      </w:pPr>
      <w:r>
        <w:rPr>
          <w:strike/>
        </w:rPr>
        <w:t>(c) E</w:t>
      </w:r>
      <w:r w:rsidRPr="002A5F6D">
        <w:rPr>
          <w:strike/>
        </w:rPr>
        <w:t xml:space="preserve">n </w:t>
      </w:r>
      <w:r>
        <w:rPr>
          <w:strike/>
        </w:rPr>
        <w:t xml:space="preserve">outre, toute </w:t>
      </w:r>
      <w:r w:rsidRPr="002A5F6D">
        <w:rPr>
          <w:strike/>
        </w:rPr>
        <w:t>d</w:t>
      </w:r>
      <w:r>
        <w:rPr>
          <w:strike/>
        </w:rPr>
        <w:t>é</w:t>
      </w:r>
      <w:r w:rsidRPr="002A5F6D">
        <w:rPr>
          <w:strike/>
        </w:rPr>
        <w:t>t</w:t>
      </w:r>
      <w:r>
        <w:rPr>
          <w:strike/>
        </w:rPr>
        <w:t>é</w:t>
      </w:r>
      <w:r w:rsidRPr="002A5F6D">
        <w:rPr>
          <w:strike/>
        </w:rPr>
        <w:t>rioration</w:t>
      </w:r>
      <w:r w:rsidRPr="002A5F6D">
        <w:t xml:space="preserve"> </w:t>
      </w:r>
      <w:r>
        <w:t>T</w:t>
      </w:r>
      <w:r w:rsidRPr="002A5F6D">
        <w:t>oute détérioration d</w:t>
      </w:r>
      <w:r w:rsidR="00D3733B">
        <w:t>’</w:t>
      </w:r>
      <w:r w:rsidRPr="002A5F6D">
        <w:t xml:space="preserve">un élément quelconque du conteneur, </w:t>
      </w:r>
      <w:r>
        <w:t xml:space="preserve">du véhicule routier ou du wagon, </w:t>
      </w:r>
      <w:r w:rsidRPr="002A5F6D">
        <w:t>quel que soit le matériau de construction, comme la présence de parties rouillées de part en part dans les parois métalliques ou de parties désagrégées dans les éléments en fibre de verre, est inacceptable</w:t>
      </w:r>
      <w:r>
        <w:t>.</w:t>
      </w:r>
      <w:r w:rsidRPr="002A5F6D">
        <w:t xml:space="preserve"> Cependant, l</w:t>
      </w:r>
      <w:r w:rsidR="00D3733B">
        <w:t>’</w:t>
      </w:r>
      <w:r w:rsidRPr="002A5F6D">
        <w:t>usure normale, y compris l</w:t>
      </w:r>
      <w:r w:rsidR="00D3733B">
        <w:t>’</w:t>
      </w:r>
      <w:r w:rsidRPr="002A5F6D">
        <w:t>oxydation (rouille), et la présence de légères traces de choc et d</w:t>
      </w:r>
      <w:r w:rsidR="00D3733B">
        <w:t>’</w:t>
      </w:r>
      <w:r w:rsidRPr="002A5F6D">
        <w:t>éraflures, et les autres dommages qui ne rendent pas l</w:t>
      </w:r>
      <w:r w:rsidR="00D3733B">
        <w:t>’</w:t>
      </w:r>
      <w:r w:rsidRPr="002A5F6D">
        <w:t>engin impropre à l</w:t>
      </w:r>
      <w:r w:rsidR="00D3733B">
        <w:t>’</w:t>
      </w:r>
      <w:r w:rsidRPr="002A5F6D">
        <w:t>emploi ni ne nuisent à son étanchéité aux intempéries sont acceptables.</w:t>
      </w:r>
      <w:r w:rsidR="00122B4C">
        <w:t> ».</w:t>
      </w:r>
    </w:p>
    <w:p w14:paraId="084574FA" w14:textId="77777777" w:rsidR="00446FE5" w:rsidRPr="00122B4C" w:rsidRDefault="00122B4C" w:rsidP="00122B4C">
      <w:pPr>
        <w:pStyle w:val="SingleTxtG"/>
        <w:spacing w:before="240" w:after="0"/>
        <w:jc w:val="center"/>
        <w:rPr>
          <w:u w:val="single"/>
        </w:rPr>
      </w:pPr>
      <w:r>
        <w:rPr>
          <w:u w:val="single"/>
        </w:rPr>
        <w:tab/>
      </w:r>
      <w:r>
        <w:rPr>
          <w:u w:val="single"/>
        </w:rPr>
        <w:tab/>
      </w:r>
      <w:r>
        <w:rPr>
          <w:u w:val="single"/>
        </w:rPr>
        <w:tab/>
      </w:r>
    </w:p>
    <w:sectPr w:rsidR="00446FE5" w:rsidRPr="00122B4C" w:rsidSect="00E81F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633D" w14:textId="77777777" w:rsidR="000C051E" w:rsidRDefault="000C051E" w:rsidP="00F95C08">
      <w:pPr>
        <w:spacing w:line="240" w:lineRule="auto"/>
      </w:pPr>
    </w:p>
  </w:endnote>
  <w:endnote w:type="continuationSeparator" w:id="0">
    <w:p w14:paraId="74CEA603" w14:textId="77777777" w:rsidR="000C051E" w:rsidRPr="00AC3823" w:rsidRDefault="000C051E" w:rsidP="00AC3823">
      <w:pPr>
        <w:pStyle w:val="Footer"/>
      </w:pPr>
    </w:p>
  </w:endnote>
  <w:endnote w:type="continuationNotice" w:id="1">
    <w:p w14:paraId="0CC1A41B" w14:textId="77777777" w:rsidR="000C051E" w:rsidRDefault="000C05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2D25" w14:textId="77777777" w:rsidR="00E81F28" w:rsidRPr="00E81F28" w:rsidRDefault="00E81F28" w:rsidP="00E81F28">
    <w:pPr>
      <w:pStyle w:val="Footer"/>
      <w:tabs>
        <w:tab w:val="right" w:pos="9638"/>
      </w:tabs>
    </w:pPr>
    <w:r w:rsidRPr="00E81F28">
      <w:rPr>
        <w:b/>
        <w:sz w:val="18"/>
      </w:rPr>
      <w:fldChar w:fldCharType="begin"/>
    </w:r>
    <w:r w:rsidRPr="00E81F28">
      <w:rPr>
        <w:b/>
        <w:sz w:val="18"/>
      </w:rPr>
      <w:instrText xml:space="preserve"> PAGE  \* MERGEFORMAT </w:instrText>
    </w:r>
    <w:r w:rsidRPr="00E81F28">
      <w:rPr>
        <w:b/>
        <w:sz w:val="18"/>
      </w:rPr>
      <w:fldChar w:fldCharType="separate"/>
    </w:r>
    <w:r w:rsidRPr="00E81F28">
      <w:rPr>
        <w:b/>
        <w:noProof/>
        <w:sz w:val="18"/>
      </w:rPr>
      <w:t>2</w:t>
    </w:r>
    <w:r w:rsidRPr="00E81F28">
      <w:rPr>
        <w:b/>
        <w:sz w:val="18"/>
      </w:rPr>
      <w:fldChar w:fldCharType="end"/>
    </w:r>
    <w:r>
      <w:rPr>
        <w:b/>
        <w:sz w:val="18"/>
      </w:rPr>
      <w:tab/>
    </w:r>
    <w:r>
      <w:t>GE.19-04924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244D" w14:textId="77777777" w:rsidR="00E81F28" w:rsidRPr="00E81F28" w:rsidRDefault="00E81F28" w:rsidP="00E81F28">
    <w:pPr>
      <w:pStyle w:val="Footer"/>
      <w:tabs>
        <w:tab w:val="right" w:pos="9638"/>
      </w:tabs>
      <w:rPr>
        <w:b/>
        <w:sz w:val="18"/>
      </w:rPr>
    </w:pPr>
    <w:r>
      <w:t>GE.19-04924</w:t>
    </w:r>
    <w:r>
      <w:tab/>
    </w:r>
    <w:r w:rsidRPr="00E81F28">
      <w:rPr>
        <w:b/>
        <w:sz w:val="18"/>
      </w:rPr>
      <w:fldChar w:fldCharType="begin"/>
    </w:r>
    <w:r w:rsidRPr="00E81F28">
      <w:rPr>
        <w:b/>
        <w:sz w:val="18"/>
      </w:rPr>
      <w:instrText xml:space="preserve"> PAGE  \* MERGEFORMAT </w:instrText>
    </w:r>
    <w:r w:rsidRPr="00E81F28">
      <w:rPr>
        <w:b/>
        <w:sz w:val="18"/>
      </w:rPr>
      <w:fldChar w:fldCharType="separate"/>
    </w:r>
    <w:r w:rsidRPr="00E81F28">
      <w:rPr>
        <w:b/>
        <w:noProof/>
        <w:sz w:val="18"/>
      </w:rPr>
      <w:t>3</w:t>
    </w:r>
    <w:r w:rsidRPr="00E81F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2AC8" w14:textId="77777777" w:rsidR="0068456F" w:rsidRPr="00E81F28" w:rsidRDefault="00E81F28" w:rsidP="00E81F28">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9672DC3" wp14:editId="565338B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19-04924  (F)</w:t>
    </w:r>
    <w:r w:rsidR="00180441">
      <w:rPr>
        <w:sz w:val="20"/>
      </w:rPr>
      <w:t xml:space="preserve">    040419    0</w:t>
    </w:r>
    <w:r w:rsidR="00257D10">
      <w:rPr>
        <w:sz w:val="20"/>
      </w:rPr>
      <w:t>9</w:t>
    </w:r>
    <w:r w:rsidR="00180441">
      <w:rPr>
        <w:sz w:val="20"/>
      </w:rPr>
      <w:t>0519</w:t>
    </w:r>
    <w:r>
      <w:rPr>
        <w:sz w:val="20"/>
      </w:rPr>
      <w:br/>
    </w:r>
    <w:r w:rsidRPr="00E81F28">
      <w:rPr>
        <w:rFonts w:ascii="C39T30Lfz" w:hAnsi="C39T30Lfz"/>
        <w:sz w:val="56"/>
      </w:rPr>
      <w:t></w:t>
    </w:r>
    <w:r w:rsidRPr="00E81F28">
      <w:rPr>
        <w:rFonts w:ascii="C39T30Lfz" w:hAnsi="C39T30Lfz"/>
        <w:sz w:val="56"/>
      </w:rPr>
      <w:t></w:t>
    </w:r>
    <w:r w:rsidRPr="00E81F28">
      <w:rPr>
        <w:rFonts w:ascii="C39T30Lfz" w:hAnsi="C39T30Lfz"/>
        <w:sz w:val="56"/>
      </w:rPr>
      <w:t></w:t>
    </w:r>
    <w:r w:rsidRPr="00E81F28">
      <w:rPr>
        <w:rFonts w:ascii="C39T30Lfz" w:hAnsi="C39T30Lfz"/>
        <w:sz w:val="56"/>
      </w:rPr>
      <w:t></w:t>
    </w:r>
    <w:r w:rsidRPr="00E81F28">
      <w:rPr>
        <w:rFonts w:ascii="C39T30Lfz" w:hAnsi="C39T30Lfz"/>
        <w:sz w:val="56"/>
      </w:rPr>
      <w:t></w:t>
    </w:r>
    <w:r w:rsidRPr="00E81F28">
      <w:rPr>
        <w:rFonts w:ascii="C39T30Lfz" w:hAnsi="C39T30Lfz"/>
        <w:sz w:val="56"/>
      </w:rPr>
      <w:t></w:t>
    </w:r>
    <w:r w:rsidRPr="00E81F28">
      <w:rPr>
        <w:rFonts w:ascii="C39T30Lfz" w:hAnsi="C39T30Lfz"/>
        <w:sz w:val="56"/>
      </w:rPr>
      <w:t></w:t>
    </w:r>
    <w:r w:rsidRPr="00E81F28">
      <w:rPr>
        <w:rFonts w:ascii="C39T30Lfz" w:hAnsi="C39T30Lfz"/>
        <w:sz w:val="56"/>
      </w:rPr>
      <w:t></w:t>
    </w:r>
    <w:r w:rsidRPr="00E81F28">
      <w:rPr>
        <w:rFonts w:ascii="C39T30Lfz" w:hAnsi="C39T30Lfz"/>
        <w:sz w:val="56"/>
      </w:rPr>
      <w:t></w:t>
    </w:r>
    <w:r>
      <w:rPr>
        <w:noProof/>
        <w:sz w:val="20"/>
      </w:rPr>
      <w:drawing>
        <wp:anchor distT="0" distB="0" distL="114300" distR="114300" simplePos="0" relativeHeight="251658240" behindDoc="0" locked="0" layoutInCell="1" allowOverlap="1" wp14:anchorId="51B41BD3" wp14:editId="059C48D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7570" w14:textId="77777777" w:rsidR="000C051E" w:rsidRPr="00AC3823" w:rsidRDefault="000C051E" w:rsidP="00AC3823">
      <w:pPr>
        <w:pStyle w:val="Footer"/>
        <w:tabs>
          <w:tab w:val="right" w:pos="2155"/>
        </w:tabs>
        <w:spacing w:after="80" w:line="240" w:lineRule="atLeast"/>
        <w:ind w:left="680"/>
        <w:rPr>
          <w:u w:val="single"/>
        </w:rPr>
      </w:pPr>
      <w:r>
        <w:rPr>
          <w:u w:val="single"/>
        </w:rPr>
        <w:tab/>
      </w:r>
    </w:p>
  </w:footnote>
  <w:footnote w:type="continuationSeparator" w:id="0">
    <w:p w14:paraId="65EB38CB" w14:textId="77777777" w:rsidR="000C051E" w:rsidRPr="00AC3823" w:rsidRDefault="000C051E" w:rsidP="00AC3823">
      <w:pPr>
        <w:pStyle w:val="Footer"/>
        <w:tabs>
          <w:tab w:val="right" w:pos="2155"/>
        </w:tabs>
        <w:spacing w:after="80" w:line="240" w:lineRule="atLeast"/>
        <w:ind w:left="680"/>
        <w:rPr>
          <w:u w:val="single"/>
        </w:rPr>
      </w:pPr>
      <w:r>
        <w:rPr>
          <w:u w:val="single"/>
        </w:rPr>
        <w:tab/>
      </w:r>
    </w:p>
  </w:footnote>
  <w:footnote w:type="continuationNotice" w:id="1">
    <w:p w14:paraId="5EFD542F" w14:textId="77777777" w:rsidR="000C051E" w:rsidRPr="00AC3823" w:rsidRDefault="000C051E">
      <w:pPr>
        <w:spacing w:line="240" w:lineRule="auto"/>
        <w:rPr>
          <w:sz w:val="2"/>
          <w:szCs w:val="2"/>
        </w:rPr>
      </w:pPr>
    </w:p>
  </w:footnote>
  <w:footnote w:id="2">
    <w:p w14:paraId="57A33C1E" w14:textId="77777777" w:rsidR="00C713B3" w:rsidRPr="00C713B3" w:rsidRDefault="00C713B3">
      <w:pPr>
        <w:pStyle w:val="FootnoteText"/>
      </w:pPr>
      <w:r>
        <w:rPr>
          <w:rStyle w:val="FootnoteReference"/>
        </w:rPr>
        <w:tab/>
      </w:r>
      <w:r w:rsidRPr="00C713B3">
        <w:rPr>
          <w:rStyle w:val="FootnoteReference"/>
          <w:sz w:val="20"/>
          <w:vertAlign w:val="baseline"/>
        </w:rPr>
        <w:t>*</w:t>
      </w:r>
      <w:r>
        <w:rPr>
          <w:sz w:val="20"/>
        </w:rPr>
        <w:tab/>
      </w:r>
      <w:r w:rsidRPr="00C072BE">
        <w:t>Conformément au programme de travail du Sous-Comité pour la période 2019-2020, approuvé par le</w:t>
      </w:r>
      <w:r>
        <w:t> </w:t>
      </w:r>
      <w:r w:rsidRPr="00C072BE">
        <w:t>Comité à sa neuvième session (voir ST/SG/AC.10/C.3/108, par. 141 et ST/SG/AC.10/46, par. 14).</w:t>
      </w:r>
    </w:p>
  </w:footnote>
  <w:footnote w:id="3">
    <w:p w14:paraId="2C4626D6" w14:textId="77777777" w:rsidR="00E57302" w:rsidRDefault="00E57302" w:rsidP="00E57302">
      <w:pPr>
        <w:pStyle w:val="FootnoteText"/>
      </w:pPr>
      <w:r>
        <w:tab/>
      </w:r>
      <w:r w:rsidRPr="00F77132">
        <w:rPr>
          <w:rStyle w:val="FootnoteReference"/>
        </w:rPr>
        <w:footnoteRef/>
      </w:r>
      <w:r>
        <w:tab/>
      </w:r>
      <w:r>
        <w:rPr>
          <w:lang w:val="fr-FR"/>
        </w:rPr>
        <w:t>http://www.unece.org/trans/main/dgdb/ac1/inf190917.html.</w:t>
      </w:r>
    </w:p>
  </w:footnote>
  <w:footnote w:id="4">
    <w:p w14:paraId="1A4CB4B7" w14:textId="77777777" w:rsidR="00E57302" w:rsidRDefault="00E57302" w:rsidP="00E57302">
      <w:pPr>
        <w:pStyle w:val="FootnoteText"/>
      </w:pPr>
      <w:r>
        <w:tab/>
      </w:r>
      <w:r w:rsidRPr="00F77132">
        <w:rPr>
          <w:rStyle w:val="FootnoteReference"/>
        </w:rPr>
        <w:footnoteRef/>
      </w:r>
      <w:r>
        <w:tab/>
      </w:r>
      <w:r>
        <w:rPr>
          <w:lang w:val="fr-FR"/>
        </w:rPr>
        <w:t>« Guide for Container Equipment Inspection » (Guide pour l</w:t>
      </w:r>
      <w:r w:rsidR="00D3733B">
        <w:rPr>
          <w:lang w:val="fr-FR"/>
        </w:rPr>
        <w:t>’</w:t>
      </w:r>
      <w:r>
        <w:rPr>
          <w:lang w:val="fr-FR"/>
        </w:rPr>
        <w:t>inspection des équipements des conteneurs), 6</w:t>
      </w:r>
      <w:r w:rsidRPr="004439DE">
        <w:rPr>
          <w:vertAlign w:val="superscript"/>
          <w:lang w:val="fr-FR"/>
        </w:rPr>
        <w:t>e</w:t>
      </w:r>
      <w:r>
        <w:rPr>
          <w:lang w:val="fr-FR"/>
        </w:rPr>
        <w:t> éd</w:t>
      </w:r>
      <w:r w:rsidR="00D13F2A">
        <w:rPr>
          <w:lang w:val="fr-FR"/>
        </w:rPr>
        <w:t>ition</w:t>
      </w:r>
      <w:r>
        <w:rPr>
          <w:lang w:val="fr-FR"/>
        </w:rPr>
        <w:t>.</w:t>
      </w:r>
    </w:p>
  </w:footnote>
  <w:footnote w:id="5">
    <w:p w14:paraId="0BBD8336" w14:textId="77777777" w:rsidR="00E57302" w:rsidRPr="00276B00" w:rsidRDefault="00E57302" w:rsidP="00E57302">
      <w:pPr>
        <w:pStyle w:val="FootnoteText"/>
        <w:rPr>
          <w:lang w:val="en-US"/>
        </w:rPr>
      </w:pPr>
      <w:r>
        <w:tab/>
      </w:r>
      <w:r w:rsidRPr="00F77132">
        <w:rPr>
          <w:rStyle w:val="FootnoteReference"/>
        </w:rPr>
        <w:footnoteRef/>
      </w:r>
      <w:r w:rsidRPr="00276B00">
        <w:rPr>
          <w:lang w:val="en-US"/>
        </w:rPr>
        <w:tab/>
        <w:t>Voir « Unified Container Inspection &amp; Repair Criteria (UCIRC)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0426" w14:textId="7385720B" w:rsidR="00E81F28" w:rsidRPr="00E81F28" w:rsidRDefault="00161484">
    <w:pPr>
      <w:pStyle w:val="Header"/>
    </w:pPr>
    <w:r>
      <w:fldChar w:fldCharType="begin"/>
    </w:r>
    <w:r>
      <w:instrText xml:space="preserve"> TITLE  \* MERGEFORMAT </w:instrText>
    </w:r>
    <w:r>
      <w:fldChar w:fldCharType="separate"/>
    </w:r>
    <w:r>
      <w:t>ST/SG/AC.10/C.3/2019/4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FBCE" w14:textId="5EA5B831" w:rsidR="00E81F28" w:rsidRPr="00E81F28" w:rsidRDefault="00161484" w:rsidP="00E81F28">
    <w:pPr>
      <w:pStyle w:val="Header"/>
      <w:jc w:val="right"/>
    </w:pPr>
    <w:r>
      <w:fldChar w:fldCharType="begin"/>
    </w:r>
    <w:r>
      <w:instrText xml:space="preserve"> TITLE  \* MERGEFORMAT </w:instrText>
    </w:r>
    <w:r>
      <w:fldChar w:fldCharType="separate"/>
    </w:r>
    <w:r>
      <w:t>ST/SG/AC.10/C.3/2019/4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1E"/>
    <w:rsid w:val="00017F94"/>
    <w:rsid w:val="00023842"/>
    <w:rsid w:val="000305D3"/>
    <w:rsid w:val="000334F9"/>
    <w:rsid w:val="0007796D"/>
    <w:rsid w:val="000B7790"/>
    <w:rsid w:val="000C051E"/>
    <w:rsid w:val="00111F2F"/>
    <w:rsid w:val="00122B4C"/>
    <w:rsid w:val="00132EA9"/>
    <w:rsid w:val="0014365E"/>
    <w:rsid w:val="00161484"/>
    <w:rsid w:val="00176178"/>
    <w:rsid w:val="00180441"/>
    <w:rsid w:val="001F525A"/>
    <w:rsid w:val="00223272"/>
    <w:rsid w:val="0024779E"/>
    <w:rsid w:val="00257D10"/>
    <w:rsid w:val="00283190"/>
    <w:rsid w:val="002832AC"/>
    <w:rsid w:val="002D7C93"/>
    <w:rsid w:val="00377BF3"/>
    <w:rsid w:val="00441C3B"/>
    <w:rsid w:val="00446FE5"/>
    <w:rsid w:val="00452396"/>
    <w:rsid w:val="004E468C"/>
    <w:rsid w:val="005505B7"/>
    <w:rsid w:val="00573BE5"/>
    <w:rsid w:val="00584DC4"/>
    <w:rsid w:val="00586ED3"/>
    <w:rsid w:val="00596AA9"/>
    <w:rsid w:val="0068456F"/>
    <w:rsid w:val="0071601D"/>
    <w:rsid w:val="007A62E6"/>
    <w:rsid w:val="007C7218"/>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6528A"/>
    <w:rsid w:val="00C713B3"/>
    <w:rsid w:val="00D13F2A"/>
    <w:rsid w:val="00D3439C"/>
    <w:rsid w:val="00D3733B"/>
    <w:rsid w:val="00DB1831"/>
    <w:rsid w:val="00DD3BFD"/>
    <w:rsid w:val="00DF6678"/>
    <w:rsid w:val="00E57302"/>
    <w:rsid w:val="00E81F28"/>
    <w:rsid w:val="00EF2E22"/>
    <w:rsid w:val="00F01738"/>
    <w:rsid w:val="00F660DF"/>
    <w:rsid w:val="00F730C8"/>
    <w:rsid w:val="00F95C08"/>
    <w:rsid w:val="00FB7C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C155C"/>
  <w15:docId w15:val="{E8FCCDFF-2633-4CED-ADC9-98179934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2321</Words>
  <Characters>13233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ST/SG/AC.10/C.3/2019/4</vt:lpstr>
      <vt:lpstr>ST/SG/AC.10/C.3/2019/4</vt:lpstr>
    </vt:vector>
  </TitlesOfParts>
  <Company>DCM</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ST/SG/AC.10/C.3/2019/4</dc:title>
  <dc:subject/>
  <dc:creator>Julien OKRZESIK</dc:creator>
  <cp:keywords/>
  <cp:lastModifiedBy>Laurence Berthet</cp:lastModifiedBy>
  <cp:revision>3</cp:revision>
  <cp:lastPrinted>2019-05-09T12:06:00Z</cp:lastPrinted>
  <dcterms:created xsi:type="dcterms:W3CDTF">2019-05-09T12:05:00Z</dcterms:created>
  <dcterms:modified xsi:type="dcterms:W3CDTF">2019-05-09T12:06:00Z</dcterms:modified>
</cp:coreProperties>
</file>