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276D" w:rsidRPr="0029276D" w14:paraId="784A988D" w14:textId="77777777" w:rsidTr="00F01738">
        <w:trPr>
          <w:trHeight w:hRule="exact" w:val="851"/>
        </w:trPr>
        <w:tc>
          <w:tcPr>
            <w:tcW w:w="1276" w:type="dxa"/>
            <w:tcBorders>
              <w:bottom w:val="single" w:sz="4" w:space="0" w:color="auto"/>
            </w:tcBorders>
          </w:tcPr>
          <w:p w14:paraId="722829C7" w14:textId="77777777" w:rsidR="00132EA9" w:rsidRPr="0029276D" w:rsidRDefault="00132EA9" w:rsidP="00D515E3">
            <w:bookmarkStart w:id="0" w:name="_GoBack"/>
            <w:bookmarkEnd w:id="0"/>
          </w:p>
        </w:tc>
        <w:tc>
          <w:tcPr>
            <w:tcW w:w="2268" w:type="dxa"/>
            <w:tcBorders>
              <w:bottom w:val="single" w:sz="4" w:space="0" w:color="auto"/>
            </w:tcBorders>
            <w:vAlign w:val="bottom"/>
          </w:tcPr>
          <w:p w14:paraId="09D7BB8C" w14:textId="77777777" w:rsidR="00132EA9" w:rsidRPr="0029276D" w:rsidRDefault="00132EA9" w:rsidP="00F01738">
            <w:pPr>
              <w:spacing w:after="80" w:line="300" w:lineRule="exact"/>
              <w:rPr>
                <w:sz w:val="28"/>
              </w:rPr>
            </w:pPr>
            <w:r w:rsidRPr="0029276D">
              <w:rPr>
                <w:sz w:val="28"/>
              </w:rPr>
              <w:t>Nations Unies</w:t>
            </w:r>
          </w:p>
        </w:tc>
        <w:tc>
          <w:tcPr>
            <w:tcW w:w="6095" w:type="dxa"/>
            <w:gridSpan w:val="2"/>
            <w:tcBorders>
              <w:bottom w:val="single" w:sz="4" w:space="0" w:color="auto"/>
            </w:tcBorders>
            <w:vAlign w:val="bottom"/>
          </w:tcPr>
          <w:p w14:paraId="34428DE7" w14:textId="77777777" w:rsidR="00132EA9" w:rsidRPr="0029276D" w:rsidRDefault="00D515E3" w:rsidP="00D515E3">
            <w:pPr>
              <w:jc w:val="right"/>
            </w:pPr>
            <w:r w:rsidRPr="0029276D">
              <w:rPr>
                <w:sz w:val="40"/>
              </w:rPr>
              <w:t>ST</w:t>
            </w:r>
            <w:r w:rsidRPr="0029276D">
              <w:t>/SG/AC.10/C.3/2019/46</w:t>
            </w:r>
          </w:p>
        </w:tc>
      </w:tr>
      <w:tr w:rsidR="0029276D" w:rsidRPr="0029276D" w14:paraId="51D44078" w14:textId="77777777" w:rsidTr="00F01738">
        <w:trPr>
          <w:trHeight w:hRule="exact" w:val="2835"/>
        </w:trPr>
        <w:tc>
          <w:tcPr>
            <w:tcW w:w="1276" w:type="dxa"/>
            <w:tcBorders>
              <w:top w:val="single" w:sz="4" w:space="0" w:color="auto"/>
              <w:bottom w:val="single" w:sz="12" w:space="0" w:color="auto"/>
            </w:tcBorders>
          </w:tcPr>
          <w:p w14:paraId="60CB5DEB" w14:textId="77777777" w:rsidR="00132EA9" w:rsidRPr="0029276D" w:rsidRDefault="00132EA9" w:rsidP="00F01738">
            <w:pPr>
              <w:spacing w:before="120"/>
              <w:jc w:val="center"/>
            </w:pPr>
            <w:r w:rsidRPr="0029276D">
              <w:rPr>
                <w:noProof/>
                <w:lang w:eastAsia="fr-CH"/>
              </w:rPr>
              <w:drawing>
                <wp:inline distT="0" distB="0" distL="0" distR="0" wp14:anchorId="46434EEA" wp14:editId="1F37462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4DEF495" w14:textId="77777777" w:rsidR="00132EA9" w:rsidRPr="0029276D" w:rsidRDefault="00132EA9" w:rsidP="00F01738">
            <w:pPr>
              <w:spacing w:before="120" w:line="420" w:lineRule="exact"/>
              <w:rPr>
                <w:b/>
                <w:sz w:val="40"/>
                <w:szCs w:val="40"/>
              </w:rPr>
            </w:pPr>
            <w:r w:rsidRPr="0029276D">
              <w:rPr>
                <w:b/>
                <w:sz w:val="40"/>
                <w:szCs w:val="40"/>
              </w:rPr>
              <w:t>Secrétariat</w:t>
            </w:r>
          </w:p>
        </w:tc>
        <w:tc>
          <w:tcPr>
            <w:tcW w:w="2835" w:type="dxa"/>
            <w:tcBorders>
              <w:top w:val="single" w:sz="4" w:space="0" w:color="auto"/>
              <w:bottom w:val="single" w:sz="12" w:space="0" w:color="auto"/>
            </w:tcBorders>
          </w:tcPr>
          <w:p w14:paraId="2859EDC5" w14:textId="77777777" w:rsidR="00132EA9" w:rsidRPr="0029276D" w:rsidRDefault="00D515E3" w:rsidP="00F01738">
            <w:pPr>
              <w:spacing w:before="240"/>
            </w:pPr>
            <w:r w:rsidRPr="0029276D">
              <w:t>Distr. générale</w:t>
            </w:r>
          </w:p>
          <w:p w14:paraId="1D0358F0" w14:textId="77777777" w:rsidR="00D515E3" w:rsidRPr="0029276D" w:rsidRDefault="00D515E3" w:rsidP="00D515E3">
            <w:pPr>
              <w:spacing w:line="240" w:lineRule="exact"/>
            </w:pPr>
            <w:r w:rsidRPr="0029276D">
              <w:t>9 septembre 2019</w:t>
            </w:r>
          </w:p>
          <w:p w14:paraId="2477B5C6" w14:textId="77777777" w:rsidR="00D515E3" w:rsidRPr="0029276D" w:rsidRDefault="00D515E3" w:rsidP="00D515E3">
            <w:pPr>
              <w:spacing w:line="240" w:lineRule="exact"/>
            </w:pPr>
            <w:r w:rsidRPr="0029276D">
              <w:t>Français</w:t>
            </w:r>
          </w:p>
          <w:p w14:paraId="1F852474" w14:textId="77777777" w:rsidR="00D515E3" w:rsidRPr="0029276D" w:rsidRDefault="00D515E3" w:rsidP="00D515E3">
            <w:pPr>
              <w:spacing w:line="240" w:lineRule="exact"/>
            </w:pPr>
            <w:r w:rsidRPr="0029276D">
              <w:t>Original</w:t>
            </w:r>
            <w:r w:rsidR="00F51B17" w:rsidRPr="0029276D">
              <w:t> :</w:t>
            </w:r>
            <w:r w:rsidRPr="0029276D">
              <w:t xml:space="preserve"> anglais</w:t>
            </w:r>
          </w:p>
        </w:tc>
      </w:tr>
    </w:tbl>
    <w:p w14:paraId="56BA1CA0" w14:textId="77777777" w:rsidR="005A6914" w:rsidRPr="0029276D" w:rsidRDefault="005A6914" w:rsidP="005A6914">
      <w:pPr>
        <w:spacing w:before="120"/>
        <w:rPr>
          <w:b/>
          <w:sz w:val="24"/>
          <w:szCs w:val="24"/>
        </w:rPr>
      </w:pPr>
      <w:bookmarkStart w:id="1" w:name="_Hlk21932180"/>
      <w:r w:rsidRPr="0029276D">
        <w:rPr>
          <w:b/>
          <w:bCs/>
          <w:sz w:val="24"/>
          <w:szCs w:val="24"/>
        </w:rPr>
        <w:t xml:space="preserve">Comité d’experts du transport des marchandises dangereuses </w:t>
      </w:r>
      <w:r w:rsidR="00383867" w:rsidRPr="0029276D">
        <w:rPr>
          <w:b/>
          <w:bCs/>
          <w:sz w:val="24"/>
          <w:szCs w:val="24"/>
        </w:rPr>
        <w:br/>
      </w:r>
      <w:r w:rsidRPr="0029276D">
        <w:rPr>
          <w:b/>
          <w:bCs/>
          <w:sz w:val="24"/>
          <w:szCs w:val="24"/>
        </w:rPr>
        <w:t xml:space="preserve">et du Système général harmonisé de classification </w:t>
      </w:r>
      <w:r w:rsidR="00383867" w:rsidRPr="0029276D">
        <w:rPr>
          <w:b/>
          <w:bCs/>
          <w:sz w:val="24"/>
          <w:szCs w:val="24"/>
        </w:rPr>
        <w:br/>
      </w:r>
      <w:r w:rsidRPr="0029276D">
        <w:rPr>
          <w:b/>
          <w:bCs/>
          <w:sz w:val="24"/>
          <w:szCs w:val="24"/>
        </w:rPr>
        <w:t>et d’étiquetage des produits chimiques</w:t>
      </w:r>
    </w:p>
    <w:p w14:paraId="3CE90895" w14:textId="77777777" w:rsidR="005A6914" w:rsidRPr="0029276D" w:rsidRDefault="005A6914" w:rsidP="005A6914">
      <w:pPr>
        <w:spacing w:before="120"/>
        <w:rPr>
          <w:rFonts w:ascii="Helv" w:hAnsi="Helv" w:cs="Helv"/>
          <w:b/>
        </w:rPr>
      </w:pPr>
      <w:r w:rsidRPr="0029276D">
        <w:rPr>
          <w:b/>
          <w:bCs/>
        </w:rPr>
        <w:t>Sous-Comité d’experts du transport des marchandises dangereuses</w:t>
      </w:r>
    </w:p>
    <w:p w14:paraId="52FB0987" w14:textId="77777777" w:rsidR="005A6914" w:rsidRPr="0029276D" w:rsidRDefault="005A6914" w:rsidP="005A6914">
      <w:pPr>
        <w:spacing w:before="120"/>
        <w:rPr>
          <w:b/>
        </w:rPr>
      </w:pPr>
      <w:r w:rsidRPr="0029276D">
        <w:rPr>
          <w:b/>
          <w:bCs/>
        </w:rPr>
        <w:t>Cinquante</w:t>
      </w:r>
      <w:r w:rsidR="00383867" w:rsidRPr="0029276D">
        <w:rPr>
          <w:b/>
          <w:bCs/>
        </w:rPr>
        <w:t>-</w:t>
      </w:r>
      <w:r w:rsidRPr="0029276D">
        <w:rPr>
          <w:b/>
          <w:bCs/>
        </w:rPr>
        <w:t>sixième session</w:t>
      </w:r>
    </w:p>
    <w:p w14:paraId="03A9723D" w14:textId="77777777" w:rsidR="005A6914" w:rsidRPr="0029276D" w:rsidRDefault="005A6914" w:rsidP="005A6914">
      <w:r w:rsidRPr="0029276D">
        <w:t>Genève, 2-11 décembre 2019</w:t>
      </w:r>
    </w:p>
    <w:p w14:paraId="16903ABF" w14:textId="77777777" w:rsidR="005A6914" w:rsidRPr="0029276D" w:rsidRDefault="005A6914" w:rsidP="005A6914">
      <w:r w:rsidRPr="0029276D">
        <w:t>Point 4 c) de l’ordre du jour provisoire</w:t>
      </w:r>
    </w:p>
    <w:p w14:paraId="362A67C9" w14:textId="77777777" w:rsidR="005A6914" w:rsidRPr="0029276D" w:rsidRDefault="005A6914" w:rsidP="005A6914">
      <w:pPr>
        <w:rPr>
          <w:b/>
        </w:rPr>
      </w:pPr>
      <w:r w:rsidRPr="0029276D">
        <w:rPr>
          <w:b/>
        </w:rPr>
        <w:t>Systèmes de stockage de l’électricité</w:t>
      </w:r>
      <w:r w:rsidR="00F51B17" w:rsidRPr="0029276D">
        <w:rPr>
          <w:b/>
        </w:rPr>
        <w:t> :</w:t>
      </w:r>
      <w:r w:rsidRPr="0029276D">
        <w:rPr>
          <w:b/>
        </w:rPr>
        <w:t xml:space="preserve"> dispositions relatives au transport</w:t>
      </w:r>
    </w:p>
    <w:p w14:paraId="13DC5EEB" w14:textId="77777777" w:rsidR="005A6914" w:rsidRPr="0029276D" w:rsidRDefault="005A6914" w:rsidP="00383867">
      <w:pPr>
        <w:pStyle w:val="HChG"/>
      </w:pPr>
      <w:r w:rsidRPr="0029276D">
        <w:tab/>
      </w:r>
      <w:r w:rsidRPr="0029276D">
        <w:tab/>
        <w:t>Proposition visant à ajouter des dispositions relatives au</w:t>
      </w:r>
      <w:r w:rsidR="00383867" w:rsidRPr="0029276D">
        <w:t> </w:t>
      </w:r>
      <w:r w:rsidRPr="0029276D">
        <w:t>niveau de charge des accumulateurs et batteries au</w:t>
      </w:r>
      <w:r w:rsidR="00383867" w:rsidRPr="0029276D">
        <w:t> </w:t>
      </w:r>
      <w:r w:rsidRPr="0029276D">
        <w:t>lithium-ion de grande taille pendant le transport</w:t>
      </w:r>
    </w:p>
    <w:p w14:paraId="08320922" w14:textId="77777777" w:rsidR="005A6914" w:rsidRPr="0029276D" w:rsidRDefault="005A6914" w:rsidP="00383867">
      <w:pPr>
        <w:pStyle w:val="H1G"/>
      </w:pPr>
      <w:r w:rsidRPr="0029276D">
        <w:tab/>
      </w:r>
      <w:r w:rsidRPr="0029276D">
        <w:tab/>
        <w:t>Transmis par l’expert de la Chine</w:t>
      </w:r>
      <w:r w:rsidRPr="0029276D">
        <w:rPr>
          <w:rStyle w:val="FootnoteReference"/>
          <w:b w:val="0"/>
          <w:sz w:val="20"/>
          <w:vertAlign w:val="baseline"/>
        </w:rPr>
        <w:footnoteReference w:customMarkFollows="1" w:id="2"/>
        <w:t>*</w:t>
      </w:r>
    </w:p>
    <w:p w14:paraId="029513D4" w14:textId="77777777" w:rsidR="005A6914" w:rsidRPr="0029276D" w:rsidRDefault="005A6914" w:rsidP="00383867">
      <w:pPr>
        <w:pStyle w:val="HChG"/>
        <w:rPr>
          <w:szCs w:val="28"/>
        </w:rPr>
      </w:pPr>
      <w:r w:rsidRPr="0029276D">
        <w:tab/>
      </w:r>
      <w:r w:rsidRPr="0029276D">
        <w:tab/>
        <w:t>Introduction et contexte</w:t>
      </w:r>
    </w:p>
    <w:p w14:paraId="2C266184" w14:textId="77777777" w:rsidR="005A6914" w:rsidRPr="0029276D" w:rsidRDefault="005A6914" w:rsidP="00383867">
      <w:pPr>
        <w:pStyle w:val="SingleTxtG"/>
      </w:pPr>
      <w:r w:rsidRPr="0029276D">
        <w:t>1.</w:t>
      </w:r>
      <w:r w:rsidRPr="0029276D">
        <w:tab/>
        <w:t>Lors des vingt-sixième, vingt-septième et vingt-neuvième sessions du Sous-Comité, la Rechargeable Battery Association (PRBA) a présenté un certain nombre de propositions et de documents (ST/SG/AC.10/C.3/2004/96, ST/SG/AC.10/C.3/2005/13, ST/SG/AC.10/</w:t>
      </w:r>
      <w:r w:rsidR="00F51B17" w:rsidRPr="0029276D">
        <w:t xml:space="preserve"> </w:t>
      </w:r>
      <w:r w:rsidRPr="0029276D">
        <w:t>C.3/2005/43 et ST/SG/AC.3/2005/44) concernant la limite du niveau de charge des accumulateurs et batteries au lithium-ion pendant leur transport. Ces documents ont démontré que les accumulateurs et batteries au lithium-ion sont plus sûrs à un faible niveau de charge.</w:t>
      </w:r>
    </w:p>
    <w:p w14:paraId="5777D2F4" w14:textId="77777777" w:rsidR="005A6914" w:rsidRPr="0029276D" w:rsidRDefault="005A6914" w:rsidP="00383867">
      <w:pPr>
        <w:pStyle w:val="SingleTxtG"/>
      </w:pPr>
      <w:r w:rsidRPr="0029276D">
        <w:t>2.</w:t>
      </w:r>
      <w:r w:rsidRPr="0029276D">
        <w:tab/>
        <w:t>Les accumulateurs et batteries au lithium-ion présentent de nombreux avantages</w:t>
      </w:r>
      <w:r w:rsidR="00F51B17" w:rsidRPr="0029276D">
        <w:t> :</w:t>
      </w:r>
      <w:r w:rsidRPr="0029276D">
        <w:t xml:space="preserve"> sources d’alimentation haute tension, longue durée de vie, densité énergétique élevée, réduction significative des coûts, etc. Ils sont utilisés dans un nombre croissant de domaines tels que l’électronique grand public, les véhicules de transport (véhicules électriques) et le stockage d’énergie. Comme l’industrie des accumulateurs et batteries au lithium-ion se développe rapidement et que le volume transporté de ces systèmes augmente de jour en jour, la question de leur sûreté pendant le transport suscite une large attention dans le monde entier.</w:t>
      </w:r>
    </w:p>
    <w:p w14:paraId="2AE4CEDB" w14:textId="77777777" w:rsidR="005A6914" w:rsidRPr="0029276D" w:rsidRDefault="005A6914" w:rsidP="00383867">
      <w:pPr>
        <w:pStyle w:val="SingleTxtG"/>
      </w:pPr>
      <w:r w:rsidRPr="0029276D">
        <w:t>3.</w:t>
      </w:r>
      <w:r w:rsidRPr="0029276D">
        <w:tab/>
        <w:t xml:space="preserve">Les risques présentés par les accumulateurs et batteries au lithium-ion pendant le transport sont essentiellement liés à leur stabilité à la chaleur, laquelle dépend principalement de leur niveau de charge et de leur système chimique. De nombreuses recherches montrent que la stabilité à la chaleur des accumulateurs et batteries au lithium-ion diminue au fur et à mesure que le niveau de charge augmente. Cela signifie que plus la charge de ces systèmes est élevée, plus ils présentent de risques pendant le transport. Lorsque le niveau de charge de certains accumulateurs et batteries au lithium-ion NCM (nickel-cobalt-manganèse) est élevé (60 % de la capacité nominale), leur emballement thermique peut provoquer une </w:t>
      </w:r>
      <w:r w:rsidRPr="0029276D">
        <w:lastRenderedPageBreak/>
        <w:t>inflammation. Il s’agit généralement des molécules organiques qui sont soit des éléments de base, soit des produits intermédiaires ou encore des principes actifs entrant dans la fabrication de produits pharmaceutiques ou phytosanitaires. Bien que ces matières ne soient pas par nature destinées à être classées comme matières explosibles de la classe</w:t>
      </w:r>
      <w:r w:rsidR="00F51B17" w:rsidRPr="0029276D">
        <w:t xml:space="preserve"> </w:t>
      </w:r>
      <w:r w:rsidRPr="0029276D">
        <w:t>1, un grand nombre de leurs groupes fonctionnels sont énumérés dans les tableaux</w:t>
      </w:r>
      <w:r w:rsidR="00F51B17" w:rsidRPr="0029276D">
        <w:t xml:space="preserve"> </w:t>
      </w:r>
      <w:r w:rsidRPr="0029276D">
        <w:t>A6.1 et/ou A6.3 de l’annexe 6 (Procédures de présélection) du Manuel d’épreuves et de critères, qui signalent leurs éventuelles propriétés explosives ou autoréactives.</w:t>
      </w:r>
    </w:p>
    <w:p w14:paraId="26E076D6" w14:textId="77777777" w:rsidR="005A6914" w:rsidRPr="0029276D" w:rsidRDefault="005A6914" w:rsidP="00383867">
      <w:pPr>
        <w:pStyle w:val="SingleTxtG"/>
      </w:pPr>
      <w:r w:rsidRPr="0029276D">
        <w:t>4.</w:t>
      </w:r>
      <w:r w:rsidRPr="0029276D">
        <w:tab/>
        <w:t>Les Instructions techniques de l’Organisation de l’aviation civile internationale (OACI) stipulent clairement que le niveau de charge des accumulateurs et batteries au lithium-ion No</w:t>
      </w:r>
      <w:r w:rsidR="00F51B17" w:rsidRPr="0029276D">
        <w:t> </w:t>
      </w:r>
      <w:r w:rsidRPr="0029276D">
        <w:t>ONU</w:t>
      </w:r>
      <w:r w:rsidR="00F51B17" w:rsidRPr="0029276D">
        <w:t xml:space="preserve"> </w:t>
      </w:r>
      <w:r w:rsidRPr="0029276D">
        <w:t>3480 pendant le transport ne doit pas dépasser 30 %. En dehors du transport aérien, il n’existe pas de réglementation uniforme sur le niveau de charge de ces systèmes pendant le transport. Par conséquent, les entreprises se réfèrent à des niveaux de charge différents lorsque les accumulateurs et batteries au lithium-ion sont transportés par voie terrestre ou fluviale, ce qui entraîne des risques incontrôlables. Un niveau de charge excessif des accumulateurs et batteries au lithium-ion augmente les risques lors du transport, mais un niveau de charge insuffisant pendant le transport ou le stockage peut causer une décharge supérieure à leur autodécharge normale, ce qui affecte ensuite leur utilisation. Il est donc nécessaire de préciser le niveau de charge raisonnable des accumulateurs et batteries au lithium-ion, en particulier des systèmes de grande capacité, dans le Règlement type annexé aux Recommandations relatives au transport des marchandises dangereuses.</w:t>
      </w:r>
    </w:p>
    <w:p w14:paraId="0C3BA9F7" w14:textId="77777777" w:rsidR="005A6914" w:rsidRPr="0029276D" w:rsidRDefault="005A6914" w:rsidP="00383867">
      <w:pPr>
        <w:pStyle w:val="HChG"/>
      </w:pPr>
      <w:r w:rsidRPr="0029276D">
        <w:tab/>
      </w:r>
      <w:r w:rsidRPr="0029276D">
        <w:tab/>
        <w:t>Analyses et essais</w:t>
      </w:r>
    </w:p>
    <w:p w14:paraId="67F42160" w14:textId="77777777" w:rsidR="005A6914" w:rsidRPr="0029276D" w:rsidRDefault="005A6914" w:rsidP="00383867">
      <w:pPr>
        <w:pStyle w:val="SingleTxtG"/>
      </w:pPr>
      <w:r w:rsidRPr="0029276D">
        <w:t>5.</w:t>
      </w:r>
      <w:r w:rsidRPr="0029276D">
        <w:tab/>
        <w:t>On distingue actuellement quatre grands types d’accumulateurs au lithium-ion, classés en fonction de la nature de la cathode</w:t>
      </w:r>
      <w:r w:rsidR="00F51B17" w:rsidRPr="0029276D">
        <w:t> :</w:t>
      </w:r>
      <w:r w:rsidRPr="0029276D">
        <w:t xml:space="preserve"> les accumulateurs LFP (lithium-fer-phosphate), NCM (nickel-cobalt-manganèse), NCA (nickel-cobalt-aluminium) et LCO (lithium-cobalt). Grâce à leur bonne stabilité à la chaleur, quel que soit leur niveau de charge,</w:t>
      </w:r>
      <w:r w:rsidRPr="0029276D" w:rsidDel="00075884">
        <w:t xml:space="preserve"> </w:t>
      </w:r>
      <w:r w:rsidRPr="0029276D">
        <w:t>les accumulateurs LFP dégagent uniquement de la fumée dans la plupart des scénarios d’emballement thermique. Le comportement en cas d’emballement thermique des accumulateurs NCM, NCA et LCO varie énormément en fonction de leur niveau de charge. L’analyse des matériaux et les essais ci-après ont été menés pour les accumulateurs NCM, dont le succès va aller croissant. On trouvera à la figure</w:t>
      </w:r>
      <w:r w:rsidR="00F51B17" w:rsidRPr="0029276D">
        <w:t xml:space="preserve"> </w:t>
      </w:r>
      <w:r w:rsidRPr="0029276D">
        <w:t>1 un aperçu des critères actuels en matière de classification. Par souci de simplification, les cas particuliers comme les articles pyrotechniques et le nitrate d’ammonium en émulsion (ENA), suspension ou gel, sont regroupés dans la catégorie « explosifs intentionnels » et ne sont pas traités dans le présent document, car ils sortent du champ de la présente proposition.</w:t>
      </w:r>
    </w:p>
    <w:p w14:paraId="1BB14601" w14:textId="77777777" w:rsidR="005A6914" w:rsidRPr="0029276D" w:rsidRDefault="005A6914" w:rsidP="00383867">
      <w:pPr>
        <w:pStyle w:val="H1G"/>
      </w:pPr>
      <w:r w:rsidRPr="0029276D">
        <w:tab/>
      </w:r>
      <w:r w:rsidRPr="0029276D">
        <w:tab/>
        <w:t>Analyse des matériaux</w:t>
      </w:r>
    </w:p>
    <w:p w14:paraId="7AD75DF1" w14:textId="77777777" w:rsidR="005A6914" w:rsidRPr="0029276D" w:rsidRDefault="005A6914" w:rsidP="00383867">
      <w:pPr>
        <w:pStyle w:val="SingleTxtG"/>
      </w:pPr>
      <w:r w:rsidRPr="0029276D">
        <w:t>6.</w:t>
      </w:r>
      <w:r w:rsidRPr="0029276D">
        <w:tab/>
        <w:t>Sur le plan des matériaux, la stabilité à la chaleur des accumulateurs au lithium-ion est principalement caractérisée par l’état d’intercalation des ions lithium et la génération de chaleur.</w:t>
      </w:r>
    </w:p>
    <w:p w14:paraId="333BCEA1" w14:textId="77777777" w:rsidR="005A6914" w:rsidRPr="0029276D" w:rsidRDefault="005A6914" w:rsidP="00383867">
      <w:pPr>
        <w:pStyle w:val="SingleTxtG"/>
        <w:ind w:left="1701"/>
      </w:pPr>
      <w:r w:rsidRPr="0029276D">
        <w:t>a)</w:t>
      </w:r>
      <w:r w:rsidRPr="0029276D">
        <w:tab/>
        <w:t>L’état d’intercalation des ions lithium dans l’anode d’un accumulateur dépend du niveau de charge de celui-ci. Comme le montre la figure I, le nombre d’ions lithium qui s’intercalent dans l’anode augmente avec le niveau de charge, ce qui nuit à la stabilité à la chaleur</w:t>
      </w:r>
      <w:r w:rsidR="008F306A" w:rsidRPr="0029276D">
        <w:t> ;</w:t>
      </w:r>
    </w:p>
    <w:p w14:paraId="1872B581" w14:textId="77777777" w:rsidR="00383867" w:rsidRPr="0029276D" w:rsidRDefault="005A6914" w:rsidP="00383867">
      <w:pPr>
        <w:pStyle w:val="SingleTxtG"/>
        <w:keepNext/>
        <w:spacing w:after="0"/>
        <w:jc w:val="left"/>
      </w:pPr>
      <w:r w:rsidRPr="0029276D">
        <w:t>Figure I</w:t>
      </w:r>
    </w:p>
    <w:p w14:paraId="03A9E67D" w14:textId="77777777" w:rsidR="005A6914" w:rsidRPr="0029276D" w:rsidRDefault="00383867" w:rsidP="00383867">
      <w:pPr>
        <w:pStyle w:val="SingleTxtG"/>
        <w:keepNext/>
        <w:jc w:val="left"/>
        <w:rPr>
          <w:b/>
        </w:rPr>
      </w:pPr>
      <w:r w:rsidRPr="0029276D">
        <w:rPr>
          <w:b/>
        </w:rPr>
        <w:t>É</w:t>
      </w:r>
      <w:r w:rsidR="005A6914" w:rsidRPr="0029276D">
        <w:rPr>
          <w:b/>
        </w:rPr>
        <w:t xml:space="preserve">tat d’intercalation des ions lithium en fonction du niveau de charge </w:t>
      </w:r>
      <w:r w:rsidR="00F51B17" w:rsidRPr="0029276D">
        <w:rPr>
          <w:b/>
        </w:rPr>
        <w:br/>
      </w:r>
      <w:r w:rsidR="005A6914" w:rsidRPr="0029276D">
        <w:rPr>
          <w:b/>
        </w:rPr>
        <w:t>(% de la capacité nominale)</w:t>
      </w:r>
    </w:p>
    <w:p w14:paraId="27FC0DF9" w14:textId="77777777" w:rsidR="005A6914" w:rsidRPr="0029276D" w:rsidRDefault="005A6914" w:rsidP="005A6914">
      <w:pPr>
        <w:pStyle w:val="SingleTxtG"/>
        <w:tabs>
          <w:tab w:val="left" w:pos="1701"/>
        </w:tabs>
      </w:pPr>
      <w:r w:rsidRPr="0029276D">
        <w:rPr>
          <w:rFonts w:ascii="仿宋" w:eastAsia="仿宋" w:hAnsi="仿宋"/>
          <w:noProof/>
          <w:sz w:val="32"/>
          <w:szCs w:val="32"/>
          <w:lang w:eastAsia="fr-FR"/>
        </w:rPr>
        <w:drawing>
          <wp:inline distT="0" distB="0" distL="0" distR="0" wp14:anchorId="268BAD53" wp14:editId="57850A7D">
            <wp:extent cx="4680000" cy="824400"/>
            <wp:effectExtent l="0" t="0" r="635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cstate="print"/>
                    <a:stretch>
                      <a:fillRect/>
                    </a:stretch>
                  </pic:blipFill>
                  <pic:spPr>
                    <a:xfrm>
                      <a:off x="0" y="0"/>
                      <a:ext cx="4680000" cy="824400"/>
                    </a:xfrm>
                    <a:prstGeom prst="rect">
                      <a:avLst/>
                    </a:prstGeom>
                  </pic:spPr>
                </pic:pic>
              </a:graphicData>
            </a:graphic>
          </wp:inline>
        </w:drawing>
      </w:r>
    </w:p>
    <w:p w14:paraId="0BB0C4A7" w14:textId="77777777" w:rsidR="005A6914" w:rsidRPr="0029276D" w:rsidRDefault="005A6914" w:rsidP="00383867">
      <w:pPr>
        <w:pStyle w:val="SingleTxtG"/>
        <w:ind w:left="1701"/>
      </w:pPr>
      <w:r w:rsidRPr="0029276D">
        <w:lastRenderedPageBreak/>
        <w:t>b)</w:t>
      </w:r>
      <w:r w:rsidRPr="0029276D">
        <w:tab/>
        <w:t>La génération de chaleur par l’accumulateur dépend de son niveau de charge. Le comportement thermique de la cathode NCM et de l’anode en graphite en fonction du niveau de charge a été étudié par analyse calorimétrique différentielle. Les résultats ont montré que les accumulateurs et batteries au lithium-ion présentent une bonne stabilité thermique à 30 % de leur capacité nominale, que l’anode produit beaucoup moins de chaleur à 30 % de la capacité nominale qu’entre 50 % et 70 % et que la température de la réaction exothermique au niveau de la cathode est beaucoup plus élevée à 30 % de la capacité nominale qu’entre 50 % et 70 %.</w:t>
      </w:r>
    </w:p>
    <w:p w14:paraId="1775012E" w14:textId="77777777" w:rsidR="00383867" w:rsidRPr="0029276D" w:rsidRDefault="005A6914" w:rsidP="00383867">
      <w:pPr>
        <w:pStyle w:val="SingleTxtG"/>
        <w:keepNext/>
        <w:spacing w:after="0"/>
        <w:jc w:val="left"/>
      </w:pPr>
      <w:r w:rsidRPr="0029276D">
        <w:t>Figure II</w:t>
      </w:r>
    </w:p>
    <w:p w14:paraId="7EBAF243" w14:textId="77777777" w:rsidR="005A6914" w:rsidRPr="0029276D" w:rsidRDefault="005A6914" w:rsidP="00383867">
      <w:pPr>
        <w:pStyle w:val="SingleTxtG"/>
        <w:keepNext/>
        <w:jc w:val="left"/>
        <w:rPr>
          <w:b/>
        </w:rPr>
      </w:pPr>
      <w:r w:rsidRPr="0029276D">
        <w:rPr>
          <w:b/>
        </w:rPr>
        <w:t xml:space="preserve">Production de chaleur de l’anode en fonction du niveau de charge </w:t>
      </w:r>
      <w:r w:rsidR="00F51B17" w:rsidRPr="0029276D">
        <w:rPr>
          <w:b/>
        </w:rPr>
        <w:br/>
      </w:r>
      <w:r w:rsidRPr="0029276D">
        <w:rPr>
          <w:b/>
        </w:rPr>
        <w:t>(% de la capacité nominale)</w:t>
      </w:r>
    </w:p>
    <w:p w14:paraId="64ECE927" w14:textId="77777777" w:rsidR="005A6914" w:rsidRPr="0029276D" w:rsidRDefault="005A6914" w:rsidP="005A6914">
      <w:pPr>
        <w:pStyle w:val="SingleTxtG"/>
        <w:tabs>
          <w:tab w:val="left" w:pos="1701"/>
        </w:tabs>
        <w:jc w:val="center"/>
      </w:pPr>
      <w:r w:rsidRPr="0029276D">
        <w:rPr>
          <w:rFonts w:ascii="仿宋" w:eastAsia="仿宋" w:hAnsi="仿宋"/>
          <w:noProof/>
          <w:sz w:val="32"/>
          <w:szCs w:val="32"/>
          <w:lang w:eastAsia="fr-FR"/>
        </w:rPr>
        <w:drawing>
          <wp:inline distT="0" distB="0" distL="0" distR="0" wp14:anchorId="25F0463D" wp14:editId="0DC34A0F">
            <wp:extent cx="3291738" cy="216000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738" cy="2160000"/>
                    </a:xfrm>
                    <a:prstGeom prst="rect">
                      <a:avLst/>
                    </a:prstGeom>
                  </pic:spPr>
                </pic:pic>
              </a:graphicData>
            </a:graphic>
          </wp:inline>
        </w:drawing>
      </w:r>
    </w:p>
    <w:p w14:paraId="6FB95DE6" w14:textId="77777777" w:rsidR="005A6914" w:rsidRPr="0029276D" w:rsidRDefault="005A6914" w:rsidP="00383867">
      <w:pPr>
        <w:pStyle w:val="SingleTxtG"/>
      </w:pPr>
      <w:r w:rsidRPr="0029276D">
        <w:t>7.</w:t>
      </w:r>
      <w:r w:rsidRPr="0029276D">
        <w:tab/>
        <w:t>Comme le montre la figure</w:t>
      </w:r>
      <w:r w:rsidR="00F51B17" w:rsidRPr="0029276D">
        <w:t xml:space="preserve"> </w:t>
      </w:r>
      <w:r w:rsidRPr="0029276D">
        <w:t>II, pour une charge comprise entre 50 % et 70 % de la capacité nominale, on observe une forte réaction exothermique lorsque l’anode est chauffée à 300 ℃, alors qu’ à 30 %, on n’observe aucune réaction exothermique évidente.</w:t>
      </w:r>
    </w:p>
    <w:p w14:paraId="35542D80" w14:textId="77777777" w:rsidR="00383867" w:rsidRPr="0029276D" w:rsidRDefault="005A6914" w:rsidP="00383867">
      <w:pPr>
        <w:pStyle w:val="SingleTxtG"/>
        <w:keepNext/>
        <w:spacing w:after="0"/>
        <w:jc w:val="left"/>
      </w:pPr>
      <w:r w:rsidRPr="0029276D">
        <w:t>Figure III</w:t>
      </w:r>
    </w:p>
    <w:p w14:paraId="79626588" w14:textId="77777777" w:rsidR="005A6914" w:rsidRPr="0029276D" w:rsidRDefault="005A6914" w:rsidP="00383867">
      <w:pPr>
        <w:pStyle w:val="SingleTxtG"/>
        <w:keepNext/>
        <w:jc w:val="left"/>
        <w:rPr>
          <w:b/>
        </w:rPr>
      </w:pPr>
      <w:r w:rsidRPr="0029276D">
        <w:rPr>
          <w:b/>
        </w:rPr>
        <w:t>Température de la réaction exothermique de la cathode en fonction du niveau de</w:t>
      </w:r>
      <w:r w:rsidR="00F51B17" w:rsidRPr="0029276D">
        <w:rPr>
          <w:b/>
        </w:rPr>
        <w:t> </w:t>
      </w:r>
      <w:r w:rsidRPr="0029276D">
        <w:rPr>
          <w:b/>
        </w:rPr>
        <w:t>charge (% de la capacité nominale)</w:t>
      </w:r>
    </w:p>
    <w:p w14:paraId="4EDE1109" w14:textId="77777777" w:rsidR="005A6914" w:rsidRPr="0029276D" w:rsidRDefault="005A6914" w:rsidP="005A6914">
      <w:pPr>
        <w:pStyle w:val="SingleTxtG"/>
        <w:tabs>
          <w:tab w:val="left" w:pos="1701"/>
        </w:tabs>
        <w:jc w:val="center"/>
        <w:rPr>
          <w:b/>
          <w:bCs/>
        </w:rPr>
      </w:pPr>
      <w:r w:rsidRPr="0029276D">
        <w:rPr>
          <w:rFonts w:ascii="仿宋" w:eastAsia="仿宋" w:hAnsi="仿宋"/>
          <w:noProof/>
          <w:sz w:val="32"/>
          <w:szCs w:val="32"/>
          <w:lang w:eastAsia="fr-FR"/>
        </w:rPr>
        <w:drawing>
          <wp:inline distT="0" distB="0" distL="0" distR="0" wp14:anchorId="17FCE842" wp14:editId="5C66F867">
            <wp:extent cx="3464844" cy="21600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4844" cy="2160000"/>
                    </a:xfrm>
                    <a:prstGeom prst="rect">
                      <a:avLst/>
                    </a:prstGeom>
                  </pic:spPr>
                </pic:pic>
              </a:graphicData>
            </a:graphic>
          </wp:inline>
        </w:drawing>
      </w:r>
    </w:p>
    <w:p w14:paraId="38405F36" w14:textId="77777777" w:rsidR="005A6914" w:rsidRPr="0029276D" w:rsidRDefault="005A6914" w:rsidP="00383867">
      <w:pPr>
        <w:pStyle w:val="SingleTxtG"/>
      </w:pPr>
      <w:r w:rsidRPr="0029276D">
        <w:t>8.</w:t>
      </w:r>
      <w:r w:rsidRPr="0029276D">
        <w:tab/>
        <w:t>Comme le montre la figure</w:t>
      </w:r>
      <w:r w:rsidR="00F51B17" w:rsidRPr="0029276D">
        <w:t xml:space="preserve"> </w:t>
      </w:r>
      <w:r w:rsidRPr="0029276D">
        <w:t>III, pour une charge de 70 %, on observe une forte réaction exothermique lorsque la cathode est chauffée à 240 ℃. Lorsque l’accumulateur est chargé à 30 %, la réaction exothermique au niveau de la cathode a lieu à une température plus élevée (environ 300 ℃) et la chaleur dégagée est inférieure à celle de la cathode pour une charge 70 %.</w:t>
      </w:r>
    </w:p>
    <w:p w14:paraId="18916566" w14:textId="77777777" w:rsidR="005A6914" w:rsidRPr="0029276D" w:rsidRDefault="005A6914" w:rsidP="00383867">
      <w:pPr>
        <w:pStyle w:val="H1G"/>
      </w:pPr>
      <w:r w:rsidRPr="0029276D">
        <w:lastRenderedPageBreak/>
        <w:tab/>
      </w:r>
      <w:r w:rsidRPr="0029276D">
        <w:tab/>
        <w:t>Essais d’emballement thermique d’accumulateurs NCM</w:t>
      </w:r>
    </w:p>
    <w:p w14:paraId="1CEBB82C" w14:textId="77777777" w:rsidR="005A6914" w:rsidRPr="0029276D" w:rsidRDefault="005A6914" w:rsidP="00383867">
      <w:pPr>
        <w:pStyle w:val="SingleTxtG"/>
      </w:pPr>
      <w:r w:rsidRPr="0029276D">
        <w:t>9.</w:t>
      </w:r>
      <w:r w:rsidRPr="0029276D">
        <w:tab/>
        <w:t>L’emballement thermique d’accumulateurs NCM à différents niveaux de charge a été déclenché par chauffage, et leur comportement a été observé pour évaluer les risques qu’ils présentent.</w:t>
      </w:r>
    </w:p>
    <w:p w14:paraId="1A0539B7" w14:textId="77777777" w:rsidR="005A6914" w:rsidRPr="0029276D" w:rsidRDefault="005A6914" w:rsidP="00383867">
      <w:pPr>
        <w:pStyle w:val="SingleTxtG"/>
        <w:ind w:firstLine="567"/>
      </w:pPr>
      <w:r w:rsidRPr="0029276D">
        <w:t>Les résultats de l’emballement thermique d’accumulateurs NCM de 51 Ah varient énormément en fonction du niveau de charge, comme le montre le tableau de l’annexe I.</w:t>
      </w:r>
    </w:p>
    <w:p w14:paraId="5583F121" w14:textId="77777777" w:rsidR="005A6914" w:rsidRPr="0029276D" w:rsidRDefault="005A6914" w:rsidP="00383867">
      <w:pPr>
        <w:pStyle w:val="SingleTxtG"/>
        <w:ind w:left="1701"/>
      </w:pPr>
      <w:r w:rsidRPr="0029276D">
        <w:t>a)</w:t>
      </w:r>
      <w:r w:rsidRPr="0029276D">
        <w:tab/>
        <w:t>Niveau de charge compris entre 10 % et 30 % de la capacité nominale</w:t>
      </w:r>
      <w:r w:rsidR="00F51B17" w:rsidRPr="0029276D">
        <w:t> :</w:t>
      </w:r>
      <w:r w:rsidRPr="0029276D">
        <w:t xml:space="preserve"> faible réaction, dégagement de fumée blanche uniquement, pas d’étincelles ni de flammes</w:t>
      </w:r>
      <w:r w:rsidR="00F51B17" w:rsidRPr="0029276D">
        <w:t> ;</w:t>
      </w:r>
    </w:p>
    <w:p w14:paraId="41C65C0D" w14:textId="77777777" w:rsidR="005A6914" w:rsidRPr="0029276D" w:rsidRDefault="005A6914" w:rsidP="00383867">
      <w:pPr>
        <w:pStyle w:val="SingleTxtG"/>
        <w:ind w:left="1701"/>
      </w:pPr>
      <w:r w:rsidRPr="0029276D">
        <w:t>b)</w:t>
      </w:r>
      <w:r w:rsidRPr="0029276D">
        <w:tab/>
        <w:t>Niveau de charge égal à 40 % de la capacité nominale</w:t>
      </w:r>
      <w:r w:rsidR="00F51B17" w:rsidRPr="0029276D">
        <w:t> :</w:t>
      </w:r>
      <w:r w:rsidRPr="0029276D">
        <w:t xml:space="preserve"> dégagement important de fumée blanche mélangée à de la fumée noire, pas d’étincelles ni de flammes</w:t>
      </w:r>
      <w:r w:rsidR="00F51B17" w:rsidRPr="0029276D">
        <w:t> ;</w:t>
      </w:r>
    </w:p>
    <w:p w14:paraId="71C62920" w14:textId="77777777" w:rsidR="005A6914" w:rsidRPr="0029276D" w:rsidRDefault="005A6914" w:rsidP="00383867">
      <w:pPr>
        <w:pStyle w:val="SingleTxtG"/>
        <w:ind w:left="1701"/>
      </w:pPr>
      <w:r w:rsidRPr="0029276D">
        <w:t>c)</w:t>
      </w:r>
      <w:r w:rsidRPr="0029276D">
        <w:tab/>
        <w:t>Niveau de charge égal à 50 % de la capacité nominale</w:t>
      </w:r>
      <w:r w:rsidR="00F51B17" w:rsidRPr="0029276D">
        <w:t> :</w:t>
      </w:r>
      <w:r w:rsidRPr="0029276D">
        <w:t xml:space="preserve"> dégagement important de fumée blanche accompagné d’étincelles, pas de flammes</w:t>
      </w:r>
      <w:r w:rsidR="00F51B17" w:rsidRPr="0029276D">
        <w:t> ;</w:t>
      </w:r>
    </w:p>
    <w:p w14:paraId="5A2498A0" w14:textId="77777777" w:rsidR="005A6914" w:rsidRPr="0029276D" w:rsidRDefault="005A6914" w:rsidP="00383867">
      <w:pPr>
        <w:pStyle w:val="SingleTxtG"/>
        <w:ind w:left="1701"/>
      </w:pPr>
      <w:r w:rsidRPr="0029276D">
        <w:t>d)</w:t>
      </w:r>
      <w:r w:rsidRPr="0029276D">
        <w:tab/>
        <w:t>Niveau de charge compris entre 60 % et 100 % de la capacité nominale</w:t>
      </w:r>
      <w:r w:rsidR="00F51B17" w:rsidRPr="0029276D">
        <w:t> :</w:t>
      </w:r>
      <w:r w:rsidRPr="0029276D">
        <w:t xml:space="preserve"> inflammation</w:t>
      </w:r>
      <w:r w:rsidR="00F51B17" w:rsidRPr="0029276D">
        <w:t> ;</w:t>
      </w:r>
    </w:p>
    <w:p w14:paraId="49001076" w14:textId="77777777" w:rsidR="005A6914" w:rsidRPr="0029276D" w:rsidRDefault="005A6914" w:rsidP="00383867">
      <w:pPr>
        <w:pStyle w:val="SingleTxtG"/>
        <w:ind w:left="1701"/>
      </w:pPr>
      <w:r w:rsidRPr="0029276D">
        <w:t>e)</w:t>
      </w:r>
      <w:r w:rsidRPr="0029276D">
        <w:tab/>
        <w:t>Les essais sont détaillés à l’annexe I.</w:t>
      </w:r>
    </w:p>
    <w:p w14:paraId="22844CA5" w14:textId="77777777" w:rsidR="005A6914" w:rsidRPr="0029276D" w:rsidRDefault="00383867" w:rsidP="00383867">
      <w:pPr>
        <w:pStyle w:val="H1G"/>
      </w:pPr>
      <w:r w:rsidRPr="0029276D">
        <w:tab/>
      </w:r>
      <w:r w:rsidRPr="0029276D">
        <w:tab/>
      </w:r>
      <w:r w:rsidR="005A6914" w:rsidRPr="0029276D">
        <w:t>Essai d’emballement thermique d’un accumulateur LFP</w:t>
      </w:r>
    </w:p>
    <w:p w14:paraId="487D1E3F" w14:textId="77777777" w:rsidR="005A6914" w:rsidRPr="0029276D" w:rsidRDefault="005A6914" w:rsidP="00383867">
      <w:pPr>
        <w:pStyle w:val="SingleTxtG"/>
      </w:pPr>
      <w:r w:rsidRPr="0029276D">
        <w:t>10.</w:t>
      </w:r>
      <w:r w:rsidRPr="0029276D">
        <w:tab/>
        <w:t>Un essai d’emballement thermique d’un accumulateur LFP chargé à 100 % a été déclenché par chauffage</w:t>
      </w:r>
      <w:r w:rsidR="00F51B17" w:rsidRPr="0029276D">
        <w:t> ;</w:t>
      </w:r>
      <w:r w:rsidRPr="0029276D">
        <w:t xml:space="preserve"> on a observé uniquement un dégagement de fumée blanche (voir annexe II).</w:t>
      </w:r>
    </w:p>
    <w:p w14:paraId="02FE3B98" w14:textId="77777777" w:rsidR="005A6914" w:rsidRPr="0029276D" w:rsidRDefault="005A6914" w:rsidP="00383867">
      <w:pPr>
        <w:pStyle w:val="SingleTxtG"/>
      </w:pPr>
      <w:r w:rsidRPr="0029276D">
        <w:t>11.</w:t>
      </w:r>
      <w:r w:rsidRPr="0029276D">
        <w:tab/>
        <w:t>Le rapport technique (EVS 1541-616) publié dans le cadre de la révision du Règlement technique mondial (RTM) de l’ONU n</w:t>
      </w:r>
      <w:r w:rsidRPr="0029276D">
        <w:rPr>
          <w:vertAlign w:val="superscript"/>
        </w:rPr>
        <w:t>o</w:t>
      </w:r>
      <w:r w:rsidRPr="0029276D">
        <w:t> 20 mentionne que lors d’essais d’emballement thermique déclenché par chauffage ou surcharge portant sur plus de 200</w:t>
      </w:r>
      <w:r w:rsidR="00F51B17" w:rsidRPr="0029276D">
        <w:t> </w:t>
      </w:r>
      <w:r w:rsidRPr="0029276D">
        <w:t>accumulateurs LFP, aucune inflammation n’a été constatée.</w:t>
      </w:r>
    </w:p>
    <w:p w14:paraId="6E40EE7D" w14:textId="77777777" w:rsidR="005A6914" w:rsidRPr="0029276D" w:rsidRDefault="00383867" w:rsidP="00383867">
      <w:pPr>
        <w:pStyle w:val="H1G"/>
      </w:pPr>
      <w:r w:rsidRPr="0029276D">
        <w:tab/>
      </w:r>
      <w:r w:rsidRPr="0029276D">
        <w:tab/>
      </w:r>
      <w:r w:rsidR="005A6914" w:rsidRPr="0029276D">
        <w:t>Autodécharge</w:t>
      </w:r>
    </w:p>
    <w:p w14:paraId="4C0A1B10" w14:textId="77777777" w:rsidR="005A6914" w:rsidRPr="0029276D" w:rsidRDefault="005A6914" w:rsidP="00383867">
      <w:pPr>
        <w:pStyle w:val="SingleTxtG"/>
      </w:pPr>
      <w:r w:rsidRPr="0029276D">
        <w:t>12.</w:t>
      </w:r>
      <w:r w:rsidRPr="0029276D">
        <w:tab/>
        <w:t>Le taux d’autodécharge des accumulateurs et batteries au lithium-ion chargés à 30 % à une température ambiante de 25 ℃ ne dépasse généralement pas 2 % par mois (des conclusions similaires figurent dans le document DGP-WG/15-IP/1 publié par l’OACI en</w:t>
      </w:r>
      <w:r w:rsidR="00F51B17" w:rsidRPr="0029276D">
        <w:t xml:space="preserve"> </w:t>
      </w:r>
      <w:r w:rsidRPr="0029276D">
        <w:t xml:space="preserve">2015). Le taux d’autodécharge est susceptible d’augmenter dans des conditions ambiantes difficiles, mais sans dépasser 3 % par mois, même à 45 ℃. Par conséquent, les accumulateurs et batteries au lithium-ion chargés à 30 % peuvent être transportés et stockés pendant une durée allant jusqu’à </w:t>
      </w:r>
      <w:r w:rsidR="00B46927" w:rsidRPr="0029276D">
        <w:t xml:space="preserve">dix </w:t>
      </w:r>
      <w:r w:rsidRPr="0029276D">
        <w:t xml:space="preserve">mois, même dans des conditions ambiantes extrêmes. Par ailleurs, le temps de transport de ces systèmes est généralement inférieur à </w:t>
      </w:r>
      <w:r w:rsidR="00B46927" w:rsidRPr="0029276D">
        <w:t xml:space="preserve">trois </w:t>
      </w:r>
      <w:r w:rsidRPr="0029276D">
        <w:t>mois.</w:t>
      </w:r>
    </w:p>
    <w:p w14:paraId="3ABD03B6" w14:textId="77777777" w:rsidR="005A6914" w:rsidRPr="0029276D" w:rsidRDefault="005A6914" w:rsidP="00383867">
      <w:pPr>
        <w:pStyle w:val="SingleTxtG"/>
      </w:pPr>
      <w:r w:rsidRPr="0029276D">
        <w:t>13.</w:t>
      </w:r>
      <w:r w:rsidRPr="0029276D">
        <w:tab/>
        <w:t>L’analyse des données fournies par les fabricants, intégrateurs et distributeurs chinois d’accumulateurs et batteries au lithium-ion a permis d’établir de manière détaillée la perte de charge à tous les stades (voir annexe</w:t>
      </w:r>
      <w:r w:rsidR="00F51B17" w:rsidRPr="0029276D">
        <w:t xml:space="preserve"> </w:t>
      </w:r>
      <w:r w:rsidRPr="0029276D">
        <w:t>III).</w:t>
      </w:r>
    </w:p>
    <w:p w14:paraId="0044413A" w14:textId="77777777" w:rsidR="005A6914" w:rsidRPr="0029276D" w:rsidRDefault="005A6914" w:rsidP="00383867">
      <w:pPr>
        <w:pStyle w:val="SingleTxtG"/>
      </w:pPr>
      <w:r w:rsidRPr="0029276D">
        <w:t>14.</w:t>
      </w:r>
      <w:r w:rsidRPr="0029276D">
        <w:tab/>
        <w:t>Selon les statistiques préliminaires des fabricants chinois d’accumulateurs et batteries au lithium-ion, les accumulateurs au lithium-ion de plus de 500 g et les batteries au lithium-ion de plus de 12 kg sont généralement exportés chargés à 30 %, qu’il s’agisse de transport maritime, aérien ou routier.</w:t>
      </w:r>
    </w:p>
    <w:p w14:paraId="5586F4F5" w14:textId="77777777" w:rsidR="005A6914" w:rsidRPr="0029276D" w:rsidRDefault="005A6914" w:rsidP="00383867">
      <w:pPr>
        <w:pStyle w:val="HChG"/>
      </w:pPr>
      <w:r w:rsidRPr="0029276D">
        <w:tab/>
      </w:r>
      <w:r w:rsidRPr="0029276D">
        <w:tab/>
        <w:t>Conclusion</w:t>
      </w:r>
    </w:p>
    <w:p w14:paraId="35703F43" w14:textId="77777777" w:rsidR="005A6914" w:rsidRPr="0029276D" w:rsidRDefault="005A6914" w:rsidP="00383867">
      <w:pPr>
        <w:pStyle w:val="SingleTxtG"/>
      </w:pPr>
      <w:r w:rsidRPr="0029276D">
        <w:t>15.</w:t>
      </w:r>
      <w:r w:rsidRPr="0029276D">
        <w:tab/>
        <w:t>L’analyse des matériaux et les essais effectués montrent que la sûreté des accumulateurs et batteries au lithium-ion dépend étroitement de leur niveau de charge. Plus le niveau de charge est élevé, plus la stabilité à la chaleur des accumulateurs et batteries au lithium-ion diminue, et plus ils présentent de risques.</w:t>
      </w:r>
    </w:p>
    <w:p w14:paraId="2E37B08D" w14:textId="77777777" w:rsidR="005A6914" w:rsidRPr="0029276D" w:rsidRDefault="005A6914" w:rsidP="005A6914">
      <w:pPr>
        <w:pStyle w:val="SingleTxtG"/>
        <w:kinsoku/>
        <w:overflowPunct/>
        <w:autoSpaceDE/>
        <w:autoSpaceDN/>
        <w:adjustRightInd/>
        <w:snapToGrid/>
      </w:pPr>
      <w:r w:rsidRPr="0029276D">
        <w:lastRenderedPageBreak/>
        <w:t>16.</w:t>
      </w:r>
      <w:r w:rsidRPr="0029276D">
        <w:tab/>
        <w:t>L’analyse des matériaux et les essais effectués montrent que la stabilité à la chaleur et la sûreté des accumulateurs et batteries au lithium-ion sont satisfaisantes à 30 % de charge.</w:t>
      </w:r>
    </w:p>
    <w:p w14:paraId="297CE871" w14:textId="77777777" w:rsidR="005A6914" w:rsidRPr="0029276D" w:rsidRDefault="005A6914" w:rsidP="00383867">
      <w:pPr>
        <w:pStyle w:val="HChG"/>
      </w:pPr>
      <w:r w:rsidRPr="0029276D">
        <w:tab/>
      </w:r>
      <w:r w:rsidRPr="0029276D">
        <w:tab/>
        <w:t>Proposition</w:t>
      </w:r>
    </w:p>
    <w:p w14:paraId="37EDFB03" w14:textId="77777777" w:rsidR="005A6914" w:rsidRPr="0029276D" w:rsidRDefault="005A6914" w:rsidP="008F306A">
      <w:pPr>
        <w:pStyle w:val="SingleTxtG"/>
        <w:keepNext/>
      </w:pPr>
      <w:r w:rsidRPr="0029276D">
        <w:t>17.</w:t>
      </w:r>
      <w:r w:rsidRPr="0029276D">
        <w:tab/>
        <w:t>Proposition 1</w:t>
      </w:r>
      <w:r w:rsidR="00F51B17" w:rsidRPr="0029276D">
        <w:t> :</w:t>
      </w:r>
      <w:r w:rsidRPr="0029276D">
        <w:t xml:space="preserve"> Ajouter une disposition spéciale pour le No</w:t>
      </w:r>
      <w:r w:rsidR="00F51B17" w:rsidRPr="0029276D">
        <w:t> </w:t>
      </w:r>
      <w:r w:rsidRPr="0029276D">
        <w:t>ONU</w:t>
      </w:r>
      <w:r w:rsidR="00F51B17" w:rsidRPr="0029276D">
        <w:t xml:space="preserve"> </w:t>
      </w:r>
      <w:r w:rsidRPr="0029276D">
        <w:t>3480 dans le chapitre 3.2 du Règlement type pour le transport des marchandises dangereuses</w:t>
      </w:r>
      <w:r w:rsidR="00F51B17" w:rsidRPr="0029276D">
        <w:t> :</w:t>
      </w:r>
    </w:p>
    <w:p w14:paraId="3FC37243" w14:textId="77777777" w:rsidR="005A6914" w:rsidRPr="0029276D" w:rsidRDefault="005A6914" w:rsidP="00383867">
      <w:pPr>
        <w:pStyle w:val="SingleTxtG"/>
        <w:ind w:left="1701"/>
      </w:pPr>
      <w:r w:rsidRPr="0029276D">
        <w:t>SP xxx.</w:t>
      </w:r>
    </w:p>
    <w:p w14:paraId="48035BD1" w14:textId="77777777" w:rsidR="005A6914" w:rsidRPr="0029276D" w:rsidRDefault="005A6914" w:rsidP="008F306A">
      <w:pPr>
        <w:pStyle w:val="SingleTxtG"/>
        <w:keepNext/>
      </w:pPr>
      <w:r w:rsidRPr="0029276D">
        <w:t>18.</w:t>
      </w:r>
      <w:r w:rsidRPr="0029276D">
        <w:tab/>
        <w:t>Proposition 2</w:t>
      </w:r>
      <w:r w:rsidR="00F51B17" w:rsidRPr="0029276D">
        <w:t> :</w:t>
      </w:r>
      <w:r w:rsidRPr="0029276D">
        <w:t xml:space="preserve"> Ajouter une disposition spéciale dans le chapitre 3.3 du Règlement type pour le transport des marchandises dangereuses</w:t>
      </w:r>
      <w:r w:rsidR="00F51B17" w:rsidRPr="0029276D">
        <w:t> :</w:t>
      </w:r>
    </w:p>
    <w:p w14:paraId="43E634D8" w14:textId="77777777" w:rsidR="005A6914" w:rsidRPr="0029276D" w:rsidRDefault="005A6914" w:rsidP="00383867">
      <w:pPr>
        <w:pStyle w:val="SingleTxtG"/>
        <w:ind w:left="1701"/>
      </w:pPr>
      <w:r w:rsidRPr="0029276D">
        <w:t>xxx</w:t>
      </w:r>
      <w:r w:rsidR="00F51B17" w:rsidRPr="0029276D">
        <w:tab/>
      </w:r>
      <w:r w:rsidRPr="0029276D">
        <w:t>Le niveau de charge des accumulateurs et batteries au lithium-ion inutilisés pendant le transport ne doit pas dépasser 30 % de leur capacité nominale lorsqu’ils satisfont aux conditions suivantes.</w:t>
      </w:r>
    </w:p>
    <w:p w14:paraId="71862D17" w14:textId="77777777" w:rsidR="005A6914" w:rsidRPr="0029276D" w:rsidRDefault="005A6914" w:rsidP="00383867">
      <w:pPr>
        <w:pStyle w:val="SingleTxtG"/>
        <w:ind w:left="1701"/>
      </w:pPr>
      <w:r w:rsidRPr="0029276D">
        <w:t>a)</w:t>
      </w:r>
      <w:r w:rsidRPr="0029276D">
        <w:tab/>
        <w:t>Accumulateur de grande taille, de masse totale supérieure à 500 g</w:t>
      </w:r>
      <w:r w:rsidR="00F51B17" w:rsidRPr="0029276D">
        <w:t> ;</w:t>
      </w:r>
    </w:p>
    <w:p w14:paraId="437CB767" w14:textId="77777777" w:rsidR="005A6914" w:rsidRPr="0029276D" w:rsidRDefault="005A6914" w:rsidP="00383867">
      <w:pPr>
        <w:pStyle w:val="SingleTxtG"/>
        <w:ind w:left="1701"/>
      </w:pPr>
      <w:r w:rsidRPr="0029276D">
        <w:t>b)</w:t>
      </w:r>
      <w:r w:rsidRPr="0029276D">
        <w:tab/>
        <w:t>Batterie au lithium-ion de grande taille, de masse totale supérieure à 12 kg</w:t>
      </w:r>
      <w:r w:rsidR="008F306A" w:rsidRPr="0029276D">
        <w:t xml:space="preserve"> </w:t>
      </w:r>
      <w:r w:rsidRPr="0029276D">
        <w:t>ou batterie comprenant un accumulateur au lithium-ion de grande taille, de masse supérieure à 500 g.</w:t>
      </w:r>
    </w:p>
    <w:p w14:paraId="2294C190" w14:textId="77777777" w:rsidR="005A6914" w:rsidRPr="0029276D" w:rsidRDefault="005A6914" w:rsidP="008F306A">
      <w:pPr>
        <w:pStyle w:val="SingleTxtG"/>
        <w:keepNext/>
      </w:pPr>
      <w:r w:rsidRPr="0029276D">
        <w:t>19.</w:t>
      </w:r>
      <w:r w:rsidRPr="0029276D">
        <w:tab/>
        <w:t>Proposition 3</w:t>
      </w:r>
      <w:r w:rsidR="00F51B17" w:rsidRPr="0029276D">
        <w:t> :</w:t>
      </w:r>
      <w:r w:rsidRPr="0029276D">
        <w:t xml:space="preserve"> Ajouter la définition du niveau de charge dans la section</w:t>
      </w:r>
      <w:r w:rsidR="00F51B17" w:rsidRPr="0029276D">
        <w:t xml:space="preserve"> </w:t>
      </w:r>
      <w:r w:rsidRPr="0029276D">
        <w:t>38.3.2.3 du Manuel d’épreuves et de critères comme suit</w:t>
      </w:r>
      <w:r w:rsidR="00F51B17" w:rsidRPr="0029276D">
        <w:t> :</w:t>
      </w:r>
    </w:p>
    <w:p w14:paraId="3FD26E4E" w14:textId="77777777" w:rsidR="005A6914" w:rsidRPr="0029276D" w:rsidRDefault="005A6914" w:rsidP="00E92968">
      <w:pPr>
        <w:pStyle w:val="SingleTxtG"/>
        <w:ind w:left="1701"/>
        <w:rPr>
          <w:b/>
          <w:bCs/>
        </w:rPr>
      </w:pPr>
      <w:r w:rsidRPr="0029276D">
        <w:rPr>
          <w:b/>
          <w:bCs/>
          <w:i/>
          <w:iCs/>
        </w:rPr>
        <w:t>Niveau de charge</w:t>
      </w:r>
      <w:r w:rsidR="00F51B17" w:rsidRPr="0029276D">
        <w:rPr>
          <w:b/>
          <w:bCs/>
          <w:i/>
          <w:iCs/>
        </w:rPr>
        <w:t> </w:t>
      </w:r>
      <w:r w:rsidR="00F51B17" w:rsidRPr="0029276D">
        <w:rPr>
          <w:b/>
          <w:bCs/>
        </w:rPr>
        <w:t>:</w:t>
      </w:r>
    </w:p>
    <w:p w14:paraId="06DE7AA2" w14:textId="77777777" w:rsidR="00D515E3" w:rsidRPr="0029276D" w:rsidRDefault="005A6914" w:rsidP="005A6914">
      <w:pPr>
        <w:pStyle w:val="SingleTxtG"/>
        <w:ind w:left="1701"/>
      </w:pPr>
      <w:r w:rsidRPr="0029276D">
        <w:t>Capacité disponible dans un accumulateur ou une batterie, habituellement exprimée en pourcentage de la capacité nominale de l’accumulateur ou de la batterie (voir ST/SG/AC.10/C.3/2004/96 et ISO 6469-1</w:t>
      </w:r>
      <w:r w:rsidR="00F51B17" w:rsidRPr="0029276D">
        <w:t>:</w:t>
      </w:r>
      <w:r w:rsidRPr="0029276D">
        <w:t>2019).</w:t>
      </w:r>
      <w:bookmarkEnd w:id="1"/>
    </w:p>
    <w:p w14:paraId="20135998" w14:textId="77777777" w:rsidR="00F51B17" w:rsidRPr="0029276D" w:rsidRDefault="00F51B17" w:rsidP="005A6914">
      <w:pPr>
        <w:pStyle w:val="SingleTxtG"/>
        <w:ind w:left="1701"/>
      </w:pPr>
    </w:p>
    <w:p w14:paraId="2160CD4D" w14:textId="77777777" w:rsidR="00190EA6" w:rsidRPr="0029276D" w:rsidRDefault="00190EA6" w:rsidP="005A6914">
      <w:pPr>
        <w:pStyle w:val="SingleTxtG"/>
        <w:ind w:left="1701"/>
        <w:sectPr w:rsidR="00190EA6" w:rsidRPr="0029276D" w:rsidSect="00D515E3">
          <w:headerReference w:type="even" r:id="rId11"/>
          <w:headerReference w:type="default" r:id="rId12"/>
          <w:footerReference w:type="even" r:id="rId13"/>
          <w:footerReference w:type="default" r:id="rId14"/>
          <w:footerReference w:type="first" r:id="rId15"/>
          <w:endnotePr>
            <w:numFmt w:val="decimal"/>
          </w:endnotePr>
          <w:pgSz w:w="11906" w:h="16838" w:code="9"/>
          <w:pgMar w:top="1417" w:right="1134" w:bottom="1134" w:left="1134" w:header="850" w:footer="567" w:gutter="0"/>
          <w:cols w:space="708"/>
          <w:titlePg/>
          <w:docGrid w:linePitch="360"/>
        </w:sectPr>
      </w:pPr>
    </w:p>
    <w:p w14:paraId="19B0B57A" w14:textId="77777777" w:rsidR="00190EA6" w:rsidRPr="0029276D" w:rsidRDefault="00190EA6" w:rsidP="00383867">
      <w:pPr>
        <w:pStyle w:val="HChG"/>
      </w:pPr>
      <w:r w:rsidRPr="0029276D">
        <w:lastRenderedPageBreak/>
        <w:t>Annexe I</w:t>
      </w:r>
    </w:p>
    <w:p w14:paraId="2B2ECD22" w14:textId="77777777" w:rsidR="00190EA6" w:rsidRPr="0029276D" w:rsidRDefault="00190EA6" w:rsidP="00383867">
      <w:pPr>
        <w:pStyle w:val="HChG"/>
        <w:rPr>
          <w:sz w:val="24"/>
        </w:rPr>
      </w:pPr>
      <w:r w:rsidRPr="0029276D">
        <w:tab/>
      </w:r>
      <w:r w:rsidRPr="0029276D">
        <w:tab/>
        <w:t>Résultats des essais d’emballement thermique par chauffage d’accumulateurs NCM à différents niveaux de charge</w:t>
      </w:r>
    </w:p>
    <w:tbl>
      <w:tblPr>
        <w:tblW w:w="1377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5"/>
        <w:gridCol w:w="1071"/>
        <w:gridCol w:w="2408"/>
        <w:gridCol w:w="2541"/>
        <w:gridCol w:w="2408"/>
        <w:gridCol w:w="3091"/>
        <w:gridCol w:w="1724"/>
      </w:tblGrid>
      <w:tr w:rsidR="0029276D" w:rsidRPr="0029276D" w14:paraId="0594B30B" w14:textId="77777777" w:rsidTr="008F306A">
        <w:trPr>
          <w:trHeight w:val="793"/>
          <w:tblHeader/>
        </w:trPr>
        <w:tc>
          <w:tcPr>
            <w:tcW w:w="535" w:type="dxa"/>
            <w:shd w:val="clear" w:color="auto" w:fill="auto"/>
            <w:vAlign w:val="center"/>
          </w:tcPr>
          <w:p w14:paraId="3D805397"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N</w:t>
            </w:r>
            <w:r w:rsidRPr="0029276D">
              <w:rPr>
                <w:b w:val="0"/>
                <w:color w:val="auto"/>
                <w:vertAlign w:val="superscript"/>
                <w:lang w:val="fr-CH"/>
              </w:rPr>
              <w:t>o</w:t>
            </w:r>
          </w:p>
        </w:tc>
        <w:tc>
          <w:tcPr>
            <w:tcW w:w="1071" w:type="dxa"/>
            <w:shd w:val="clear" w:color="auto" w:fill="auto"/>
            <w:vAlign w:val="center"/>
          </w:tcPr>
          <w:p w14:paraId="7F139135"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 xml:space="preserve">Niveau </w:t>
            </w:r>
            <w:r w:rsidR="00734AC1" w:rsidRPr="0029276D">
              <w:rPr>
                <w:b w:val="0"/>
                <w:color w:val="auto"/>
                <w:lang w:val="fr-CH"/>
              </w:rPr>
              <w:br/>
            </w:r>
            <w:r w:rsidRPr="0029276D">
              <w:rPr>
                <w:b w:val="0"/>
                <w:color w:val="auto"/>
                <w:lang w:val="fr-CH"/>
              </w:rPr>
              <w:t xml:space="preserve">de charge </w:t>
            </w:r>
            <w:r w:rsidR="00734AC1" w:rsidRPr="0029276D">
              <w:rPr>
                <w:b w:val="0"/>
                <w:color w:val="auto"/>
                <w:lang w:val="fr-CH"/>
              </w:rPr>
              <w:br/>
            </w:r>
            <w:r w:rsidRPr="0029276D">
              <w:rPr>
                <w:b w:val="0"/>
                <w:color w:val="auto"/>
                <w:lang w:val="fr-CH"/>
              </w:rPr>
              <w:t>(% de la capacité nominale)</w:t>
            </w:r>
          </w:p>
        </w:tc>
        <w:tc>
          <w:tcPr>
            <w:tcW w:w="2408" w:type="dxa"/>
            <w:shd w:val="clear" w:color="auto" w:fill="auto"/>
            <w:vAlign w:val="center"/>
          </w:tcPr>
          <w:p w14:paraId="2CB697CA"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État initial</w:t>
            </w:r>
          </w:p>
        </w:tc>
        <w:tc>
          <w:tcPr>
            <w:tcW w:w="2541" w:type="dxa"/>
            <w:shd w:val="clear" w:color="auto" w:fill="auto"/>
            <w:vAlign w:val="center"/>
          </w:tcPr>
          <w:p w14:paraId="73E9EBD5"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Emballement thermique</w:t>
            </w:r>
          </w:p>
        </w:tc>
        <w:tc>
          <w:tcPr>
            <w:tcW w:w="2408" w:type="dxa"/>
            <w:shd w:val="clear" w:color="auto" w:fill="auto"/>
            <w:vAlign w:val="center"/>
          </w:tcPr>
          <w:p w14:paraId="70094735"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État final</w:t>
            </w:r>
          </w:p>
        </w:tc>
        <w:tc>
          <w:tcPr>
            <w:tcW w:w="3091" w:type="dxa"/>
            <w:shd w:val="clear" w:color="auto" w:fill="auto"/>
            <w:vAlign w:val="center"/>
          </w:tcPr>
          <w:p w14:paraId="2EFDADC6"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Courbes de tension et de température</w:t>
            </w:r>
          </w:p>
        </w:tc>
        <w:tc>
          <w:tcPr>
            <w:tcW w:w="1724" w:type="dxa"/>
            <w:shd w:val="clear" w:color="auto" w:fill="auto"/>
            <w:vAlign w:val="center"/>
          </w:tcPr>
          <w:p w14:paraId="55003F99"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Résultat de l’essai</w:t>
            </w:r>
          </w:p>
        </w:tc>
      </w:tr>
      <w:tr w:rsidR="0029276D" w:rsidRPr="0029276D" w14:paraId="259C4D19" w14:textId="77777777" w:rsidTr="008F306A">
        <w:trPr>
          <w:trHeight w:val="2110"/>
        </w:trPr>
        <w:tc>
          <w:tcPr>
            <w:tcW w:w="535" w:type="dxa"/>
            <w:shd w:val="clear" w:color="auto" w:fill="auto"/>
            <w:vAlign w:val="center"/>
          </w:tcPr>
          <w:p w14:paraId="34A55409"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1</w:t>
            </w:r>
          </w:p>
        </w:tc>
        <w:tc>
          <w:tcPr>
            <w:tcW w:w="1071" w:type="dxa"/>
            <w:shd w:val="clear" w:color="auto" w:fill="auto"/>
            <w:vAlign w:val="center"/>
          </w:tcPr>
          <w:p w14:paraId="4595A919"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10</w:t>
            </w:r>
          </w:p>
        </w:tc>
        <w:tc>
          <w:tcPr>
            <w:tcW w:w="2408" w:type="dxa"/>
            <w:shd w:val="clear" w:color="auto" w:fill="auto"/>
            <w:vAlign w:val="center"/>
          </w:tcPr>
          <w:p w14:paraId="1984F708"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75546BBE" wp14:editId="42B6608B">
                  <wp:extent cx="1563370" cy="1080135"/>
                  <wp:effectExtent l="0" t="0" r="0" b="57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3370" cy="1080135"/>
                          </a:xfrm>
                          <a:prstGeom prst="rect">
                            <a:avLst/>
                          </a:prstGeom>
                          <a:noFill/>
                          <a:ln>
                            <a:noFill/>
                          </a:ln>
                        </pic:spPr>
                      </pic:pic>
                    </a:graphicData>
                  </a:graphic>
                </wp:inline>
              </w:drawing>
            </w:r>
          </w:p>
        </w:tc>
        <w:tc>
          <w:tcPr>
            <w:tcW w:w="2541" w:type="dxa"/>
            <w:shd w:val="clear" w:color="auto" w:fill="auto"/>
            <w:vAlign w:val="center"/>
          </w:tcPr>
          <w:p w14:paraId="1D05A44F"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69A28C89" wp14:editId="1BF64E05">
                  <wp:extent cx="1620520" cy="1080135"/>
                  <wp:effectExtent l="0" t="0" r="0" b="57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13651" t="13921" r="24919" b="13281"/>
                          <a:stretch>
                            <a:fillRect/>
                          </a:stretch>
                        </pic:blipFill>
                        <pic:spPr bwMode="auto">
                          <a:xfrm>
                            <a:off x="0" y="0"/>
                            <a:ext cx="1620520" cy="1080135"/>
                          </a:xfrm>
                          <a:prstGeom prst="rect">
                            <a:avLst/>
                          </a:prstGeom>
                          <a:noFill/>
                          <a:ln>
                            <a:noFill/>
                          </a:ln>
                        </pic:spPr>
                      </pic:pic>
                    </a:graphicData>
                  </a:graphic>
                </wp:inline>
              </w:drawing>
            </w:r>
          </w:p>
        </w:tc>
        <w:tc>
          <w:tcPr>
            <w:tcW w:w="2408" w:type="dxa"/>
            <w:shd w:val="clear" w:color="auto" w:fill="auto"/>
            <w:vAlign w:val="center"/>
          </w:tcPr>
          <w:p w14:paraId="7C7D193A"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531BDF05" wp14:editId="6F47AE69">
                  <wp:extent cx="1512570" cy="1080135"/>
                  <wp:effectExtent l="0" t="0" r="0"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2570" cy="1080135"/>
                          </a:xfrm>
                          <a:prstGeom prst="rect">
                            <a:avLst/>
                          </a:prstGeom>
                          <a:noFill/>
                          <a:ln>
                            <a:noFill/>
                          </a:ln>
                        </pic:spPr>
                      </pic:pic>
                    </a:graphicData>
                  </a:graphic>
                </wp:inline>
              </w:drawing>
            </w:r>
          </w:p>
        </w:tc>
        <w:tc>
          <w:tcPr>
            <w:tcW w:w="3091" w:type="dxa"/>
            <w:shd w:val="clear" w:color="auto" w:fill="auto"/>
            <w:vAlign w:val="center"/>
          </w:tcPr>
          <w:p w14:paraId="663DBE8E"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2BFAEC0E" wp14:editId="543E9CF1">
                  <wp:extent cx="1889760" cy="1229995"/>
                  <wp:effectExtent l="0" t="0" r="0" b="825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760" cy="1229995"/>
                          </a:xfrm>
                          <a:prstGeom prst="rect">
                            <a:avLst/>
                          </a:prstGeom>
                          <a:noFill/>
                          <a:ln>
                            <a:noFill/>
                          </a:ln>
                        </pic:spPr>
                      </pic:pic>
                    </a:graphicData>
                  </a:graphic>
                </wp:inline>
              </w:drawing>
            </w:r>
          </w:p>
        </w:tc>
        <w:tc>
          <w:tcPr>
            <w:tcW w:w="1724" w:type="dxa"/>
            <w:shd w:val="clear" w:color="auto" w:fill="auto"/>
            <w:vAlign w:val="center"/>
          </w:tcPr>
          <w:p w14:paraId="69C42A6B"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 xml:space="preserve">Dégagement </w:t>
            </w:r>
            <w:r w:rsidR="008F306A" w:rsidRPr="0029276D">
              <w:rPr>
                <w:b w:val="0"/>
                <w:color w:val="auto"/>
                <w:lang w:val="fr-CH"/>
              </w:rPr>
              <w:br/>
            </w:r>
            <w:r w:rsidRPr="0029276D">
              <w:rPr>
                <w:b w:val="0"/>
                <w:color w:val="auto"/>
                <w:lang w:val="fr-CH"/>
              </w:rPr>
              <w:t xml:space="preserve">de fumée blanche, </w:t>
            </w:r>
            <w:r w:rsidR="008F306A" w:rsidRPr="0029276D">
              <w:rPr>
                <w:b w:val="0"/>
                <w:color w:val="auto"/>
                <w:lang w:val="fr-CH"/>
              </w:rPr>
              <w:br/>
            </w:r>
            <w:r w:rsidRPr="0029276D">
              <w:rPr>
                <w:b w:val="0"/>
                <w:color w:val="auto"/>
                <w:lang w:val="fr-CH"/>
              </w:rPr>
              <w:t xml:space="preserve">pas d’étincelles </w:t>
            </w:r>
            <w:r w:rsidR="008F306A" w:rsidRPr="0029276D">
              <w:rPr>
                <w:b w:val="0"/>
                <w:color w:val="auto"/>
                <w:lang w:val="fr-CH"/>
              </w:rPr>
              <w:br/>
            </w:r>
            <w:r w:rsidRPr="0029276D">
              <w:rPr>
                <w:b w:val="0"/>
                <w:color w:val="auto"/>
                <w:lang w:val="fr-CH"/>
              </w:rPr>
              <w:t xml:space="preserve">ni de flammes </w:t>
            </w:r>
          </w:p>
        </w:tc>
      </w:tr>
      <w:tr w:rsidR="0029276D" w:rsidRPr="0029276D" w14:paraId="6D153FFD" w14:textId="77777777" w:rsidTr="008F306A">
        <w:trPr>
          <w:trHeight w:val="2098"/>
        </w:trPr>
        <w:tc>
          <w:tcPr>
            <w:tcW w:w="535" w:type="dxa"/>
            <w:shd w:val="clear" w:color="auto" w:fill="auto"/>
            <w:vAlign w:val="center"/>
          </w:tcPr>
          <w:p w14:paraId="78468614"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2</w:t>
            </w:r>
          </w:p>
        </w:tc>
        <w:tc>
          <w:tcPr>
            <w:tcW w:w="1071" w:type="dxa"/>
            <w:shd w:val="clear" w:color="auto" w:fill="auto"/>
            <w:vAlign w:val="center"/>
          </w:tcPr>
          <w:p w14:paraId="4492B0D7"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20</w:t>
            </w:r>
          </w:p>
        </w:tc>
        <w:tc>
          <w:tcPr>
            <w:tcW w:w="2408" w:type="dxa"/>
            <w:shd w:val="clear" w:color="auto" w:fill="auto"/>
            <w:vAlign w:val="center"/>
          </w:tcPr>
          <w:p w14:paraId="4A970072"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0117AAD0" wp14:editId="04009833">
                  <wp:extent cx="1493520" cy="1080135"/>
                  <wp:effectExtent l="0" t="0" r="0" b="57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3520" cy="1080135"/>
                          </a:xfrm>
                          <a:prstGeom prst="rect">
                            <a:avLst/>
                          </a:prstGeom>
                          <a:noFill/>
                          <a:ln>
                            <a:noFill/>
                          </a:ln>
                        </pic:spPr>
                      </pic:pic>
                    </a:graphicData>
                  </a:graphic>
                </wp:inline>
              </w:drawing>
            </w:r>
          </w:p>
        </w:tc>
        <w:tc>
          <w:tcPr>
            <w:tcW w:w="2541" w:type="dxa"/>
            <w:shd w:val="clear" w:color="auto" w:fill="auto"/>
            <w:vAlign w:val="center"/>
          </w:tcPr>
          <w:p w14:paraId="1DF8F52D"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25DB9D91" wp14:editId="75389C1F">
                  <wp:extent cx="1620520" cy="1080135"/>
                  <wp:effectExtent l="0" t="0" r="0"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l="9923" t="12601" r="26283" b="11801"/>
                          <a:stretch>
                            <a:fillRect/>
                          </a:stretch>
                        </pic:blipFill>
                        <pic:spPr bwMode="auto">
                          <a:xfrm>
                            <a:off x="0" y="0"/>
                            <a:ext cx="1620520" cy="1080135"/>
                          </a:xfrm>
                          <a:prstGeom prst="rect">
                            <a:avLst/>
                          </a:prstGeom>
                          <a:noFill/>
                          <a:ln>
                            <a:noFill/>
                          </a:ln>
                        </pic:spPr>
                      </pic:pic>
                    </a:graphicData>
                  </a:graphic>
                </wp:inline>
              </w:drawing>
            </w:r>
          </w:p>
        </w:tc>
        <w:tc>
          <w:tcPr>
            <w:tcW w:w="2408" w:type="dxa"/>
            <w:shd w:val="clear" w:color="auto" w:fill="auto"/>
            <w:vAlign w:val="center"/>
          </w:tcPr>
          <w:p w14:paraId="72E27811"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17CA4704" wp14:editId="461315FB">
                  <wp:extent cx="1510665" cy="1080135"/>
                  <wp:effectExtent l="0" t="0" r="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0665" cy="1080135"/>
                          </a:xfrm>
                          <a:prstGeom prst="rect">
                            <a:avLst/>
                          </a:prstGeom>
                          <a:noFill/>
                          <a:ln>
                            <a:noFill/>
                          </a:ln>
                        </pic:spPr>
                      </pic:pic>
                    </a:graphicData>
                  </a:graphic>
                </wp:inline>
              </w:drawing>
            </w:r>
          </w:p>
        </w:tc>
        <w:tc>
          <w:tcPr>
            <w:tcW w:w="3091" w:type="dxa"/>
            <w:shd w:val="clear" w:color="auto" w:fill="auto"/>
            <w:vAlign w:val="center"/>
          </w:tcPr>
          <w:p w14:paraId="75251145"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653F1A7E" wp14:editId="40E84B96">
                  <wp:extent cx="1889760" cy="122809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9760" cy="1228090"/>
                          </a:xfrm>
                          <a:prstGeom prst="rect">
                            <a:avLst/>
                          </a:prstGeom>
                          <a:noFill/>
                          <a:ln>
                            <a:noFill/>
                          </a:ln>
                        </pic:spPr>
                      </pic:pic>
                    </a:graphicData>
                  </a:graphic>
                </wp:inline>
              </w:drawing>
            </w:r>
          </w:p>
        </w:tc>
        <w:tc>
          <w:tcPr>
            <w:tcW w:w="1724" w:type="dxa"/>
            <w:shd w:val="clear" w:color="auto" w:fill="auto"/>
            <w:vAlign w:val="center"/>
          </w:tcPr>
          <w:p w14:paraId="2A146FE4"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 xml:space="preserve">Dégagement </w:t>
            </w:r>
            <w:r w:rsidR="008F306A" w:rsidRPr="0029276D">
              <w:rPr>
                <w:b w:val="0"/>
                <w:color w:val="auto"/>
                <w:lang w:val="fr-CH"/>
              </w:rPr>
              <w:br/>
            </w:r>
            <w:r w:rsidRPr="0029276D">
              <w:rPr>
                <w:b w:val="0"/>
                <w:color w:val="auto"/>
                <w:lang w:val="fr-CH"/>
              </w:rPr>
              <w:t xml:space="preserve">de fumée blanche, </w:t>
            </w:r>
            <w:r w:rsidR="008F306A" w:rsidRPr="0029276D">
              <w:rPr>
                <w:b w:val="0"/>
                <w:color w:val="auto"/>
                <w:lang w:val="fr-CH"/>
              </w:rPr>
              <w:br/>
            </w:r>
            <w:r w:rsidRPr="0029276D">
              <w:rPr>
                <w:b w:val="0"/>
                <w:color w:val="auto"/>
                <w:lang w:val="fr-CH"/>
              </w:rPr>
              <w:t xml:space="preserve">pas d’étincelles </w:t>
            </w:r>
            <w:r w:rsidR="008F306A" w:rsidRPr="0029276D">
              <w:rPr>
                <w:b w:val="0"/>
                <w:color w:val="auto"/>
                <w:lang w:val="fr-CH"/>
              </w:rPr>
              <w:br/>
            </w:r>
            <w:r w:rsidRPr="0029276D">
              <w:rPr>
                <w:b w:val="0"/>
                <w:color w:val="auto"/>
                <w:lang w:val="fr-CH"/>
              </w:rPr>
              <w:t>ni de flammes</w:t>
            </w:r>
          </w:p>
        </w:tc>
      </w:tr>
      <w:tr w:rsidR="0029276D" w:rsidRPr="0029276D" w14:paraId="1D60072A" w14:textId="77777777" w:rsidTr="008F306A">
        <w:trPr>
          <w:trHeight w:val="2091"/>
        </w:trPr>
        <w:tc>
          <w:tcPr>
            <w:tcW w:w="535" w:type="dxa"/>
            <w:shd w:val="clear" w:color="auto" w:fill="auto"/>
            <w:vAlign w:val="center"/>
          </w:tcPr>
          <w:p w14:paraId="6344B5A8"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3</w:t>
            </w:r>
          </w:p>
        </w:tc>
        <w:tc>
          <w:tcPr>
            <w:tcW w:w="1071" w:type="dxa"/>
            <w:shd w:val="clear" w:color="auto" w:fill="auto"/>
            <w:vAlign w:val="center"/>
          </w:tcPr>
          <w:p w14:paraId="5DF9EBD6"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30</w:t>
            </w:r>
          </w:p>
        </w:tc>
        <w:tc>
          <w:tcPr>
            <w:tcW w:w="2408" w:type="dxa"/>
            <w:shd w:val="clear" w:color="auto" w:fill="auto"/>
            <w:vAlign w:val="center"/>
          </w:tcPr>
          <w:p w14:paraId="57D9499B"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2AA87DFA" wp14:editId="1CF5BA69">
                  <wp:extent cx="1510030" cy="1080135"/>
                  <wp:effectExtent l="0" t="0" r="0" b="57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0030" cy="1080135"/>
                          </a:xfrm>
                          <a:prstGeom prst="rect">
                            <a:avLst/>
                          </a:prstGeom>
                          <a:noFill/>
                          <a:ln>
                            <a:noFill/>
                          </a:ln>
                        </pic:spPr>
                      </pic:pic>
                    </a:graphicData>
                  </a:graphic>
                </wp:inline>
              </w:drawing>
            </w:r>
          </w:p>
        </w:tc>
        <w:tc>
          <w:tcPr>
            <w:tcW w:w="2541" w:type="dxa"/>
            <w:shd w:val="clear" w:color="auto" w:fill="auto"/>
            <w:vAlign w:val="center"/>
          </w:tcPr>
          <w:p w14:paraId="45E9A97B"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19FD18C7" wp14:editId="1DAC3A79">
                  <wp:extent cx="1620520" cy="1080135"/>
                  <wp:effectExtent l="0" t="0" r="0"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l="20074" t="22002" r="27951" b="17799"/>
                          <a:stretch>
                            <a:fillRect/>
                          </a:stretch>
                        </pic:blipFill>
                        <pic:spPr bwMode="auto">
                          <a:xfrm>
                            <a:off x="0" y="0"/>
                            <a:ext cx="1620520" cy="1080135"/>
                          </a:xfrm>
                          <a:prstGeom prst="rect">
                            <a:avLst/>
                          </a:prstGeom>
                          <a:noFill/>
                          <a:ln>
                            <a:noFill/>
                          </a:ln>
                        </pic:spPr>
                      </pic:pic>
                    </a:graphicData>
                  </a:graphic>
                </wp:inline>
              </w:drawing>
            </w:r>
          </w:p>
        </w:tc>
        <w:tc>
          <w:tcPr>
            <w:tcW w:w="2408" w:type="dxa"/>
            <w:shd w:val="clear" w:color="auto" w:fill="auto"/>
            <w:vAlign w:val="center"/>
          </w:tcPr>
          <w:p w14:paraId="3017BC49"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734C05ED" wp14:editId="468C4A5C">
                  <wp:extent cx="1524000" cy="1080135"/>
                  <wp:effectExtent l="0" t="0" r="0" b="5715"/>
                  <wp:docPr id="8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0" cy="1080135"/>
                          </a:xfrm>
                          <a:prstGeom prst="rect">
                            <a:avLst/>
                          </a:prstGeom>
                          <a:noFill/>
                          <a:ln>
                            <a:noFill/>
                          </a:ln>
                        </pic:spPr>
                      </pic:pic>
                    </a:graphicData>
                  </a:graphic>
                </wp:inline>
              </w:drawing>
            </w:r>
          </w:p>
        </w:tc>
        <w:tc>
          <w:tcPr>
            <w:tcW w:w="3091" w:type="dxa"/>
            <w:shd w:val="clear" w:color="auto" w:fill="auto"/>
            <w:vAlign w:val="center"/>
          </w:tcPr>
          <w:p w14:paraId="199F05E1"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0F0D8F9B" wp14:editId="164ADB2B">
                  <wp:extent cx="1889760" cy="1228090"/>
                  <wp:effectExtent l="0" t="0" r="0" b="0"/>
                  <wp:docPr id="8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760" cy="1228090"/>
                          </a:xfrm>
                          <a:prstGeom prst="rect">
                            <a:avLst/>
                          </a:prstGeom>
                          <a:noFill/>
                          <a:ln>
                            <a:noFill/>
                          </a:ln>
                        </pic:spPr>
                      </pic:pic>
                    </a:graphicData>
                  </a:graphic>
                </wp:inline>
              </w:drawing>
            </w:r>
          </w:p>
        </w:tc>
        <w:tc>
          <w:tcPr>
            <w:tcW w:w="1724" w:type="dxa"/>
            <w:shd w:val="clear" w:color="auto" w:fill="auto"/>
            <w:vAlign w:val="center"/>
          </w:tcPr>
          <w:p w14:paraId="04B1358D" w14:textId="77777777" w:rsidR="00190EA6" w:rsidRPr="0029276D" w:rsidRDefault="00190EA6" w:rsidP="00F51B17">
            <w:pPr>
              <w:pStyle w:val="Caption"/>
              <w:spacing w:before="60" w:after="60" w:line="240" w:lineRule="atLeast"/>
              <w:jc w:val="center"/>
              <w:rPr>
                <w:b w:val="0"/>
                <w:color w:val="auto"/>
                <w:lang w:val="fr-CH"/>
              </w:rPr>
            </w:pPr>
            <w:r w:rsidRPr="0029276D">
              <w:rPr>
                <w:b w:val="0"/>
                <w:color w:val="auto"/>
                <w:lang w:val="fr-CH"/>
              </w:rPr>
              <w:t xml:space="preserve">Dégagement </w:t>
            </w:r>
            <w:r w:rsidR="008F306A" w:rsidRPr="0029276D">
              <w:rPr>
                <w:b w:val="0"/>
                <w:color w:val="auto"/>
                <w:lang w:val="fr-CH"/>
              </w:rPr>
              <w:br/>
            </w:r>
            <w:r w:rsidRPr="0029276D">
              <w:rPr>
                <w:b w:val="0"/>
                <w:color w:val="auto"/>
                <w:lang w:val="fr-CH"/>
              </w:rPr>
              <w:t>de fumée blanche, pas</w:t>
            </w:r>
            <w:r w:rsidR="008F306A" w:rsidRPr="0029276D">
              <w:rPr>
                <w:b w:val="0"/>
                <w:color w:val="auto"/>
                <w:lang w:val="fr-CH"/>
              </w:rPr>
              <w:t> </w:t>
            </w:r>
            <w:r w:rsidRPr="0029276D">
              <w:rPr>
                <w:b w:val="0"/>
                <w:color w:val="auto"/>
                <w:lang w:val="fr-CH"/>
              </w:rPr>
              <w:t xml:space="preserve">d’étincelles </w:t>
            </w:r>
            <w:r w:rsidR="008F306A" w:rsidRPr="0029276D">
              <w:rPr>
                <w:b w:val="0"/>
                <w:color w:val="auto"/>
                <w:lang w:val="fr-CH"/>
              </w:rPr>
              <w:br/>
            </w:r>
            <w:r w:rsidRPr="0029276D">
              <w:rPr>
                <w:b w:val="0"/>
                <w:color w:val="auto"/>
                <w:lang w:val="fr-CH"/>
              </w:rPr>
              <w:t>ni de flammes</w:t>
            </w:r>
          </w:p>
        </w:tc>
      </w:tr>
      <w:tr w:rsidR="0029276D" w:rsidRPr="0029276D" w14:paraId="48E0DBD4" w14:textId="77777777" w:rsidTr="008F306A">
        <w:trPr>
          <w:trHeight w:val="2120"/>
        </w:trPr>
        <w:tc>
          <w:tcPr>
            <w:tcW w:w="535" w:type="dxa"/>
            <w:shd w:val="clear" w:color="auto" w:fill="auto"/>
            <w:vAlign w:val="center"/>
          </w:tcPr>
          <w:p w14:paraId="07FF9ECB"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lastRenderedPageBreak/>
              <w:t>4</w:t>
            </w:r>
          </w:p>
        </w:tc>
        <w:tc>
          <w:tcPr>
            <w:tcW w:w="1071" w:type="dxa"/>
            <w:shd w:val="clear" w:color="auto" w:fill="auto"/>
            <w:vAlign w:val="center"/>
          </w:tcPr>
          <w:p w14:paraId="747B7EA0"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40</w:t>
            </w:r>
          </w:p>
        </w:tc>
        <w:tc>
          <w:tcPr>
            <w:tcW w:w="2408" w:type="dxa"/>
            <w:shd w:val="clear" w:color="auto" w:fill="auto"/>
            <w:vAlign w:val="center"/>
          </w:tcPr>
          <w:p w14:paraId="40B5B8C3"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50C6BA64" wp14:editId="72E969E3">
                  <wp:extent cx="1539240" cy="1080135"/>
                  <wp:effectExtent l="0" t="0" r="3810" b="5715"/>
                  <wp:docPr id="8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9240" cy="1080135"/>
                          </a:xfrm>
                          <a:prstGeom prst="rect">
                            <a:avLst/>
                          </a:prstGeom>
                          <a:noFill/>
                          <a:ln>
                            <a:noFill/>
                          </a:ln>
                        </pic:spPr>
                      </pic:pic>
                    </a:graphicData>
                  </a:graphic>
                </wp:inline>
              </w:drawing>
            </w:r>
          </w:p>
        </w:tc>
        <w:tc>
          <w:tcPr>
            <w:tcW w:w="2541" w:type="dxa"/>
            <w:shd w:val="clear" w:color="auto" w:fill="auto"/>
            <w:vAlign w:val="center"/>
          </w:tcPr>
          <w:p w14:paraId="167DD567"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7F902851" wp14:editId="58679932">
                  <wp:extent cx="1619885" cy="1080135"/>
                  <wp:effectExtent l="0" t="0" r="0" b="5715"/>
                  <wp:docPr id="8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l="15352" t="15898" r="27162" b="13602"/>
                          <a:stretch>
                            <a:fillRect/>
                          </a:stretch>
                        </pic:blipFill>
                        <pic:spPr bwMode="auto">
                          <a:xfrm>
                            <a:off x="0" y="0"/>
                            <a:ext cx="1619885" cy="1080135"/>
                          </a:xfrm>
                          <a:prstGeom prst="rect">
                            <a:avLst/>
                          </a:prstGeom>
                          <a:noFill/>
                          <a:ln>
                            <a:noFill/>
                          </a:ln>
                        </pic:spPr>
                      </pic:pic>
                    </a:graphicData>
                  </a:graphic>
                </wp:inline>
              </w:drawing>
            </w:r>
          </w:p>
        </w:tc>
        <w:tc>
          <w:tcPr>
            <w:tcW w:w="2408" w:type="dxa"/>
            <w:shd w:val="clear" w:color="auto" w:fill="auto"/>
            <w:vAlign w:val="center"/>
          </w:tcPr>
          <w:p w14:paraId="74708B9C"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196CF10D" wp14:editId="03684A0E">
                  <wp:extent cx="1561465" cy="1080135"/>
                  <wp:effectExtent l="0" t="0" r="635" b="5715"/>
                  <wp:docPr id="8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1465" cy="1080135"/>
                          </a:xfrm>
                          <a:prstGeom prst="rect">
                            <a:avLst/>
                          </a:prstGeom>
                          <a:noFill/>
                          <a:ln>
                            <a:noFill/>
                          </a:ln>
                        </pic:spPr>
                      </pic:pic>
                    </a:graphicData>
                  </a:graphic>
                </wp:inline>
              </w:drawing>
            </w:r>
          </w:p>
        </w:tc>
        <w:tc>
          <w:tcPr>
            <w:tcW w:w="3091" w:type="dxa"/>
            <w:shd w:val="clear" w:color="auto" w:fill="auto"/>
            <w:vAlign w:val="center"/>
          </w:tcPr>
          <w:p w14:paraId="1CA8CC8C"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52EDB5C1" wp14:editId="04628F93">
                  <wp:extent cx="1889760" cy="1228725"/>
                  <wp:effectExtent l="0" t="0" r="0" b="9525"/>
                  <wp:docPr id="8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9760" cy="1228725"/>
                          </a:xfrm>
                          <a:prstGeom prst="rect">
                            <a:avLst/>
                          </a:prstGeom>
                          <a:noFill/>
                          <a:ln>
                            <a:noFill/>
                          </a:ln>
                        </pic:spPr>
                      </pic:pic>
                    </a:graphicData>
                  </a:graphic>
                </wp:inline>
              </w:drawing>
            </w:r>
          </w:p>
        </w:tc>
        <w:tc>
          <w:tcPr>
            <w:tcW w:w="1724" w:type="dxa"/>
            <w:shd w:val="clear" w:color="auto" w:fill="auto"/>
            <w:vAlign w:val="center"/>
          </w:tcPr>
          <w:p w14:paraId="12BBC77E"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 xml:space="preserve">Dégagement </w:t>
            </w:r>
            <w:r w:rsidR="008F306A" w:rsidRPr="0029276D">
              <w:rPr>
                <w:b w:val="0"/>
                <w:color w:val="auto"/>
                <w:lang w:val="fr-CH"/>
              </w:rPr>
              <w:br/>
            </w:r>
            <w:r w:rsidRPr="0029276D">
              <w:rPr>
                <w:b w:val="0"/>
                <w:color w:val="auto"/>
                <w:lang w:val="fr-CH"/>
              </w:rPr>
              <w:t xml:space="preserve">important de fumée blanche mélangée </w:t>
            </w:r>
            <w:r w:rsidR="008F306A" w:rsidRPr="0029276D">
              <w:rPr>
                <w:b w:val="0"/>
                <w:color w:val="auto"/>
                <w:lang w:val="fr-CH"/>
              </w:rPr>
              <w:br/>
            </w:r>
            <w:r w:rsidRPr="0029276D">
              <w:rPr>
                <w:b w:val="0"/>
                <w:color w:val="auto"/>
                <w:lang w:val="fr-CH"/>
              </w:rPr>
              <w:t>à de la fumée noire</w:t>
            </w:r>
          </w:p>
        </w:tc>
      </w:tr>
      <w:tr w:rsidR="0029276D" w:rsidRPr="0029276D" w14:paraId="2A515C6B" w14:textId="77777777" w:rsidTr="008F306A">
        <w:trPr>
          <w:trHeight w:val="2090"/>
        </w:trPr>
        <w:tc>
          <w:tcPr>
            <w:tcW w:w="535" w:type="dxa"/>
            <w:shd w:val="clear" w:color="auto" w:fill="auto"/>
            <w:vAlign w:val="center"/>
          </w:tcPr>
          <w:p w14:paraId="755E308D"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5</w:t>
            </w:r>
          </w:p>
        </w:tc>
        <w:tc>
          <w:tcPr>
            <w:tcW w:w="1071" w:type="dxa"/>
            <w:shd w:val="clear" w:color="auto" w:fill="auto"/>
            <w:vAlign w:val="center"/>
          </w:tcPr>
          <w:p w14:paraId="39797793"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50</w:t>
            </w:r>
          </w:p>
        </w:tc>
        <w:tc>
          <w:tcPr>
            <w:tcW w:w="2408" w:type="dxa"/>
            <w:shd w:val="clear" w:color="auto" w:fill="auto"/>
            <w:vAlign w:val="center"/>
          </w:tcPr>
          <w:p w14:paraId="03ED210A"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542AA170" wp14:editId="028037E2">
                  <wp:extent cx="1577975" cy="1080135"/>
                  <wp:effectExtent l="0" t="0" r="3175"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7975" cy="1080135"/>
                          </a:xfrm>
                          <a:prstGeom prst="rect">
                            <a:avLst/>
                          </a:prstGeom>
                          <a:noFill/>
                          <a:ln>
                            <a:noFill/>
                          </a:ln>
                        </pic:spPr>
                      </pic:pic>
                    </a:graphicData>
                  </a:graphic>
                </wp:inline>
              </w:drawing>
            </w:r>
          </w:p>
        </w:tc>
        <w:tc>
          <w:tcPr>
            <w:tcW w:w="2541" w:type="dxa"/>
            <w:shd w:val="clear" w:color="auto" w:fill="auto"/>
            <w:vAlign w:val="center"/>
          </w:tcPr>
          <w:p w14:paraId="3B193FEB"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0BEC85B0" wp14:editId="0BD16757">
                  <wp:extent cx="1619885" cy="1080135"/>
                  <wp:effectExtent l="0" t="0" r="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l="16138" t="14999" r="25589" b="14999"/>
                          <a:stretch>
                            <a:fillRect/>
                          </a:stretch>
                        </pic:blipFill>
                        <pic:spPr bwMode="auto">
                          <a:xfrm>
                            <a:off x="0" y="0"/>
                            <a:ext cx="1619885" cy="1080135"/>
                          </a:xfrm>
                          <a:prstGeom prst="rect">
                            <a:avLst/>
                          </a:prstGeom>
                          <a:noFill/>
                          <a:ln>
                            <a:noFill/>
                          </a:ln>
                        </pic:spPr>
                      </pic:pic>
                    </a:graphicData>
                  </a:graphic>
                </wp:inline>
              </w:drawing>
            </w:r>
          </w:p>
        </w:tc>
        <w:tc>
          <w:tcPr>
            <w:tcW w:w="2408" w:type="dxa"/>
            <w:shd w:val="clear" w:color="auto" w:fill="auto"/>
            <w:vAlign w:val="center"/>
          </w:tcPr>
          <w:p w14:paraId="52B5F88E"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7B763A20" wp14:editId="01A0E427">
                  <wp:extent cx="1518920" cy="1079500"/>
                  <wp:effectExtent l="0" t="0" r="508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8920" cy="1079500"/>
                          </a:xfrm>
                          <a:prstGeom prst="rect">
                            <a:avLst/>
                          </a:prstGeom>
                          <a:noFill/>
                          <a:ln>
                            <a:noFill/>
                          </a:ln>
                        </pic:spPr>
                      </pic:pic>
                    </a:graphicData>
                  </a:graphic>
                </wp:inline>
              </w:drawing>
            </w:r>
          </w:p>
        </w:tc>
        <w:tc>
          <w:tcPr>
            <w:tcW w:w="3091" w:type="dxa"/>
            <w:shd w:val="clear" w:color="auto" w:fill="auto"/>
            <w:vAlign w:val="center"/>
          </w:tcPr>
          <w:p w14:paraId="2A0D45CA"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145D68CA" wp14:editId="5E89BED6">
                  <wp:extent cx="1889760" cy="122936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9760" cy="1229360"/>
                          </a:xfrm>
                          <a:prstGeom prst="rect">
                            <a:avLst/>
                          </a:prstGeom>
                          <a:noFill/>
                          <a:ln>
                            <a:noFill/>
                          </a:ln>
                        </pic:spPr>
                      </pic:pic>
                    </a:graphicData>
                  </a:graphic>
                </wp:inline>
              </w:drawing>
            </w:r>
          </w:p>
        </w:tc>
        <w:tc>
          <w:tcPr>
            <w:tcW w:w="1724" w:type="dxa"/>
            <w:shd w:val="clear" w:color="auto" w:fill="auto"/>
            <w:vAlign w:val="center"/>
          </w:tcPr>
          <w:p w14:paraId="5A3B26EE"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 xml:space="preserve">Dégagement </w:t>
            </w:r>
            <w:r w:rsidR="008F306A" w:rsidRPr="0029276D">
              <w:rPr>
                <w:b w:val="0"/>
                <w:color w:val="auto"/>
                <w:lang w:val="fr-CH"/>
              </w:rPr>
              <w:br/>
            </w:r>
            <w:r w:rsidRPr="0029276D">
              <w:rPr>
                <w:b w:val="0"/>
                <w:color w:val="auto"/>
                <w:lang w:val="fr-CH"/>
              </w:rPr>
              <w:t>important de fumée blanche accompagné d’étincelles</w:t>
            </w:r>
          </w:p>
        </w:tc>
      </w:tr>
      <w:tr w:rsidR="0029276D" w:rsidRPr="0029276D" w14:paraId="7162AD8E" w14:textId="77777777" w:rsidTr="008F306A">
        <w:trPr>
          <w:trHeight w:val="2152"/>
        </w:trPr>
        <w:tc>
          <w:tcPr>
            <w:tcW w:w="535" w:type="dxa"/>
            <w:shd w:val="clear" w:color="auto" w:fill="auto"/>
            <w:vAlign w:val="center"/>
          </w:tcPr>
          <w:p w14:paraId="0E533430"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6</w:t>
            </w:r>
          </w:p>
        </w:tc>
        <w:tc>
          <w:tcPr>
            <w:tcW w:w="1071" w:type="dxa"/>
            <w:shd w:val="clear" w:color="auto" w:fill="auto"/>
            <w:vAlign w:val="center"/>
          </w:tcPr>
          <w:p w14:paraId="2905DB92"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60</w:t>
            </w:r>
          </w:p>
        </w:tc>
        <w:tc>
          <w:tcPr>
            <w:tcW w:w="2408" w:type="dxa"/>
            <w:shd w:val="clear" w:color="auto" w:fill="auto"/>
            <w:vAlign w:val="center"/>
          </w:tcPr>
          <w:p w14:paraId="60C54A7A"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656AF896" wp14:editId="53CF76BF">
                  <wp:extent cx="1451610" cy="1080135"/>
                  <wp:effectExtent l="0" t="0" r="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1610" cy="1080135"/>
                          </a:xfrm>
                          <a:prstGeom prst="rect">
                            <a:avLst/>
                          </a:prstGeom>
                          <a:noFill/>
                          <a:ln>
                            <a:noFill/>
                          </a:ln>
                        </pic:spPr>
                      </pic:pic>
                    </a:graphicData>
                  </a:graphic>
                </wp:inline>
              </w:drawing>
            </w:r>
          </w:p>
        </w:tc>
        <w:tc>
          <w:tcPr>
            <w:tcW w:w="2541" w:type="dxa"/>
            <w:shd w:val="clear" w:color="auto" w:fill="auto"/>
            <w:vAlign w:val="center"/>
          </w:tcPr>
          <w:p w14:paraId="0BC70D61"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590B5893" wp14:editId="2351DB6B">
                  <wp:extent cx="1619885" cy="108013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l="25587" t="10802" r="18179" b="17801"/>
                          <a:stretch>
                            <a:fillRect/>
                          </a:stretch>
                        </pic:blipFill>
                        <pic:spPr bwMode="auto">
                          <a:xfrm>
                            <a:off x="0" y="0"/>
                            <a:ext cx="1619885" cy="1080135"/>
                          </a:xfrm>
                          <a:prstGeom prst="rect">
                            <a:avLst/>
                          </a:prstGeom>
                          <a:noFill/>
                          <a:ln>
                            <a:noFill/>
                          </a:ln>
                        </pic:spPr>
                      </pic:pic>
                    </a:graphicData>
                  </a:graphic>
                </wp:inline>
              </w:drawing>
            </w:r>
          </w:p>
        </w:tc>
        <w:tc>
          <w:tcPr>
            <w:tcW w:w="2408" w:type="dxa"/>
            <w:shd w:val="clear" w:color="auto" w:fill="auto"/>
            <w:vAlign w:val="center"/>
          </w:tcPr>
          <w:p w14:paraId="6E58FAA8"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165B4D73" wp14:editId="47B6E362">
                  <wp:extent cx="1535430" cy="1080135"/>
                  <wp:effectExtent l="0" t="0" r="762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5430" cy="1080135"/>
                          </a:xfrm>
                          <a:prstGeom prst="rect">
                            <a:avLst/>
                          </a:prstGeom>
                          <a:noFill/>
                          <a:ln>
                            <a:noFill/>
                          </a:ln>
                        </pic:spPr>
                      </pic:pic>
                    </a:graphicData>
                  </a:graphic>
                </wp:inline>
              </w:drawing>
            </w:r>
          </w:p>
        </w:tc>
        <w:tc>
          <w:tcPr>
            <w:tcW w:w="3091" w:type="dxa"/>
            <w:shd w:val="clear" w:color="auto" w:fill="auto"/>
            <w:vAlign w:val="center"/>
          </w:tcPr>
          <w:p w14:paraId="6694F69D"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4E3DFFB1" wp14:editId="3B870204">
                  <wp:extent cx="1889760" cy="12280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9760" cy="1228090"/>
                          </a:xfrm>
                          <a:prstGeom prst="rect">
                            <a:avLst/>
                          </a:prstGeom>
                          <a:noFill/>
                          <a:ln>
                            <a:noFill/>
                          </a:ln>
                        </pic:spPr>
                      </pic:pic>
                    </a:graphicData>
                  </a:graphic>
                </wp:inline>
              </w:drawing>
            </w:r>
          </w:p>
        </w:tc>
        <w:tc>
          <w:tcPr>
            <w:tcW w:w="1724" w:type="dxa"/>
            <w:shd w:val="clear" w:color="auto" w:fill="auto"/>
            <w:vAlign w:val="center"/>
          </w:tcPr>
          <w:p w14:paraId="7BC5E156"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Inflammation</w:t>
            </w:r>
          </w:p>
        </w:tc>
      </w:tr>
      <w:tr w:rsidR="0029276D" w:rsidRPr="0029276D" w14:paraId="11D02705" w14:textId="77777777" w:rsidTr="008F306A">
        <w:trPr>
          <w:trHeight w:val="2019"/>
        </w:trPr>
        <w:tc>
          <w:tcPr>
            <w:tcW w:w="535" w:type="dxa"/>
            <w:shd w:val="clear" w:color="auto" w:fill="auto"/>
            <w:vAlign w:val="center"/>
          </w:tcPr>
          <w:p w14:paraId="71A9109A"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lastRenderedPageBreak/>
              <w:t>7</w:t>
            </w:r>
          </w:p>
        </w:tc>
        <w:tc>
          <w:tcPr>
            <w:tcW w:w="1071" w:type="dxa"/>
            <w:shd w:val="clear" w:color="auto" w:fill="auto"/>
            <w:vAlign w:val="center"/>
          </w:tcPr>
          <w:p w14:paraId="7DEED30F"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70</w:t>
            </w:r>
          </w:p>
        </w:tc>
        <w:tc>
          <w:tcPr>
            <w:tcW w:w="2408" w:type="dxa"/>
            <w:shd w:val="clear" w:color="auto" w:fill="auto"/>
            <w:vAlign w:val="center"/>
          </w:tcPr>
          <w:p w14:paraId="4E23F50A"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45652FB1" wp14:editId="55E363C7">
                  <wp:extent cx="1470025" cy="1080135"/>
                  <wp:effectExtent l="0" t="0" r="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0025" cy="1080135"/>
                          </a:xfrm>
                          <a:prstGeom prst="rect">
                            <a:avLst/>
                          </a:prstGeom>
                          <a:noFill/>
                          <a:ln>
                            <a:noFill/>
                          </a:ln>
                        </pic:spPr>
                      </pic:pic>
                    </a:graphicData>
                  </a:graphic>
                </wp:inline>
              </w:drawing>
            </w:r>
          </w:p>
        </w:tc>
        <w:tc>
          <w:tcPr>
            <w:tcW w:w="2541" w:type="dxa"/>
            <w:shd w:val="clear" w:color="auto" w:fill="auto"/>
            <w:vAlign w:val="center"/>
          </w:tcPr>
          <w:p w14:paraId="547C4D95"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0F77B844" wp14:editId="7EE4BC8D">
                  <wp:extent cx="1619885" cy="1080135"/>
                  <wp:effectExtent l="0" t="0" r="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l="16925" t="16400" r="23225" b="8002"/>
                          <a:stretch>
                            <a:fillRect/>
                          </a:stretch>
                        </pic:blipFill>
                        <pic:spPr bwMode="auto">
                          <a:xfrm>
                            <a:off x="0" y="0"/>
                            <a:ext cx="1619885" cy="1080135"/>
                          </a:xfrm>
                          <a:prstGeom prst="rect">
                            <a:avLst/>
                          </a:prstGeom>
                          <a:noFill/>
                          <a:ln>
                            <a:noFill/>
                          </a:ln>
                        </pic:spPr>
                      </pic:pic>
                    </a:graphicData>
                  </a:graphic>
                </wp:inline>
              </w:drawing>
            </w:r>
          </w:p>
        </w:tc>
        <w:tc>
          <w:tcPr>
            <w:tcW w:w="2408" w:type="dxa"/>
            <w:shd w:val="clear" w:color="auto" w:fill="auto"/>
            <w:vAlign w:val="center"/>
          </w:tcPr>
          <w:p w14:paraId="3FB93BE0"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282261BD" wp14:editId="4A0C5485">
                  <wp:extent cx="1457960" cy="1080135"/>
                  <wp:effectExtent l="0" t="0" r="889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7960" cy="1080135"/>
                          </a:xfrm>
                          <a:prstGeom prst="rect">
                            <a:avLst/>
                          </a:prstGeom>
                          <a:noFill/>
                          <a:ln>
                            <a:noFill/>
                          </a:ln>
                        </pic:spPr>
                      </pic:pic>
                    </a:graphicData>
                  </a:graphic>
                </wp:inline>
              </w:drawing>
            </w:r>
          </w:p>
        </w:tc>
        <w:tc>
          <w:tcPr>
            <w:tcW w:w="3091" w:type="dxa"/>
            <w:shd w:val="clear" w:color="auto" w:fill="auto"/>
            <w:vAlign w:val="center"/>
          </w:tcPr>
          <w:p w14:paraId="403AC5AF" w14:textId="77777777" w:rsidR="00190EA6" w:rsidRPr="0029276D" w:rsidRDefault="00C075E1" w:rsidP="00F51B17">
            <w:pPr>
              <w:pStyle w:val="Caption"/>
              <w:spacing w:before="60" w:after="60" w:line="240" w:lineRule="atLeast"/>
              <w:jc w:val="center"/>
              <w:rPr>
                <w:rFonts w:eastAsia="仿宋"/>
                <w:b w:val="0"/>
                <w:color w:val="auto"/>
                <w:lang w:val="fr-CH" w:eastAsia="zh-CN"/>
              </w:rPr>
            </w:pPr>
            <w:r w:rsidRPr="0029276D">
              <w:rPr>
                <w:rFonts w:eastAsia="仿宋"/>
                <w:b w:val="0"/>
                <w:noProof/>
                <w:color w:val="auto"/>
                <w:lang w:val="fr-CH" w:eastAsia="fr-FR"/>
              </w:rPr>
              <w:drawing>
                <wp:inline distT="0" distB="0" distL="0" distR="0" wp14:anchorId="56134962" wp14:editId="3CF310FD">
                  <wp:extent cx="1889760" cy="12287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9760" cy="1228725"/>
                          </a:xfrm>
                          <a:prstGeom prst="rect">
                            <a:avLst/>
                          </a:prstGeom>
                          <a:noFill/>
                          <a:ln>
                            <a:noFill/>
                          </a:ln>
                        </pic:spPr>
                      </pic:pic>
                    </a:graphicData>
                  </a:graphic>
                </wp:inline>
              </w:drawing>
            </w:r>
          </w:p>
        </w:tc>
        <w:tc>
          <w:tcPr>
            <w:tcW w:w="1724" w:type="dxa"/>
            <w:shd w:val="clear" w:color="auto" w:fill="auto"/>
            <w:vAlign w:val="center"/>
          </w:tcPr>
          <w:p w14:paraId="29BEA517"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Inflammation</w:t>
            </w:r>
          </w:p>
        </w:tc>
      </w:tr>
      <w:tr w:rsidR="0029276D" w:rsidRPr="0029276D" w14:paraId="4701FFB2" w14:textId="77777777" w:rsidTr="008F306A">
        <w:trPr>
          <w:trHeight w:val="1990"/>
        </w:trPr>
        <w:tc>
          <w:tcPr>
            <w:tcW w:w="535" w:type="dxa"/>
            <w:shd w:val="clear" w:color="auto" w:fill="auto"/>
            <w:vAlign w:val="center"/>
          </w:tcPr>
          <w:p w14:paraId="79759F1D"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8</w:t>
            </w:r>
          </w:p>
        </w:tc>
        <w:tc>
          <w:tcPr>
            <w:tcW w:w="1071" w:type="dxa"/>
            <w:shd w:val="clear" w:color="auto" w:fill="auto"/>
            <w:vAlign w:val="center"/>
          </w:tcPr>
          <w:p w14:paraId="3066137F"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80</w:t>
            </w:r>
          </w:p>
        </w:tc>
        <w:tc>
          <w:tcPr>
            <w:tcW w:w="2408" w:type="dxa"/>
            <w:shd w:val="clear" w:color="auto" w:fill="auto"/>
            <w:vAlign w:val="center"/>
          </w:tcPr>
          <w:p w14:paraId="5706C1A2"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53DF9253" wp14:editId="42FD60E1">
                  <wp:extent cx="1494155" cy="108013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4155" cy="1080135"/>
                          </a:xfrm>
                          <a:prstGeom prst="rect">
                            <a:avLst/>
                          </a:prstGeom>
                          <a:noFill/>
                          <a:ln>
                            <a:noFill/>
                          </a:ln>
                        </pic:spPr>
                      </pic:pic>
                    </a:graphicData>
                  </a:graphic>
                </wp:inline>
              </w:drawing>
            </w:r>
          </w:p>
        </w:tc>
        <w:tc>
          <w:tcPr>
            <w:tcW w:w="2541" w:type="dxa"/>
            <w:shd w:val="clear" w:color="auto" w:fill="auto"/>
            <w:vAlign w:val="center"/>
          </w:tcPr>
          <w:p w14:paraId="393F3D2B"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0D7A72B4" wp14:editId="2D8F2A80">
                  <wp:extent cx="1619885" cy="1080135"/>
                  <wp:effectExtent l="0" t="0" r="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5" cstate="print">
                            <a:extLst>
                              <a:ext uri="{28A0092B-C50C-407E-A947-70E740481C1C}">
                                <a14:useLocalDpi xmlns:a14="http://schemas.microsoft.com/office/drawing/2010/main" val="0"/>
                              </a:ext>
                            </a:extLst>
                          </a:blip>
                          <a:srcRect l="19289" t="20601" r="20074" b="8000"/>
                          <a:stretch>
                            <a:fillRect/>
                          </a:stretch>
                        </pic:blipFill>
                        <pic:spPr bwMode="auto">
                          <a:xfrm>
                            <a:off x="0" y="0"/>
                            <a:ext cx="1619885" cy="1080135"/>
                          </a:xfrm>
                          <a:prstGeom prst="rect">
                            <a:avLst/>
                          </a:prstGeom>
                          <a:noFill/>
                          <a:ln>
                            <a:noFill/>
                          </a:ln>
                        </pic:spPr>
                      </pic:pic>
                    </a:graphicData>
                  </a:graphic>
                </wp:inline>
              </w:drawing>
            </w:r>
          </w:p>
        </w:tc>
        <w:tc>
          <w:tcPr>
            <w:tcW w:w="2408" w:type="dxa"/>
            <w:shd w:val="clear" w:color="auto" w:fill="auto"/>
            <w:vAlign w:val="center"/>
          </w:tcPr>
          <w:p w14:paraId="4A1A61E1"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685E326F" wp14:editId="00C1C689">
                  <wp:extent cx="1530985" cy="108013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0985" cy="1080135"/>
                          </a:xfrm>
                          <a:prstGeom prst="rect">
                            <a:avLst/>
                          </a:prstGeom>
                          <a:noFill/>
                          <a:ln>
                            <a:noFill/>
                          </a:ln>
                        </pic:spPr>
                      </pic:pic>
                    </a:graphicData>
                  </a:graphic>
                </wp:inline>
              </w:drawing>
            </w:r>
          </w:p>
        </w:tc>
        <w:tc>
          <w:tcPr>
            <w:tcW w:w="3091" w:type="dxa"/>
            <w:shd w:val="clear" w:color="auto" w:fill="auto"/>
            <w:vAlign w:val="center"/>
          </w:tcPr>
          <w:p w14:paraId="7129C49C"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24EA3310" wp14:editId="47B5B69E">
                  <wp:extent cx="1889760" cy="12280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9760" cy="1228090"/>
                          </a:xfrm>
                          <a:prstGeom prst="rect">
                            <a:avLst/>
                          </a:prstGeom>
                          <a:noFill/>
                          <a:ln>
                            <a:noFill/>
                          </a:ln>
                        </pic:spPr>
                      </pic:pic>
                    </a:graphicData>
                  </a:graphic>
                </wp:inline>
              </w:drawing>
            </w:r>
          </w:p>
        </w:tc>
        <w:tc>
          <w:tcPr>
            <w:tcW w:w="1724" w:type="dxa"/>
            <w:shd w:val="clear" w:color="auto" w:fill="auto"/>
            <w:vAlign w:val="center"/>
          </w:tcPr>
          <w:p w14:paraId="6A6886A3"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Inflammation</w:t>
            </w:r>
          </w:p>
        </w:tc>
      </w:tr>
      <w:tr w:rsidR="0029276D" w:rsidRPr="0029276D" w14:paraId="246F29AC" w14:textId="77777777" w:rsidTr="008F306A">
        <w:trPr>
          <w:trHeight w:val="1978"/>
        </w:trPr>
        <w:tc>
          <w:tcPr>
            <w:tcW w:w="535" w:type="dxa"/>
            <w:shd w:val="clear" w:color="auto" w:fill="auto"/>
            <w:vAlign w:val="center"/>
          </w:tcPr>
          <w:p w14:paraId="32BB1965"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9</w:t>
            </w:r>
          </w:p>
        </w:tc>
        <w:tc>
          <w:tcPr>
            <w:tcW w:w="1071" w:type="dxa"/>
            <w:shd w:val="clear" w:color="auto" w:fill="auto"/>
            <w:vAlign w:val="center"/>
          </w:tcPr>
          <w:p w14:paraId="4ECA0757"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90</w:t>
            </w:r>
          </w:p>
        </w:tc>
        <w:tc>
          <w:tcPr>
            <w:tcW w:w="2408" w:type="dxa"/>
            <w:shd w:val="clear" w:color="auto" w:fill="auto"/>
            <w:vAlign w:val="center"/>
          </w:tcPr>
          <w:p w14:paraId="378871AB"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212BAD85" wp14:editId="23AC8882">
                  <wp:extent cx="1538605" cy="1080135"/>
                  <wp:effectExtent l="0" t="0" r="444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8605" cy="1080135"/>
                          </a:xfrm>
                          <a:prstGeom prst="rect">
                            <a:avLst/>
                          </a:prstGeom>
                          <a:noFill/>
                          <a:ln>
                            <a:noFill/>
                          </a:ln>
                        </pic:spPr>
                      </pic:pic>
                    </a:graphicData>
                  </a:graphic>
                </wp:inline>
              </w:drawing>
            </w:r>
          </w:p>
        </w:tc>
        <w:tc>
          <w:tcPr>
            <w:tcW w:w="2541" w:type="dxa"/>
            <w:shd w:val="clear" w:color="auto" w:fill="auto"/>
            <w:vAlign w:val="center"/>
          </w:tcPr>
          <w:p w14:paraId="087D7787"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2CFD97C1" wp14:editId="17B38741">
                  <wp:extent cx="1619885" cy="10801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cstate="print">
                            <a:extLst>
                              <a:ext uri="{28A0092B-C50C-407E-A947-70E740481C1C}">
                                <a14:useLocalDpi xmlns:a14="http://schemas.microsoft.com/office/drawing/2010/main" val="0"/>
                              </a:ext>
                            </a:extLst>
                          </a:blip>
                          <a:srcRect l="25682" t="16772" r="11902" b="14606"/>
                          <a:stretch>
                            <a:fillRect/>
                          </a:stretch>
                        </pic:blipFill>
                        <pic:spPr bwMode="auto">
                          <a:xfrm>
                            <a:off x="0" y="0"/>
                            <a:ext cx="1619885" cy="1080135"/>
                          </a:xfrm>
                          <a:prstGeom prst="rect">
                            <a:avLst/>
                          </a:prstGeom>
                          <a:noFill/>
                          <a:ln>
                            <a:noFill/>
                          </a:ln>
                        </pic:spPr>
                      </pic:pic>
                    </a:graphicData>
                  </a:graphic>
                </wp:inline>
              </w:drawing>
            </w:r>
          </w:p>
        </w:tc>
        <w:tc>
          <w:tcPr>
            <w:tcW w:w="2408" w:type="dxa"/>
            <w:shd w:val="clear" w:color="auto" w:fill="auto"/>
            <w:vAlign w:val="center"/>
          </w:tcPr>
          <w:p w14:paraId="505F37AE"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5D588EAB" wp14:editId="29662FF5">
                  <wp:extent cx="1517015" cy="1080135"/>
                  <wp:effectExtent l="0" t="0" r="698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7015" cy="1080135"/>
                          </a:xfrm>
                          <a:prstGeom prst="rect">
                            <a:avLst/>
                          </a:prstGeom>
                          <a:noFill/>
                          <a:ln>
                            <a:noFill/>
                          </a:ln>
                        </pic:spPr>
                      </pic:pic>
                    </a:graphicData>
                  </a:graphic>
                </wp:inline>
              </w:drawing>
            </w:r>
          </w:p>
        </w:tc>
        <w:tc>
          <w:tcPr>
            <w:tcW w:w="3091" w:type="dxa"/>
            <w:shd w:val="clear" w:color="auto" w:fill="auto"/>
            <w:vAlign w:val="center"/>
          </w:tcPr>
          <w:p w14:paraId="6FE7EC8B"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504A8AD1" wp14:editId="56BC5256">
                  <wp:extent cx="1889760" cy="12287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9760" cy="1228725"/>
                          </a:xfrm>
                          <a:prstGeom prst="rect">
                            <a:avLst/>
                          </a:prstGeom>
                          <a:noFill/>
                          <a:ln>
                            <a:noFill/>
                          </a:ln>
                        </pic:spPr>
                      </pic:pic>
                    </a:graphicData>
                  </a:graphic>
                </wp:inline>
              </w:drawing>
            </w:r>
          </w:p>
        </w:tc>
        <w:tc>
          <w:tcPr>
            <w:tcW w:w="1724" w:type="dxa"/>
            <w:shd w:val="clear" w:color="auto" w:fill="auto"/>
            <w:vAlign w:val="center"/>
          </w:tcPr>
          <w:p w14:paraId="2F6A84A3"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Inflammation</w:t>
            </w:r>
          </w:p>
        </w:tc>
      </w:tr>
      <w:tr w:rsidR="00190EA6" w:rsidRPr="0029276D" w14:paraId="57807722" w14:textId="77777777" w:rsidTr="008F306A">
        <w:trPr>
          <w:trHeight w:val="1980"/>
        </w:trPr>
        <w:tc>
          <w:tcPr>
            <w:tcW w:w="535" w:type="dxa"/>
            <w:shd w:val="clear" w:color="auto" w:fill="auto"/>
            <w:vAlign w:val="center"/>
          </w:tcPr>
          <w:p w14:paraId="579E77C3"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lastRenderedPageBreak/>
              <w:t>10</w:t>
            </w:r>
          </w:p>
        </w:tc>
        <w:tc>
          <w:tcPr>
            <w:tcW w:w="1071" w:type="dxa"/>
            <w:shd w:val="clear" w:color="auto" w:fill="auto"/>
            <w:vAlign w:val="center"/>
          </w:tcPr>
          <w:p w14:paraId="75654A3B" w14:textId="77777777" w:rsidR="00190EA6" w:rsidRPr="0029276D" w:rsidRDefault="00190EA6" w:rsidP="00F51B17">
            <w:pPr>
              <w:pStyle w:val="Caption"/>
              <w:spacing w:before="60" w:after="60" w:line="240" w:lineRule="atLeast"/>
              <w:jc w:val="center"/>
              <w:rPr>
                <w:b w:val="0"/>
                <w:bCs w:val="0"/>
                <w:color w:val="auto"/>
                <w:lang w:val="fr-CH"/>
              </w:rPr>
            </w:pPr>
            <w:r w:rsidRPr="0029276D">
              <w:rPr>
                <w:b w:val="0"/>
                <w:color w:val="auto"/>
                <w:lang w:val="fr-CH"/>
              </w:rPr>
              <w:t>100</w:t>
            </w:r>
          </w:p>
        </w:tc>
        <w:tc>
          <w:tcPr>
            <w:tcW w:w="2408" w:type="dxa"/>
            <w:shd w:val="clear" w:color="auto" w:fill="auto"/>
            <w:vAlign w:val="center"/>
          </w:tcPr>
          <w:p w14:paraId="49DDA3D5"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11AF81FD" wp14:editId="151A8B19">
                  <wp:extent cx="1562735" cy="1079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2735" cy="1079500"/>
                          </a:xfrm>
                          <a:prstGeom prst="rect">
                            <a:avLst/>
                          </a:prstGeom>
                          <a:noFill/>
                          <a:ln>
                            <a:noFill/>
                          </a:ln>
                        </pic:spPr>
                      </pic:pic>
                    </a:graphicData>
                  </a:graphic>
                </wp:inline>
              </w:drawing>
            </w:r>
          </w:p>
        </w:tc>
        <w:tc>
          <w:tcPr>
            <w:tcW w:w="2541" w:type="dxa"/>
            <w:shd w:val="clear" w:color="auto" w:fill="auto"/>
            <w:vAlign w:val="center"/>
          </w:tcPr>
          <w:p w14:paraId="56E2F985"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3656FCCC" wp14:editId="422CF939">
                  <wp:extent cx="1619885" cy="1079500"/>
                  <wp:effectExtent l="0" t="0" r="0" b="635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l="31888" t="17799" r="16925" b="19200"/>
                          <a:stretch>
                            <a:fillRect/>
                          </a:stretch>
                        </pic:blipFill>
                        <pic:spPr bwMode="auto">
                          <a:xfrm>
                            <a:off x="0" y="0"/>
                            <a:ext cx="1619885" cy="1079500"/>
                          </a:xfrm>
                          <a:prstGeom prst="rect">
                            <a:avLst/>
                          </a:prstGeom>
                          <a:noFill/>
                          <a:ln>
                            <a:noFill/>
                          </a:ln>
                        </pic:spPr>
                      </pic:pic>
                    </a:graphicData>
                  </a:graphic>
                </wp:inline>
              </w:drawing>
            </w:r>
          </w:p>
        </w:tc>
        <w:tc>
          <w:tcPr>
            <w:tcW w:w="2408" w:type="dxa"/>
            <w:shd w:val="clear" w:color="auto" w:fill="auto"/>
            <w:vAlign w:val="center"/>
          </w:tcPr>
          <w:p w14:paraId="5C8B46AB"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5261D4C0" wp14:editId="0E2BA9D0">
                  <wp:extent cx="1449705" cy="10795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9705" cy="1079500"/>
                          </a:xfrm>
                          <a:prstGeom prst="rect">
                            <a:avLst/>
                          </a:prstGeom>
                          <a:noFill/>
                          <a:ln>
                            <a:noFill/>
                          </a:ln>
                        </pic:spPr>
                      </pic:pic>
                    </a:graphicData>
                  </a:graphic>
                </wp:inline>
              </w:drawing>
            </w:r>
          </w:p>
        </w:tc>
        <w:tc>
          <w:tcPr>
            <w:tcW w:w="3091" w:type="dxa"/>
            <w:shd w:val="clear" w:color="auto" w:fill="auto"/>
            <w:vAlign w:val="center"/>
          </w:tcPr>
          <w:p w14:paraId="662308C7" w14:textId="77777777" w:rsidR="00190EA6" w:rsidRPr="0029276D" w:rsidRDefault="00190EA6" w:rsidP="00F51B17">
            <w:pPr>
              <w:pStyle w:val="Caption"/>
              <w:spacing w:before="60" w:after="60" w:line="240" w:lineRule="atLeast"/>
              <w:jc w:val="center"/>
              <w:rPr>
                <w:rFonts w:eastAsia="仿宋"/>
                <w:b w:val="0"/>
                <w:color w:val="auto"/>
                <w:lang w:val="fr-CH" w:eastAsia="zh-CN"/>
              </w:rPr>
            </w:pPr>
            <w:r w:rsidRPr="0029276D">
              <w:rPr>
                <w:b w:val="0"/>
                <w:noProof/>
                <w:color w:val="auto"/>
                <w:lang w:val="fr-CH" w:eastAsia="fr-FR"/>
              </w:rPr>
              <w:drawing>
                <wp:inline distT="0" distB="0" distL="0" distR="0" wp14:anchorId="3C1E3ECB" wp14:editId="6F5BCE5B">
                  <wp:extent cx="1889760" cy="1228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9760" cy="1228725"/>
                          </a:xfrm>
                          <a:prstGeom prst="rect">
                            <a:avLst/>
                          </a:prstGeom>
                          <a:noFill/>
                          <a:ln>
                            <a:noFill/>
                          </a:ln>
                        </pic:spPr>
                      </pic:pic>
                    </a:graphicData>
                  </a:graphic>
                </wp:inline>
              </w:drawing>
            </w:r>
          </w:p>
        </w:tc>
        <w:tc>
          <w:tcPr>
            <w:tcW w:w="1724" w:type="dxa"/>
            <w:shd w:val="clear" w:color="auto" w:fill="auto"/>
            <w:vAlign w:val="center"/>
          </w:tcPr>
          <w:p w14:paraId="6914A164" w14:textId="77777777" w:rsidR="00190EA6" w:rsidRPr="0029276D" w:rsidRDefault="00190EA6" w:rsidP="00F51B17">
            <w:pPr>
              <w:pStyle w:val="Caption"/>
              <w:spacing w:before="60" w:after="60" w:line="240" w:lineRule="atLeast"/>
              <w:jc w:val="center"/>
              <w:rPr>
                <w:rFonts w:eastAsia="仿宋"/>
                <w:b w:val="0"/>
                <w:color w:val="auto"/>
                <w:lang w:val="fr-CH"/>
              </w:rPr>
            </w:pPr>
            <w:r w:rsidRPr="0029276D">
              <w:rPr>
                <w:b w:val="0"/>
                <w:color w:val="auto"/>
                <w:lang w:val="fr-CH"/>
              </w:rPr>
              <w:t>Inflammation</w:t>
            </w:r>
          </w:p>
        </w:tc>
      </w:tr>
    </w:tbl>
    <w:p w14:paraId="76672C37" w14:textId="77777777" w:rsidR="00190EA6" w:rsidRPr="0029276D" w:rsidRDefault="00190EA6" w:rsidP="00190EA6">
      <w:pPr>
        <w:pStyle w:val="SingleTxtG"/>
        <w:tabs>
          <w:tab w:val="right" w:pos="1710"/>
        </w:tabs>
        <w:spacing w:before="240" w:after="240" w:line="240" w:lineRule="auto"/>
        <w:ind w:left="1138" w:right="1138"/>
        <w:jc w:val="center"/>
        <w:rPr>
          <w:b/>
          <w:szCs w:val="24"/>
        </w:rPr>
      </w:pPr>
    </w:p>
    <w:p w14:paraId="6F182427" w14:textId="77777777" w:rsidR="00190EA6" w:rsidRPr="0029276D" w:rsidRDefault="00190EA6" w:rsidP="00383867">
      <w:pPr>
        <w:pStyle w:val="HChG"/>
      </w:pPr>
      <w:r w:rsidRPr="0029276D">
        <w:rPr>
          <w:szCs w:val="24"/>
        </w:rPr>
        <w:br w:type="page"/>
      </w:r>
      <w:r w:rsidRPr="0029276D">
        <w:lastRenderedPageBreak/>
        <w:t>Annexe II</w:t>
      </w:r>
    </w:p>
    <w:p w14:paraId="0C2FD4D9" w14:textId="77777777" w:rsidR="00190EA6" w:rsidRPr="0029276D" w:rsidRDefault="00190EA6" w:rsidP="00383867">
      <w:pPr>
        <w:pStyle w:val="HChG"/>
        <w:rPr>
          <w:sz w:val="24"/>
        </w:rPr>
      </w:pPr>
      <w:r w:rsidRPr="0029276D">
        <w:tab/>
      </w:r>
      <w:r w:rsidRPr="0029276D">
        <w:tab/>
        <w:t>Résultat de l’essai d’emballement thermique par chauffage d’un accumulateur LFP</w:t>
      </w:r>
    </w:p>
    <w:tbl>
      <w:tblPr>
        <w:tblStyle w:val="TableGrid1"/>
        <w:tblW w:w="13778" w:type="dxa"/>
        <w:tblInd w:w="284" w:type="dxa"/>
        <w:tblLayout w:type="fixed"/>
        <w:tblLook w:val="04A0" w:firstRow="1" w:lastRow="0" w:firstColumn="1" w:lastColumn="0" w:noHBand="0" w:noVBand="1"/>
      </w:tblPr>
      <w:tblGrid>
        <w:gridCol w:w="715"/>
        <w:gridCol w:w="1431"/>
        <w:gridCol w:w="3222"/>
        <w:gridCol w:w="3399"/>
        <w:gridCol w:w="3222"/>
        <w:gridCol w:w="1789"/>
      </w:tblGrid>
      <w:tr w:rsidR="0029276D" w:rsidRPr="0029276D" w14:paraId="742A887F" w14:textId="77777777" w:rsidTr="00C075E1">
        <w:trPr>
          <w:trHeight w:val="1028"/>
        </w:trPr>
        <w:tc>
          <w:tcPr>
            <w:tcW w:w="731" w:type="dxa"/>
            <w:vAlign w:val="center"/>
          </w:tcPr>
          <w:p w14:paraId="220532DE" w14:textId="77777777" w:rsidR="00190EA6" w:rsidRPr="0029276D" w:rsidRDefault="00190EA6" w:rsidP="008F306A">
            <w:pPr>
              <w:kinsoku/>
              <w:overflowPunct/>
              <w:autoSpaceDE/>
              <w:autoSpaceDN/>
              <w:adjustRightInd/>
              <w:snapToGrid/>
              <w:spacing w:before="60" w:after="60"/>
              <w:ind w:left="57" w:right="57"/>
              <w:jc w:val="center"/>
              <w:rPr>
                <w:sz w:val="18"/>
                <w:szCs w:val="18"/>
                <w:lang w:val="fr-CH"/>
              </w:rPr>
            </w:pPr>
            <w:r w:rsidRPr="0029276D">
              <w:rPr>
                <w:sz w:val="18"/>
                <w:szCs w:val="18"/>
                <w:lang w:val="fr-CH"/>
              </w:rPr>
              <w:t>N</w:t>
            </w:r>
            <w:r w:rsidRPr="0029276D">
              <w:rPr>
                <w:sz w:val="18"/>
                <w:szCs w:val="18"/>
                <w:vertAlign w:val="superscript"/>
                <w:lang w:val="fr-CH"/>
              </w:rPr>
              <w:t>o</w:t>
            </w:r>
          </w:p>
        </w:tc>
        <w:tc>
          <w:tcPr>
            <w:tcW w:w="1463" w:type="dxa"/>
            <w:vAlign w:val="center"/>
          </w:tcPr>
          <w:p w14:paraId="3C7D44AB" w14:textId="77777777" w:rsidR="00190EA6" w:rsidRPr="0029276D" w:rsidRDefault="00190EA6" w:rsidP="008F306A">
            <w:pPr>
              <w:kinsoku/>
              <w:overflowPunct/>
              <w:autoSpaceDE/>
              <w:autoSpaceDN/>
              <w:adjustRightInd/>
              <w:snapToGrid/>
              <w:spacing w:before="60" w:after="60"/>
              <w:ind w:left="57" w:right="57"/>
              <w:jc w:val="center"/>
              <w:rPr>
                <w:sz w:val="18"/>
                <w:szCs w:val="18"/>
                <w:lang w:val="fr-CH"/>
              </w:rPr>
            </w:pPr>
            <w:r w:rsidRPr="0029276D">
              <w:rPr>
                <w:sz w:val="18"/>
                <w:szCs w:val="18"/>
                <w:lang w:val="fr-CH"/>
              </w:rPr>
              <w:t>Niveau de charge (% de la capacité nominale)</w:t>
            </w:r>
          </w:p>
        </w:tc>
        <w:tc>
          <w:tcPr>
            <w:tcW w:w="3294" w:type="dxa"/>
            <w:vAlign w:val="center"/>
          </w:tcPr>
          <w:p w14:paraId="2CC01BAE" w14:textId="77777777" w:rsidR="00190EA6" w:rsidRPr="0029276D" w:rsidRDefault="00190EA6" w:rsidP="008F306A">
            <w:pPr>
              <w:kinsoku/>
              <w:overflowPunct/>
              <w:autoSpaceDE/>
              <w:autoSpaceDN/>
              <w:adjustRightInd/>
              <w:snapToGrid/>
              <w:spacing w:before="60" w:after="60"/>
              <w:ind w:left="57" w:right="57"/>
              <w:jc w:val="center"/>
              <w:rPr>
                <w:sz w:val="18"/>
                <w:szCs w:val="18"/>
                <w:lang w:val="fr-CH"/>
              </w:rPr>
            </w:pPr>
            <w:r w:rsidRPr="0029276D">
              <w:rPr>
                <w:sz w:val="18"/>
                <w:szCs w:val="18"/>
                <w:lang w:val="fr-CH"/>
              </w:rPr>
              <w:t>État initial</w:t>
            </w:r>
          </w:p>
        </w:tc>
        <w:tc>
          <w:tcPr>
            <w:tcW w:w="3475" w:type="dxa"/>
            <w:vAlign w:val="center"/>
          </w:tcPr>
          <w:p w14:paraId="60F2A798" w14:textId="77777777" w:rsidR="00190EA6" w:rsidRPr="0029276D" w:rsidRDefault="00190EA6" w:rsidP="008F306A">
            <w:pPr>
              <w:kinsoku/>
              <w:overflowPunct/>
              <w:autoSpaceDE/>
              <w:autoSpaceDN/>
              <w:adjustRightInd/>
              <w:snapToGrid/>
              <w:spacing w:before="60" w:after="60"/>
              <w:ind w:left="57" w:right="57"/>
              <w:jc w:val="center"/>
              <w:rPr>
                <w:sz w:val="18"/>
                <w:szCs w:val="18"/>
                <w:lang w:val="fr-CH"/>
              </w:rPr>
            </w:pPr>
            <w:r w:rsidRPr="0029276D">
              <w:rPr>
                <w:sz w:val="18"/>
                <w:szCs w:val="18"/>
                <w:lang w:val="fr-CH"/>
              </w:rPr>
              <w:t>Emballement thermique</w:t>
            </w:r>
          </w:p>
        </w:tc>
        <w:tc>
          <w:tcPr>
            <w:tcW w:w="3294" w:type="dxa"/>
            <w:vAlign w:val="center"/>
          </w:tcPr>
          <w:p w14:paraId="581453B3" w14:textId="77777777" w:rsidR="00190EA6" w:rsidRPr="0029276D" w:rsidRDefault="00190EA6" w:rsidP="008F306A">
            <w:pPr>
              <w:kinsoku/>
              <w:overflowPunct/>
              <w:autoSpaceDE/>
              <w:autoSpaceDN/>
              <w:adjustRightInd/>
              <w:snapToGrid/>
              <w:spacing w:before="60" w:after="60"/>
              <w:ind w:left="57" w:right="57"/>
              <w:jc w:val="center"/>
              <w:rPr>
                <w:sz w:val="18"/>
                <w:szCs w:val="18"/>
                <w:lang w:val="fr-CH"/>
              </w:rPr>
            </w:pPr>
            <w:r w:rsidRPr="0029276D">
              <w:rPr>
                <w:sz w:val="18"/>
                <w:szCs w:val="18"/>
                <w:lang w:val="fr-CH"/>
              </w:rPr>
              <w:t>État final</w:t>
            </w:r>
          </w:p>
        </w:tc>
        <w:tc>
          <w:tcPr>
            <w:tcW w:w="1829" w:type="dxa"/>
            <w:vAlign w:val="center"/>
          </w:tcPr>
          <w:p w14:paraId="1EDBDFEF" w14:textId="77777777" w:rsidR="00190EA6" w:rsidRPr="0029276D" w:rsidRDefault="00190EA6" w:rsidP="008F306A">
            <w:pPr>
              <w:kinsoku/>
              <w:overflowPunct/>
              <w:autoSpaceDE/>
              <w:autoSpaceDN/>
              <w:adjustRightInd/>
              <w:snapToGrid/>
              <w:spacing w:before="60" w:after="60"/>
              <w:ind w:left="57" w:right="57"/>
              <w:jc w:val="center"/>
              <w:rPr>
                <w:sz w:val="18"/>
                <w:szCs w:val="18"/>
                <w:lang w:val="fr-CH"/>
              </w:rPr>
            </w:pPr>
            <w:r w:rsidRPr="0029276D">
              <w:rPr>
                <w:sz w:val="18"/>
                <w:szCs w:val="18"/>
                <w:lang w:val="fr-CH"/>
              </w:rPr>
              <w:t>Résultat de l’essai</w:t>
            </w:r>
          </w:p>
        </w:tc>
      </w:tr>
      <w:tr w:rsidR="00190EA6" w:rsidRPr="0029276D" w14:paraId="3E755E4E" w14:textId="77777777" w:rsidTr="00C075E1">
        <w:trPr>
          <w:trHeight w:val="2372"/>
        </w:trPr>
        <w:tc>
          <w:tcPr>
            <w:tcW w:w="731" w:type="dxa"/>
            <w:vAlign w:val="center"/>
          </w:tcPr>
          <w:p w14:paraId="1EC36494" w14:textId="77777777" w:rsidR="00190EA6" w:rsidRPr="0029276D" w:rsidRDefault="00190EA6" w:rsidP="008F306A">
            <w:pPr>
              <w:kinsoku/>
              <w:overflowPunct/>
              <w:autoSpaceDE/>
              <w:autoSpaceDN/>
              <w:adjustRightInd/>
              <w:snapToGrid/>
              <w:spacing w:before="60" w:after="60"/>
              <w:ind w:left="57" w:right="57"/>
              <w:jc w:val="center"/>
              <w:rPr>
                <w:sz w:val="18"/>
                <w:szCs w:val="18"/>
                <w:lang w:val="fr-CH"/>
              </w:rPr>
            </w:pPr>
            <w:r w:rsidRPr="0029276D">
              <w:rPr>
                <w:sz w:val="18"/>
                <w:szCs w:val="18"/>
                <w:lang w:val="fr-CH"/>
              </w:rPr>
              <w:t>1</w:t>
            </w:r>
          </w:p>
        </w:tc>
        <w:tc>
          <w:tcPr>
            <w:tcW w:w="1463" w:type="dxa"/>
            <w:vAlign w:val="center"/>
          </w:tcPr>
          <w:p w14:paraId="48F63FBB" w14:textId="77777777" w:rsidR="00190EA6" w:rsidRPr="0029276D" w:rsidRDefault="00190EA6" w:rsidP="008F306A">
            <w:pPr>
              <w:kinsoku/>
              <w:overflowPunct/>
              <w:autoSpaceDE/>
              <w:autoSpaceDN/>
              <w:adjustRightInd/>
              <w:snapToGrid/>
              <w:spacing w:before="60" w:after="60"/>
              <w:ind w:left="57" w:right="57"/>
              <w:jc w:val="center"/>
              <w:rPr>
                <w:sz w:val="18"/>
                <w:szCs w:val="18"/>
                <w:lang w:val="fr-CH"/>
              </w:rPr>
            </w:pPr>
            <w:r w:rsidRPr="0029276D">
              <w:rPr>
                <w:sz w:val="18"/>
                <w:szCs w:val="18"/>
                <w:lang w:val="fr-CH"/>
              </w:rPr>
              <w:t>100</w:t>
            </w:r>
          </w:p>
        </w:tc>
        <w:tc>
          <w:tcPr>
            <w:tcW w:w="3294" w:type="dxa"/>
            <w:vAlign w:val="center"/>
          </w:tcPr>
          <w:p w14:paraId="29F7CB17" w14:textId="77777777" w:rsidR="00190EA6" w:rsidRPr="0029276D" w:rsidRDefault="00190EA6" w:rsidP="008F306A">
            <w:pPr>
              <w:kinsoku/>
              <w:overflowPunct/>
              <w:autoSpaceDE/>
              <w:autoSpaceDN/>
              <w:adjustRightInd/>
              <w:snapToGrid/>
              <w:spacing w:before="60" w:after="60"/>
              <w:ind w:left="57" w:right="57"/>
              <w:jc w:val="center"/>
              <w:rPr>
                <w:rFonts w:ascii="仿宋" w:eastAsia="仿宋" w:hAnsi="仿宋"/>
                <w:bCs/>
                <w:sz w:val="18"/>
                <w:szCs w:val="18"/>
                <w:lang w:val="fr-CH"/>
              </w:rPr>
            </w:pPr>
            <w:r w:rsidRPr="0029276D">
              <w:rPr>
                <w:rFonts w:ascii="仿宋" w:eastAsia="仿宋" w:hAnsi="仿宋"/>
                <w:b/>
                <w:bCs/>
                <w:noProof/>
                <w:sz w:val="18"/>
                <w:szCs w:val="18"/>
                <w:lang w:eastAsia="fr-FR"/>
              </w:rPr>
              <w:drawing>
                <wp:inline distT="0" distB="0" distL="0" distR="0" wp14:anchorId="30086661" wp14:editId="4D4C71AD">
                  <wp:extent cx="1445895" cy="1415415"/>
                  <wp:effectExtent l="0" t="0" r="190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测试前.JPG"/>
                          <pic:cNvPicPr/>
                        </pic:nvPicPr>
                        <pic:blipFill rotWithShape="1">
                          <a:blip r:embed="rId56" cstate="print">
                            <a:extLst>
                              <a:ext uri="{28A0092B-C50C-407E-A947-70E740481C1C}">
                                <a14:useLocalDpi xmlns:a14="http://schemas.microsoft.com/office/drawing/2010/main" val="0"/>
                              </a:ext>
                            </a:extLst>
                          </a:blip>
                          <a:srcRect l="25073" t="10913" r="20237" b="17719"/>
                          <a:stretch/>
                        </pic:blipFill>
                        <pic:spPr bwMode="auto">
                          <a:xfrm>
                            <a:off x="0" y="0"/>
                            <a:ext cx="1445895" cy="1415415"/>
                          </a:xfrm>
                          <a:prstGeom prst="rect">
                            <a:avLst/>
                          </a:prstGeom>
                          <a:ln>
                            <a:noFill/>
                          </a:ln>
                          <a:extLst>
                            <a:ext uri="{53640926-AAD7-44D8-BBD7-CCE9431645EC}">
                              <a14:shadowObscured xmlns:a14="http://schemas.microsoft.com/office/drawing/2010/main"/>
                            </a:ext>
                          </a:extLst>
                        </pic:spPr>
                      </pic:pic>
                    </a:graphicData>
                  </a:graphic>
                </wp:inline>
              </w:drawing>
            </w:r>
          </w:p>
        </w:tc>
        <w:tc>
          <w:tcPr>
            <w:tcW w:w="3475" w:type="dxa"/>
            <w:vAlign w:val="center"/>
          </w:tcPr>
          <w:p w14:paraId="22370940" w14:textId="77777777" w:rsidR="00190EA6" w:rsidRPr="0029276D" w:rsidRDefault="00190EA6" w:rsidP="008F306A">
            <w:pPr>
              <w:kinsoku/>
              <w:overflowPunct/>
              <w:autoSpaceDE/>
              <w:autoSpaceDN/>
              <w:adjustRightInd/>
              <w:snapToGrid/>
              <w:spacing w:before="60" w:after="60"/>
              <w:ind w:left="57" w:right="57"/>
              <w:jc w:val="center"/>
              <w:rPr>
                <w:rFonts w:ascii="仿宋" w:eastAsia="仿宋" w:hAnsi="仿宋"/>
                <w:bCs/>
                <w:sz w:val="18"/>
                <w:szCs w:val="18"/>
                <w:lang w:val="fr-CH"/>
              </w:rPr>
            </w:pPr>
            <w:r w:rsidRPr="0029276D">
              <w:rPr>
                <w:rFonts w:ascii="仿宋" w:eastAsia="仿宋" w:hAnsi="仿宋"/>
                <w:b/>
                <w:bCs/>
                <w:noProof/>
                <w:sz w:val="18"/>
                <w:szCs w:val="18"/>
                <w:lang w:eastAsia="fr-FR"/>
              </w:rPr>
              <w:drawing>
                <wp:inline distT="0" distB="0" distL="0" distR="0" wp14:anchorId="08B1DCE8" wp14:editId="2A7468B4">
                  <wp:extent cx="1360805" cy="1400810"/>
                  <wp:effectExtent l="0" t="0" r="0" b="889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捕获.PNG"/>
                          <pic:cNvPicPr/>
                        </pic:nvPicPr>
                        <pic:blipFill rotWithShape="1">
                          <a:blip r:embed="rId57" cstate="print">
                            <a:extLst>
                              <a:ext uri="{28A0092B-C50C-407E-A947-70E740481C1C}">
                                <a14:useLocalDpi xmlns:a14="http://schemas.microsoft.com/office/drawing/2010/main" val="0"/>
                              </a:ext>
                            </a:extLst>
                          </a:blip>
                          <a:srcRect l="29659" r="13090" b="4239"/>
                          <a:stretch/>
                        </pic:blipFill>
                        <pic:spPr bwMode="auto">
                          <a:xfrm>
                            <a:off x="0" y="0"/>
                            <a:ext cx="1360805" cy="1400810"/>
                          </a:xfrm>
                          <a:prstGeom prst="rect">
                            <a:avLst/>
                          </a:prstGeom>
                          <a:ln>
                            <a:noFill/>
                          </a:ln>
                          <a:extLst>
                            <a:ext uri="{53640926-AAD7-44D8-BBD7-CCE9431645EC}">
                              <a14:shadowObscured xmlns:a14="http://schemas.microsoft.com/office/drawing/2010/main"/>
                            </a:ext>
                          </a:extLst>
                        </pic:spPr>
                      </pic:pic>
                    </a:graphicData>
                  </a:graphic>
                </wp:inline>
              </w:drawing>
            </w:r>
          </w:p>
        </w:tc>
        <w:tc>
          <w:tcPr>
            <w:tcW w:w="3294" w:type="dxa"/>
            <w:vAlign w:val="center"/>
          </w:tcPr>
          <w:p w14:paraId="346A9233" w14:textId="77777777" w:rsidR="00190EA6" w:rsidRPr="0029276D" w:rsidRDefault="00190EA6" w:rsidP="008F306A">
            <w:pPr>
              <w:kinsoku/>
              <w:overflowPunct/>
              <w:autoSpaceDE/>
              <w:autoSpaceDN/>
              <w:adjustRightInd/>
              <w:snapToGrid/>
              <w:spacing w:before="60" w:after="60"/>
              <w:ind w:left="57" w:right="57"/>
              <w:jc w:val="center"/>
              <w:rPr>
                <w:rFonts w:ascii="仿宋" w:eastAsia="仿宋" w:hAnsi="仿宋"/>
                <w:bCs/>
                <w:sz w:val="18"/>
                <w:szCs w:val="18"/>
                <w:lang w:val="fr-CH"/>
              </w:rPr>
            </w:pPr>
            <w:r w:rsidRPr="0029276D">
              <w:rPr>
                <w:rFonts w:ascii="仿宋" w:eastAsia="仿宋" w:hAnsi="仿宋"/>
                <w:bCs/>
                <w:noProof/>
                <w:sz w:val="18"/>
                <w:szCs w:val="18"/>
                <w:lang w:eastAsia="fr-FR"/>
              </w:rPr>
              <w:drawing>
                <wp:inline distT="0" distB="0" distL="0" distR="0" wp14:anchorId="4EE1929D" wp14:editId="3EC266FA">
                  <wp:extent cx="1541145" cy="1384300"/>
                  <wp:effectExtent l="0" t="0" r="1905"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测试后.JPG"/>
                          <pic:cNvPicPr/>
                        </pic:nvPicPr>
                        <pic:blipFill rotWithShape="1">
                          <a:blip r:embed="rId58" cstate="print">
                            <a:extLst>
                              <a:ext uri="{28A0092B-C50C-407E-A947-70E740481C1C}">
                                <a14:useLocalDpi xmlns:a14="http://schemas.microsoft.com/office/drawing/2010/main" val="0"/>
                              </a:ext>
                            </a:extLst>
                          </a:blip>
                          <a:srcRect l="25072" t="13857" r="21144" b="21704"/>
                          <a:stretch/>
                        </pic:blipFill>
                        <pic:spPr bwMode="auto">
                          <a:xfrm>
                            <a:off x="0" y="0"/>
                            <a:ext cx="1541145" cy="1384300"/>
                          </a:xfrm>
                          <a:prstGeom prst="rect">
                            <a:avLst/>
                          </a:prstGeom>
                          <a:ln>
                            <a:noFill/>
                          </a:ln>
                          <a:extLst>
                            <a:ext uri="{53640926-AAD7-44D8-BBD7-CCE9431645EC}">
                              <a14:shadowObscured xmlns:a14="http://schemas.microsoft.com/office/drawing/2010/main"/>
                            </a:ext>
                          </a:extLst>
                        </pic:spPr>
                      </pic:pic>
                    </a:graphicData>
                  </a:graphic>
                </wp:inline>
              </w:drawing>
            </w:r>
          </w:p>
        </w:tc>
        <w:tc>
          <w:tcPr>
            <w:tcW w:w="1829" w:type="dxa"/>
            <w:vAlign w:val="center"/>
          </w:tcPr>
          <w:p w14:paraId="77777FF9" w14:textId="77777777" w:rsidR="00190EA6" w:rsidRPr="0029276D" w:rsidRDefault="00190EA6" w:rsidP="008F306A">
            <w:pPr>
              <w:kinsoku/>
              <w:overflowPunct/>
              <w:autoSpaceDE/>
              <w:autoSpaceDN/>
              <w:adjustRightInd/>
              <w:snapToGrid/>
              <w:spacing w:before="60" w:after="60"/>
              <w:ind w:left="57" w:right="57"/>
              <w:jc w:val="center"/>
              <w:rPr>
                <w:sz w:val="18"/>
                <w:szCs w:val="18"/>
                <w:lang w:val="fr-CH"/>
              </w:rPr>
            </w:pPr>
            <w:r w:rsidRPr="0029276D">
              <w:rPr>
                <w:sz w:val="18"/>
                <w:szCs w:val="18"/>
                <w:lang w:val="fr-CH"/>
              </w:rPr>
              <w:t xml:space="preserve">Dégagement </w:t>
            </w:r>
            <w:r w:rsidR="00A4029E" w:rsidRPr="0029276D">
              <w:rPr>
                <w:sz w:val="18"/>
                <w:szCs w:val="18"/>
                <w:lang w:val="fr-CH"/>
              </w:rPr>
              <w:br/>
            </w:r>
            <w:r w:rsidRPr="0029276D">
              <w:rPr>
                <w:sz w:val="18"/>
                <w:szCs w:val="18"/>
                <w:lang w:val="fr-CH"/>
              </w:rPr>
              <w:t xml:space="preserve">de fumée blanche, </w:t>
            </w:r>
            <w:r w:rsidR="00A4029E" w:rsidRPr="0029276D">
              <w:rPr>
                <w:sz w:val="18"/>
                <w:szCs w:val="18"/>
                <w:lang w:val="fr-CH"/>
              </w:rPr>
              <w:br/>
            </w:r>
            <w:r w:rsidRPr="0029276D">
              <w:rPr>
                <w:sz w:val="18"/>
                <w:szCs w:val="18"/>
                <w:lang w:val="fr-CH"/>
              </w:rPr>
              <w:t>pas</w:t>
            </w:r>
            <w:r w:rsidR="00A4029E" w:rsidRPr="0029276D">
              <w:rPr>
                <w:sz w:val="18"/>
                <w:szCs w:val="18"/>
                <w:lang w:val="fr-CH"/>
              </w:rPr>
              <w:t xml:space="preserve"> </w:t>
            </w:r>
            <w:r w:rsidRPr="0029276D">
              <w:rPr>
                <w:sz w:val="18"/>
                <w:szCs w:val="18"/>
                <w:lang w:val="fr-CH"/>
              </w:rPr>
              <w:t xml:space="preserve">d’étincelles </w:t>
            </w:r>
            <w:r w:rsidR="008F306A" w:rsidRPr="0029276D">
              <w:rPr>
                <w:sz w:val="18"/>
                <w:szCs w:val="18"/>
                <w:lang w:val="fr-CH"/>
              </w:rPr>
              <w:br/>
            </w:r>
            <w:r w:rsidRPr="0029276D">
              <w:rPr>
                <w:sz w:val="18"/>
                <w:szCs w:val="18"/>
                <w:lang w:val="fr-CH"/>
              </w:rPr>
              <w:t>ni de flammes</w:t>
            </w:r>
          </w:p>
        </w:tc>
      </w:tr>
    </w:tbl>
    <w:p w14:paraId="37AFB113" w14:textId="77777777" w:rsidR="00190EA6" w:rsidRPr="0029276D" w:rsidRDefault="00190EA6" w:rsidP="00190EA6">
      <w:pPr>
        <w:suppressAutoHyphens w:val="0"/>
        <w:kinsoku/>
        <w:overflowPunct/>
        <w:autoSpaceDE/>
        <w:autoSpaceDN/>
        <w:adjustRightInd/>
        <w:snapToGrid/>
        <w:spacing w:after="200" w:line="276" w:lineRule="auto"/>
        <w:jc w:val="center"/>
        <w:rPr>
          <w:b/>
          <w:szCs w:val="24"/>
        </w:rPr>
      </w:pPr>
    </w:p>
    <w:p w14:paraId="6A28FE77" w14:textId="77777777" w:rsidR="00190EA6" w:rsidRPr="0029276D" w:rsidRDefault="00190EA6" w:rsidP="00383867">
      <w:pPr>
        <w:pStyle w:val="HChG"/>
      </w:pPr>
      <w:r w:rsidRPr="0029276D">
        <w:rPr>
          <w:szCs w:val="24"/>
        </w:rPr>
        <w:br w:type="page"/>
      </w:r>
      <w:r w:rsidRPr="0029276D">
        <w:lastRenderedPageBreak/>
        <w:t>Annexe III</w:t>
      </w:r>
    </w:p>
    <w:p w14:paraId="41B70FE5" w14:textId="77777777" w:rsidR="00190EA6" w:rsidRPr="0029276D" w:rsidRDefault="00190EA6" w:rsidP="00383867">
      <w:pPr>
        <w:pStyle w:val="HChG"/>
      </w:pPr>
      <w:r w:rsidRPr="0029276D">
        <w:tab/>
      </w:r>
      <w:r w:rsidRPr="0029276D">
        <w:tab/>
        <w:t>Liste détaillée de la perte de charge des accumulateurs et batteries au lithium-ion pendant le</w:t>
      </w:r>
      <w:r w:rsidR="00F51B17" w:rsidRPr="0029276D">
        <w:t> </w:t>
      </w:r>
      <w:r w:rsidRPr="0029276D">
        <w:t>transport, l’intégration et le stockage</w:t>
      </w:r>
    </w:p>
    <w:tbl>
      <w:tblPr>
        <w:tblW w:w="1377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2885"/>
        <w:gridCol w:w="2645"/>
        <w:gridCol w:w="2143"/>
        <w:gridCol w:w="2835"/>
        <w:gridCol w:w="2565"/>
      </w:tblGrid>
      <w:tr w:rsidR="0029276D" w:rsidRPr="0029276D" w14:paraId="1837B69C" w14:textId="77777777" w:rsidTr="008F306A">
        <w:trPr>
          <w:trHeight w:val="519"/>
        </w:trPr>
        <w:tc>
          <w:tcPr>
            <w:tcW w:w="705" w:type="dxa"/>
            <w:tcMar>
              <w:top w:w="15" w:type="dxa"/>
              <w:left w:w="15" w:type="dxa"/>
              <w:bottom w:w="0" w:type="dxa"/>
              <w:right w:w="15" w:type="dxa"/>
            </w:tcMar>
            <w:vAlign w:val="center"/>
            <w:hideMark/>
          </w:tcPr>
          <w:p w14:paraId="26E996EA" w14:textId="77777777" w:rsidR="00190EA6" w:rsidRPr="0029276D" w:rsidRDefault="00190EA6" w:rsidP="00BF4CC7">
            <w:pPr>
              <w:kinsoku/>
              <w:overflowPunct/>
              <w:autoSpaceDE/>
              <w:autoSpaceDN/>
              <w:adjustRightInd/>
              <w:snapToGrid/>
              <w:spacing w:before="60" w:after="60"/>
              <w:jc w:val="center"/>
              <w:rPr>
                <w:rFonts w:eastAsiaTheme="minorEastAsia"/>
              </w:rPr>
            </w:pPr>
            <w:r w:rsidRPr="0029276D">
              <w:t>N°</w:t>
            </w:r>
          </w:p>
        </w:tc>
        <w:tc>
          <w:tcPr>
            <w:tcW w:w="2885" w:type="dxa"/>
            <w:tcMar>
              <w:top w:w="15" w:type="dxa"/>
              <w:left w:w="15" w:type="dxa"/>
              <w:bottom w:w="0" w:type="dxa"/>
              <w:right w:w="15" w:type="dxa"/>
            </w:tcMar>
            <w:vAlign w:val="center"/>
            <w:hideMark/>
          </w:tcPr>
          <w:p w14:paraId="6A4F56DD" w14:textId="77777777" w:rsidR="00190EA6" w:rsidRPr="0029276D" w:rsidRDefault="00190EA6" w:rsidP="00BF4CC7">
            <w:pPr>
              <w:kinsoku/>
              <w:overflowPunct/>
              <w:autoSpaceDE/>
              <w:autoSpaceDN/>
              <w:adjustRightInd/>
              <w:snapToGrid/>
              <w:spacing w:before="60" w:after="60"/>
              <w:ind w:left="57"/>
              <w:jc w:val="center"/>
              <w:rPr>
                <w:rFonts w:eastAsiaTheme="minorEastAsia"/>
              </w:rPr>
            </w:pPr>
            <w:r w:rsidRPr="0029276D">
              <w:t>Étape</w:t>
            </w:r>
          </w:p>
        </w:tc>
        <w:tc>
          <w:tcPr>
            <w:tcW w:w="2645" w:type="dxa"/>
            <w:vAlign w:val="center"/>
          </w:tcPr>
          <w:p w14:paraId="00C43D8C"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Lieu de départ</w:t>
            </w:r>
          </w:p>
        </w:tc>
        <w:tc>
          <w:tcPr>
            <w:tcW w:w="2143" w:type="dxa"/>
            <w:vAlign w:val="center"/>
          </w:tcPr>
          <w:p w14:paraId="0379CE7F"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Lieu d’arrivée</w:t>
            </w:r>
          </w:p>
        </w:tc>
        <w:tc>
          <w:tcPr>
            <w:tcW w:w="2835" w:type="dxa"/>
            <w:tcMar>
              <w:top w:w="15" w:type="dxa"/>
              <w:left w:w="15" w:type="dxa"/>
              <w:bottom w:w="0" w:type="dxa"/>
              <w:right w:w="15" w:type="dxa"/>
            </w:tcMar>
            <w:vAlign w:val="center"/>
            <w:hideMark/>
          </w:tcPr>
          <w:p w14:paraId="72F39F2C"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Informations complémentaires</w:t>
            </w:r>
          </w:p>
        </w:tc>
        <w:tc>
          <w:tcPr>
            <w:tcW w:w="2565" w:type="dxa"/>
            <w:tcMar>
              <w:top w:w="15" w:type="dxa"/>
              <w:left w:w="15" w:type="dxa"/>
              <w:bottom w:w="0" w:type="dxa"/>
              <w:right w:w="15" w:type="dxa"/>
            </w:tcMar>
            <w:vAlign w:val="center"/>
            <w:hideMark/>
          </w:tcPr>
          <w:p w14:paraId="072E59CD"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 xml:space="preserve">Perte de charge estimée, </w:t>
            </w:r>
            <w:r w:rsidR="008F306A" w:rsidRPr="0029276D">
              <w:br/>
            </w:r>
            <w:r w:rsidRPr="0029276D">
              <w:t>en % de la</w:t>
            </w:r>
            <w:r w:rsidR="00854F58" w:rsidRPr="0029276D">
              <w:t xml:space="preserve"> </w:t>
            </w:r>
            <w:r w:rsidRPr="0029276D">
              <w:t>capacité nominale</w:t>
            </w:r>
          </w:p>
        </w:tc>
      </w:tr>
      <w:tr w:rsidR="0029276D" w:rsidRPr="0029276D" w14:paraId="7C8D3F3F" w14:textId="77777777" w:rsidTr="008F306A">
        <w:trPr>
          <w:trHeight w:val="519"/>
        </w:trPr>
        <w:tc>
          <w:tcPr>
            <w:tcW w:w="705" w:type="dxa"/>
            <w:tcMar>
              <w:top w:w="15" w:type="dxa"/>
              <w:left w:w="15" w:type="dxa"/>
              <w:bottom w:w="0" w:type="dxa"/>
              <w:right w:w="15" w:type="dxa"/>
            </w:tcMar>
            <w:vAlign w:val="center"/>
            <w:hideMark/>
          </w:tcPr>
          <w:p w14:paraId="2C654DCC" w14:textId="77777777" w:rsidR="00190EA6" w:rsidRPr="0029276D" w:rsidRDefault="00190EA6" w:rsidP="00F51B17">
            <w:pPr>
              <w:kinsoku/>
              <w:overflowPunct/>
              <w:autoSpaceDE/>
              <w:autoSpaceDN/>
              <w:adjustRightInd/>
              <w:snapToGrid/>
              <w:spacing w:before="60" w:after="60"/>
              <w:jc w:val="center"/>
              <w:rPr>
                <w:rFonts w:eastAsiaTheme="minorEastAsia"/>
              </w:rPr>
            </w:pPr>
            <w:r w:rsidRPr="0029276D">
              <w:t>1</w:t>
            </w:r>
          </w:p>
        </w:tc>
        <w:tc>
          <w:tcPr>
            <w:tcW w:w="2885" w:type="dxa"/>
            <w:tcMar>
              <w:top w:w="15" w:type="dxa"/>
              <w:left w:w="15" w:type="dxa"/>
              <w:bottom w:w="0" w:type="dxa"/>
              <w:right w:w="15" w:type="dxa"/>
            </w:tcMar>
            <w:vAlign w:val="center"/>
            <w:hideMark/>
          </w:tcPr>
          <w:p w14:paraId="45665DC1" w14:textId="77777777" w:rsidR="00190EA6" w:rsidRPr="0029276D" w:rsidRDefault="00190EA6" w:rsidP="00BF4CC7">
            <w:pPr>
              <w:kinsoku/>
              <w:overflowPunct/>
              <w:autoSpaceDE/>
              <w:autoSpaceDN/>
              <w:adjustRightInd/>
              <w:snapToGrid/>
              <w:spacing w:before="60" w:after="60"/>
              <w:ind w:left="57"/>
              <w:rPr>
                <w:rFonts w:eastAsiaTheme="minorEastAsia"/>
              </w:rPr>
            </w:pPr>
            <w:r w:rsidRPr="0029276D">
              <w:t>Stockage et transport des</w:t>
            </w:r>
            <w:r w:rsidR="008F306A" w:rsidRPr="0029276D">
              <w:t> </w:t>
            </w:r>
            <w:r w:rsidRPr="0029276D">
              <w:t>accumulateurs et batteries</w:t>
            </w:r>
          </w:p>
        </w:tc>
        <w:tc>
          <w:tcPr>
            <w:tcW w:w="2645" w:type="dxa"/>
            <w:vAlign w:val="center"/>
          </w:tcPr>
          <w:p w14:paraId="03279C5E"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Fabricants d’accumulateurs et</w:t>
            </w:r>
            <w:r w:rsidR="00BF4CC7" w:rsidRPr="0029276D">
              <w:t> </w:t>
            </w:r>
            <w:r w:rsidRPr="0029276D">
              <w:t>batteries au lithium-ion</w:t>
            </w:r>
          </w:p>
        </w:tc>
        <w:tc>
          <w:tcPr>
            <w:tcW w:w="2143" w:type="dxa"/>
            <w:vAlign w:val="center"/>
          </w:tcPr>
          <w:p w14:paraId="21A6812A"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Intégrateurs</w:t>
            </w:r>
          </w:p>
        </w:tc>
        <w:tc>
          <w:tcPr>
            <w:tcW w:w="2835" w:type="dxa"/>
            <w:tcMar>
              <w:top w:w="15" w:type="dxa"/>
              <w:left w:w="15" w:type="dxa"/>
              <w:bottom w:w="0" w:type="dxa"/>
              <w:right w:w="15" w:type="dxa"/>
            </w:tcMar>
            <w:vAlign w:val="center"/>
            <w:hideMark/>
          </w:tcPr>
          <w:p w14:paraId="0BB5F8E3"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Transport international</w:t>
            </w:r>
            <w:r w:rsidR="00F51B17" w:rsidRPr="0029276D">
              <w:t> :</w:t>
            </w:r>
            <w:r w:rsidRPr="0029276D">
              <w:t xml:space="preserve"> 60 jours, 45 ℃</w:t>
            </w:r>
          </w:p>
        </w:tc>
        <w:tc>
          <w:tcPr>
            <w:tcW w:w="2565" w:type="dxa"/>
            <w:tcMar>
              <w:top w:w="15" w:type="dxa"/>
              <w:left w:w="15" w:type="dxa"/>
              <w:bottom w:w="0" w:type="dxa"/>
              <w:right w:w="15" w:type="dxa"/>
            </w:tcMar>
            <w:vAlign w:val="center"/>
            <w:hideMark/>
          </w:tcPr>
          <w:p w14:paraId="5F19D1AA"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6</w:t>
            </w:r>
          </w:p>
        </w:tc>
      </w:tr>
      <w:tr w:rsidR="0029276D" w:rsidRPr="0029276D" w14:paraId="2EDB8858" w14:textId="77777777" w:rsidTr="008F306A">
        <w:trPr>
          <w:trHeight w:val="519"/>
        </w:trPr>
        <w:tc>
          <w:tcPr>
            <w:tcW w:w="705" w:type="dxa"/>
            <w:tcMar>
              <w:top w:w="15" w:type="dxa"/>
              <w:left w:w="15" w:type="dxa"/>
              <w:bottom w:w="0" w:type="dxa"/>
              <w:right w:w="15" w:type="dxa"/>
            </w:tcMar>
            <w:vAlign w:val="center"/>
            <w:hideMark/>
          </w:tcPr>
          <w:p w14:paraId="51C04195" w14:textId="77777777" w:rsidR="00190EA6" w:rsidRPr="0029276D" w:rsidRDefault="00190EA6" w:rsidP="00F51B17">
            <w:pPr>
              <w:kinsoku/>
              <w:overflowPunct/>
              <w:autoSpaceDE/>
              <w:autoSpaceDN/>
              <w:adjustRightInd/>
              <w:snapToGrid/>
              <w:spacing w:before="60" w:after="60"/>
              <w:jc w:val="center"/>
              <w:rPr>
                <w:rFonts w:eastAsiaTheme="minorEastAsia"/>
              </w:rPr>
            </w:pPr>
            <w:r w:rsidRPr="0029276D">
              <w:t>2</w:t>
            </w:r>
          </w:p>
        </w:tc>
        <w:tc>
          <w:tcPr>
            <w:tcW w:w="2885" w:type="dxa"/>
            <w:tcMar>
              <w:top w:w="15" w:type="dxa"/>
              <w:left w:w="15" w:type="dxa"/>
              <w:bottom w:w="0" w:type="dxa"/>
              <w:right w:w="15" w:type="dxa"/>
            </w:tcMar>
            <w:vAlign w:val="center"/>
            <w:hideMark/>
          </w:tcPr>
          <w:p w14:paraId="57A0C7F8" w14:textId="77777777" w:rsidR="00190EA6" w:rsidRPr="0029276D" w:rsidRDefault="00190EA6" w:rsidP="00BF4CC7">
            <w:pPr>
              <w:kinsoku/>
              <w:overflowPunct/>
              <w:autoSpaceDE/>
              <w:autoSpaceDN/>
              <w:adjustRightInd/>
              <w:snapToGrid/>
              <w:spacing w:before="60" w:after="60"/>
              <w:ind w:left="57"/>
              <w:rPr>
                <w:rFonts w:eastAsiaTheme="minorEastAsia"/>
              </w:rPr>
            </w:pPr>
            <w:r w:rsidRPr="0029276D">
              <w:t>Stockage et intégration des</w:t>
            </w:r>
            <w:r w:rsidR="008F306A" w:rsidRPr="0029276D">
              <w:t> </w:t>
            </w:r>
            <w:r w:rsidRPr="0029276D">
              <w:t>accumulateurs et batteries dans des équipements</w:t>
            </w:r>
          </w:p>
        </w:tc>
        <w:tc>
          <w:tcPr>
            <w:tcW w:w="2645" w:type="dxa"/>
            <w:vAlign w:val="center"/>
          </w:tcPr>
          <w:p w14:paraId="4E2462F0"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Intégrateurs</w:t>
            </w:r>
          </w:p>
        </w:tc>
        <w:tc>
          <w:tcPr>
            <w:tcW w:w="2143" w:type="dxa"/>
            <w:vAlign w:val="center"/>
          </w:tcPr>
          <w:p w14:paraId="64F475F7"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Intégrateurs</w:t>
            </w:r>
          </w:p>
        </w:tc>
        <w:tc>
          <w:tcPr>
            <w:tcW w:w="2835" w:type="dxa"/>
            <w:tcMar>
              <w:top w:w="15" w:type="dxa"/>
              <w:left w:w="15" w:type="dxa"/>
              <w:bottom w:w="0" w:type="dxa"/>
              <w:right w:w="15" w:type="dxa"/>
            </w:tcMar>
            <w:vAlign w:val="center"/>
            <w:hideMark/>
          </w:tcPr>
          <w:p w14:paraId="115E6A56"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45 jours</w:t>
            </w:r>
          </w:p>
        </w:tc>
        <w:tc>
          <w:tcPr>
            <w:tcW w:w="2565" w:type="dxa"/>
            <w:tcMar>
              <w:top w:w="15" w:type="dxa"/>
              <w:left w:w="15" w:type="dxa"/>
              <w:bottom w:w="0" w:type="dxa"/>
              <w:right w:w="15" w:type="dxa"/>
            </w:tcMar>
            <w:vAlign w:val="center"/>
            <w:hideMark/>
          </w:tcPr>
          <w:p w14:paraId="6E222467"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3</w:t>
            </w:r>
          </w:p>
        </w:tc>
      </w:tr>
      <w:tr w:rsidR="0029276D" w:rsidRPr="0029276D" w14:paraId="251518EA" w14:textId="77777777" w:rsidTr="008F306A">
        <w:trPr>
          <w:trHeight w:val="519"/>
        </w:trPr>
        <w:tc>
          <w:tcPr>
            <w:tcW w:w="705" w:type="dxa"/>
            <w:tcMar>
              <w:top w:w="15" w:type="dxa"/>
              <w:left w:w="15" w:type="dxa"/>
              <w:bottom w:w="0" w:type="dxa"/>
              <w:right w:w="15" w:type="dxa"/>
            </w:tcMar>
            <w:vAlign w:val="center"/>
            <w:hideMark/>
          </w:tcPr>
          <w:p w14:paraId="370A5470" w14:textId="77777777" w:rsidR="00190EA6" w:rsidRPr="0029276D" w:rsidRDefault="00190EA6" w:rsidP="00F51B17">
            <w:pPr>
              <w:kinsoku/>
              <w:overflowPunct/>
              <w:autoSpaceDE/>
              <w:autoSpaceDN/>
              <w:adjustRightInd/>
              <w:snapToGrid/>
              <w:spacing w:before="60" w:after="60"/>
              <w:jc w:val="center"/>
              <w:rPr>
                <w:rFonts w:eastAsiaTheme="minorEastAsia"/>
              </w:rPr>
            </w:pPr>
            <w:r w:rsidRPr="0029276D">
              <w:t>3</w:t>
            </w:r>
          </w:p>
        </w:tc>
        <w:tc>
          <w:tcPr>
            <w:tcW w:w="2885" w:type="dxa"/>
            <w:tcMar>
              <w:top w:w="15" w:type="dxa"/>
              <w:left w:w="15" w:type="dxa"/>
              <w:bottom w:w="0" w:type="dxa"/>
              <w:right w:w="15" w:type="dxa"/>
            </w:tcMar>
            <w:vAlign w:val="center"/>
            <w:hideMark/>
          </w:tcPr>
          <w:p w14:paraId="22561692" w14:textId="77777777" w:rsidR="00190EA6" w:rsidRPr="0029276D" w:rsidRDefault="00190EA6" w:rsidP="00BF4CC7">
            <w:pPr>
              <w:kinsoku/>
              <w:overflowPunct/>
              <w:autoSpaceDE/>
              <w:autoSpaceDN/>
              <w:adjustRightInd/>
              <w:snapToGrid/>
              <w:spacing w:before="60" w:after="60"/>
              <w:ind w:left="57"/>
              <w:rPr>
                <w:rFonts w:eastAsiaTheme="minorEastAsia"/>
              </w:rPr>
            </w:pPr>
            <w:r w:rsidRPr="0029276D">
              <w:t>Essai des équipements</w:t>
            </w:r>
          </w:p>
        </w:tc>
        <w:tc>
          <w:tcPr>
            <w:tcW w:w="2645" w:type="dxa"/>
            <w:vAlign w:val="center"/>
          </w:tcPr>
          <w:p w14:paraId="5BAC9643"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Intégrateurs</w:t>
            </w:r>
          </w:p>
        </w:tc>
        <w:tc>
          <w:tcPr>
            <w:tcW w:w="2143" w:type="dxa"/>
            <w:vAlign w:val="center"/>
          </w:tcPr>
          <w:p w14:paraId="070D5D2A"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Intégrateurs</w:t>
            </w:r>
          </w:p>
        </w:tc>
        <w:tc>
          <w:tcPr>
            <w:tcW w:w="2835" w:type="dxa"/>
            <w:tcMar>
              <w:top w:w="15" w:type="dxa"/>
              <w:left w:w="15" w:type="dxa"/>
              <w:bottom w:w="0" w:type="dxa"/>
              <w:right w:w="15" w:type="dxa"/>
            </w:tcMar>
            <w:vAlign w:val="center"/>
            <w:hideMark/>
          </w:tcPr>
          <w:p w14:paraId="26BBB90D"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Essai de fonctionnement</w:t>
            </w:r>
          </w:p>
        </w:tc>
        <w:tc>
          <w:tcPr>
            <w:tcW w:w="2565" w:type="dxa"/>
            <w:tcMar>
              <w:top w:w="15" w:type="dxa"/>
              <w:left w:w="15" w:type="dxa"/>
              <w:bottom w:w="0" w:type="dxa"/>
              <w:right w:w="15" w:type="dxa"/>
            </w:tcMar>
            <w:vAlign w:val="center"/>
            <w:hideMark/>
          </w:tcPr>
          <w:p w14:paraId="0AB6E252"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6</w:t>
            </w:r>
          </w:p>
        </w:tc>
      </w:tr>
      <w:tr w:rsidR="0029276D" w:rsidRPr="0029276D" w14:paraId="6031EE5E" w14:textId="77777777" w:rsidTr="008F306A">
        <w:trPr>
          <w:trHeight w:val="519"/>
        </w:trPr>
        <w:tc>
          <w:tcPr>
            <w:tcW w:w="705" w:type="dxa"/>
            <w:tcMar>
              <w:top w:w="15" w:type="dxa"/>
              <w:left w:w="15" w:type="dxa"/>
              <w:bottom w:w="0" w:type="dxa"/>
              <w:right w:w="15" w:type="dxa"/>
            </w:tcMar>
            <w:vAlign w:val="center"/>
            <w:hideMark/>
          </w:tcPr>
          <w:p w14:paraId="35699A88" w14:textId="77777777" w:rsidR="00190EA6" w:rsidRPr="0029276D" w:rsidRDefault="00190EA6" w:rsidP="00F51B17">
            <w:pPr>
              <w:kinsoku/>
              <w:overflowPunct/>
              <w:autoSpaceDE/>
              <w:autoSpaceDN/>
              <w:adjustRightInd/>
              <w:snapToGrid/>
              <w:spacing w:before="60" w:after="60"/>
              <w:jc w:val="center"/>
              <w:rPr>
                <w:rFonts w:eastAsiaTheme="minorEastAsia"/>
              </w:rPr>
            </w:pPr>
            <w:r w:rsidRPr="0029276D">
              <w:t>4</w:t>
            </w:r>
          </w:p>
        </w:tc>
        <w:tc>
          <w:tcPr>
            <w:tcW w:w="2885" w:type="dxa"/>
            <w:tcMar>
              <w:top w:w="15" w:type="dxa"/>
              <w:left w:w="15" w:type="dxa"/>
              <w:bottom w:w="0" w:type="dxa"/>
              <w:right w:w="15" w:type="dxa"/>
            </w:tcMar>
            <w:vAlign w:val="center"/>
            <w:hideMark/>
          </w:tcPr>
          <w:p w14:paraId="2F5A1EDC" w14:textId="77777777" w:rsidR="00190EA6" w:rsidRPr="0029276D" w:rsidRDefault="00190EA6" w:rsidP="00BF4CC7">
            <w:pPr>
              <w:kinsoku/>
              <w:overflowPunct/>
              <w:autoSpaceDE/>
              <w:autoSpaceDN/>
              <w:adjustRightInd/>
              <w:snapToGrid/>
              <w:spacing w:before="60" w:after="60"/>
              <w:ind w:left="57"/>
              <w:rPr>
                <w:rFonts w:eastAsiaTheme="minorEastAsia"/>
              </w:rPr>
            </w:pPr>
            <w:r w:rsidRPr="0029276D">
              <w:t>Stockage chez les intégrateurs et</w:t>
            </w:r>
            <w:r w:rsidR="008F306A" w:rsidRPr="0029276D">
              <w:t> </w:t>
            </w:r>
            <w:r w:rsidRPr="0029276D">
              <w:t>transport vers les distributeurs</w:t>
            </w:r>
          </w:p>
        </w:tc>
        <w:tc>
          <w:tcPr>
            <w:tcW w:w="2645" w:type="dxa"/>
            <w:vAlign w:val="center"/>
          </w:tcPr>
          <w:p w14:paraId="2F5EB464"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Intégrateurs</w:t>
            </w:r>
          </w:p>
        </w:tc>
        <w:tc>
          <w:tcPr>
            <w:tcW w:w="2143" w:type="dxa"/>
            <w:vAlign w:val="center"/>
          </w:tcPr>
          <w:p w14:paraId="5F3B2B54"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Distributeurs</w:t>
            </w:r>
          </w:p>
        </w:tc>
        <w:tc>
          <w:tcPr>
            <w:tcW w:w="2835" w:type="dxa"/>
            <w:tcMar>
              <w:top w:w="15" w:type="dxa"/>
              <w:left w:w="15" w:type="dxa"/>
              <w:bottom w:w="0" w:type="dxa"/>
              <w:right w:w="15" w:type="dxa"/>
            </w:tcMar>
            <w:vAlign w:val="center"/>
            <w:hideMark/>
          </w:tcPr>
          <w:p w14:paraId="7BFA2EE5"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90 jours</w:t>
            </w:r>
          </w:p>
        </w:tc>
        <w:tc>
          <w:tcPr>
            <w:tcW w:w="2565" w:type="dxa"/>
            <w:tcMar>
              <w:top w:w="15" w:type="dxa"/>
              <w:left w:w="15" w:type="dxa"/>
              <w:bottom w:w="0" w:type="dxa"/>
              <w:right w:w="15" w:type="dxa"/>
            </w:tcMar>
            <w:vAlign w:val="center"/>
            <w:hideMark/>
          </w:tcPr>
          <w:p w14:paraId="47E61149"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9</w:t>
            </w:r>
          </w:p>
        </w:tc>
      </w:tr>
      <w:tr w:rsidR="0029276D" w:rsidRPr="0029276D" w14:paraId="6AA6A48C" w14:textId="77777777" w:rsidTr="008F306A">
        <w:trPr>
          <w:trHeight w:val="519"/>
        </w:trPr>
        <w:tc>
          <w:tcPr>
            <w:tcW w:w="705" w:type="dxa"/>
            <w:tcMar>
              <w:top w:w="15" w:type="dxa"/>
              <w:left w:w="15" w:type="dxa"/>
              <w:bottom w:w="0" w:type="dxa"/>
              <w:right w:w="15" w:type="dxa"/>
            </w:tcMar>
            <w:vAlign w:val="center"/>
          </w:tcPr>
          <w:p w14:paraId="7692659C" w14:textId="77777777" w:rsidR="00190EA6" w:rsidRPr="0029276D" w:rsidRDefault="00190EA6" w:rsidP="00F51B17">
            <w:pPr>
              <w:kinsoku/>
              <w:overflowPunct/>
              <w:autoSpaceDE/>
              <w:autoSpaceDN/>
              <w:adjustRightInd/>
              <w:snapToGrid/>
              <w:spacing w:before="60" w:after="60"/>
              <w:jc w:val="center"/>
              <w:rPr>
                <w:rFonts w:eastAsiaTheme="minorEastAsia"/>
              </w:rPr>
            </w:pPr>
            <w:r w:rsidRPr="0029276D">
              <w:t>5</w:t>
            </w:r>
          </w:p>
        </w:tc>
        <w:tc>
          <w:tcPr>
            <w:tcW w:w="2885" w:type="dxa"/>
            <w:tcMar>
              <w:top w:w="15" w:type="dxa"/>
              <w:left w:w="15" w:type="dxa"/>
              <w:bottom w:w="0" w:type="dxa"/>
              <w:right w:w="15" w:type="dxa"/>
            </w:tcMar>
            <w:vAlign w:val="center"/>
          </w:tcPr>
          <w:p w14:paraId="69510D3A" w14:textId="77777777" w:rsidR="00190EA6" w:rsidRPr="0029276D" w:rsidRDefault="00190EA6" w:rsidP="00BF4CC7">
            <w:pPr>
              <w:kinsoku/>
              <w:overflowPunct/>
              <w:autoSpaceDE/>
              <w:autoSpaceDN/>
              <w:adjustRightInd/>
              <w:snapToGrid/>
              <w:spacing w:before="60" w:after="60"/>
              <w:ind w:left="57"/>
              <w:rPr>
                <w:rFonts w:eastAsiaTheme="minorEastAsia"/>
              </w:rPr>
            </w:pPr>
            <w:r w:rsidRPr="0029276D">
              <w:t>Stockage chez les distributeurs</w:t>
            </w:r>
          </w:p>
        </w:tc>
        <w:tc>
          <w:tcPr>
            <w:tcW w:w="2645" w:type="dxa"/>
            <w:vAlign w:val="center"/>
          </w:tcPr>
          <w:p w14:paraId="65755823"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Distributeurs</w:t>
            </w:r>
          </w:p>
        </w:tc>
        <w:tc>
          <w:tcPr>
            <w:tcW w:w="2143" w:type="dxa"/>
            <w:vAlign w:val="center"/>
          </w:tcPr>
          <w:p w14:paraId="61C33066"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Distributeurs</w:t>
            </w:r>
          </w:p>
        </w:tc>
        <w:tc>
          <w:tcPr>
            <w:tcW w:w="2835" w:type="dxa"/>
            <w:tcMar>
              <w:top w:w="15" w:type="dxa"/>
              <w:left w:w="15" w:type="dxa"/>
              <w:bottom w:w="0" w:type="dxa"/>
              <w:right w:w="15" w:type="dxa"/>
            </w:tcMar>
            <w:vAlign w:val="center"/>
          </w:tcPr>
          <w:p w14:paraId="1824924C"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w:t>
            </w:r>
          </w:p>
        </w:tc>
        <w:tc>
          <w:tcPr>
            <w:tcW w:w="2565" w:type="dxa"/>
            <w:tcMar>
              <w:top w:w="15" w:type="dxa"/>
              <w:left w:w="15" w:type="dxa"/>
              <w:bottom w:w="0" w:type="dxa"/>
              <w:right w:w="15" w:type="dxa"/>
            </w:tcMar>
            <w:vAlign w:val="center"/>
          </w:tcPr>
          <w:p w14:paraId="4E0D2DE6"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6</w:t>
            </w:r>
          </w:p>
        </w:tc>
      </w:tr>
      <w:tr w:rsidR="0029276D" w:rsidRPr="0029276D" w14:paraId="08EAA2B1" w14:textId="77777777" w:rsidTr="008F306A">
        <w:trPr>
          <w:trHeight w:val="519"/>
        </w:trPr>
        <w:tc>
          <w:tcPr>
            <w:tcW w:w="705" w:type="dxa"/>
            <w:tcMar>
              <w:top w:w="15" w:type="dxa"/>
              <w:left w:w="15" w:type="dxa"/>
              <w:bottom w:w="0" w:type="dxa"/>
              <w:right w:w="15" w:type="dxa"/>
            </w:tcMar>
            <w:vAlign w:val="center"/>
            <w:hideMark/>
          </w:tcPr>
          <w:p w14:paraId="16038074" w14:textId="77777777" w:rsidR="00190EA6" w:rsidRPr="0029276D" w:rsidRDefault="00190EA6" w:rsidP="00F51B17">
            <w:pPr>
              <w:kinsoku/>
              <w:overflowPunct/>
              <w:autoSpaceDE/>
              <w:autoSpaceDN/>
              <w:adjustRightInd/>
              <w:snapToGrid/>
              <w:spacing w:before="60" w:after="60"/>
              <w:jc w:val="center"/>
              <w:rPr>
                <w:rFonts w:eastAsiaTheme="minorEastAsia"/>
              </w:rPr>
            </w:pPr>
            <w:r w:rsidRPr="0029276D">
              <w:t>6</w:t>
            </w:r>
          </w:p>
        </w:tc>
        <w:tc>
          <w:tcPr>
            <w:tcW w:w="2885" w:type="dxa"/>
            <w:tcMar>
              <w:top w:w="15" w:type="dxa"/>
              <w:left w:w="15" w:type="dxa"/>
              <w:bottom w:w="0" w:type="dxa"/>
              <w:right w:w="15" w:type="dxa"/>
            </w:tcMar>
            <w:vAlign w:val="center"/>
            <w:hideMark/>
          </w:tcPr>
          <w:p w14:paraId="1F63A3B5" w14:textId="77777777" w:rsidR="00190EA6" w:rsidRPr="0029276D" w:rsidRDefault="00190EA6" w:rsidP="00BF4CC7">
            <w:pPr>
              <w:kinsoku/>
              <w:overflowPunct/>
              <w:autoSpaceDE/>
              <w:autoSpaceDN/>
              <w:adjustRightInd/>
              <w:snapToGrid/>
              <w:spacing w:before="60" w:after="60"/>
              <w:ind w:left="57"/>
              <w:rPr>
                <w:rFonts w:eastAsiaTheme="minorEastAsia"/>
              </w:rPr>
            </w:pPr>
            <w:r w:rsidRPr="0029276D">
              <w:t>Total</w:t>
            </w:r>
          </w:p>
        </w:tc>
        <w:tc>
          <w:tcPr>
            <w:tcW w:w="2645" w:type="dxa"/>
            <w:vAlign w:val="center"/>
          </w:tcPr>
          <w:p w14:paraId="4C8C07C2" w14:textId="77777777" w:rsidR="00190EA6" w:rsidRPr="0029276D" w:rsidRDefault="00190EA6" w:rsidP="00C075E1">
            <w:pPr>
              <w:kinsoku/>
              <w:overflowPunct/>
              <w:autoSpaceDE/>
              <w:autoSpaceDN/>
              <w:adjustRightInd/>
              <w:snapToGrid/>
              <w:spacing w:before="60" w:after="60"/>
              <w:jc w:val="center"/>
              <w:rPr>
                <w:rFonts w:eastAsiaTheme="minorEastAsia"/>
              </w:rPr>
            </w:pPr>
          </w:p>
        </w:tc>
        <w:tc>
          <w:tcPr>
            <w:tcW w:w="2143" w:type="dxa"/>
            <w:vAlign w:val="center"/>
          </w:tcPr>
          <w:p w14:paraId="33126F60" w14:textId="77777777" w:rsidR="00190EA6" w:rsidRPr="0029276D" w:rsidRDefault="00190EA6" w:rsidP="00C075E1">
            <w:pPr>
              <w:kinsoku/>
              <w:overflowPunct/>
              <w:autoSpaceDE/>
              <w:autoSpaceDN/>
              <w:adjustRightInd/>
              <w:snapToGrid/>
              <w:spacing w:before="60" w:after="60"/>
              <w:jc w:val="center"/>
              <w:rPr>
                <w:rFonts w:eastAsiaTheme="minorEastAsia"/>
              </w:rPr>
            </w:pPr>
          </w:p>
        </w:tc>
        <w:tc>
          <w:tcPr>
            <w:tcW w:w="2835" w:type="dxa"/>
            <w:tcMar>
              <w:top w:w="15" w:type="dxa"/>
              <w:left w:w="15" w:type="dxa"/>
              <w:bottom w:w="0" w:type="dxa"/>
              <w:right w:w="15" w:type="dxa"/>
            </w:tcMar>
            <w:vAlign w:val="center"/>
          </w:tcPr>
          <w:p w14:paraId="65477DCE" w14:textId="77777777" w:rsidR="00190EA6" w:rsidRPr="0029276D" w:rsidRDefault="00190EA6" w:rsidP="00C075E1">
            <w:pPr>
              <w:kinsoku/>
              <w:overflowPunct/>
              <w:autoSpaceDE/>
              <w:autoSpaceDN/>
              <w:adjustRightInd/>
              <w:snapToGrid/>
              <w:spacing w:before="60" w:after="60"/>
              <w:jc w:val="center"/>
              <w:rPr>
                <w:rFonts w:eastAsiaTheme="minorEastAsia"/>
              </w:rPr>
            </w:pPr>
          </w:p>
        </w:tc>
        <w:tc>
          <w:tcPr>
            <w:tcW w:w="2565" w:type="dxa"/>
            <w:tcMar>
              <w:top w:w="15" w:type="dxa"/>
              <w:left w:w="15" w:type="dxa"/>
              <w:bottom w:w="0" w:type="dxa"/>
              <w:right w:w="15" w:type="dxa"/>
            </w:tcMar>
            <w:vAlign w:val="center"/>
            <w:hideMark/>
          </w:tcPr>
          <w:p w14:paraId="02B23011" w14:textId="77777777" w:rsidR="00190EA6" w:rsidRPr="0029276D" w:rsidRDefault="00190EA6" w:rsidP="00C075E1">
            <w:pPr>
              <w:kinsoku/>
              <w:overflowPunct/>
              <w:autoSpaceDE/>
              <w:autoSpaceDN/>
              <w:adjustRightInd/>
              <w:snapToGrid/>
              <w:spacing w:before="60" w:after="60"/>
              <w:ind w:left="57"/>
              <w:jc w:val="center"/>
              <w:rPr>
                <w:rFonts w:eastAsiaTheme="minorEastAsia"/>
              </w:rPr>
            </w:pPr>
            <w:r w:rsidRPr="0029276D">
              <w:t>30</w:t>
            </w:r>
          </w:p>
        </w:tc>
      </w:tr>
    </w:tbl>
    <w:p w14:paraId="2C7021B8" w14:textId="77777777" w:rsidR="00383867" w:rsidRPr="0029276D" w:rsidRDefault="00383867" w:rsidP="00190EA6">
      <w:pPr>
        <w:sectPr w:rsidR="00383867" w:rsidRPr="0029276D" w:rsidSect="00190EA6">
          <w:headerReference w:type="even" r:id="rId59"/>
          <w:headerReference w:type="default" r:id="rId60"/>
          <w:footerReference w:type="even" r:id="rId61"/>
          <w:footerReference w:type="default" r:id="rId62"/>
          <w:endnotePr>
            <w:numFmt w:val="decimal"/>
          </w:endnotePr>
          <w:pgSz w:w="16838" w:h="11906" w:orient="landscape" w:code="9"/>
          <w:pgMar w:top="1134" w:right="1417" w:bottom="1134" w:left="1134" w:header="567" w:footer="567" w:gutter="0"/>
          <w:cols w:space="708"/>
          <w:docGrid w:linePitch="360"/>
        </w:sectPr>
      </w:pPr>
    </w:p>
    <w:p w14:paraId="64CA49E7" w14:textId="77777777" w:rsidR="00383867" w:rsidRPr="0029276D" w:rsidRDefault="00383867" w:rsidP="00383867">
      <w:pPr>
        <w:pStyle w:val="HChG"/>
        <w:rPr>
          <w:szCs w:val="24"/>
        </w:rPr>
      </w:pPr>
      <w:r w:rsidRPr="0029276D">
        <w:lastRenderedPageBreak/>
        <w:tab/>
      </w:r>
      <w:r w:rsidRPr="0029276D">
        <w:tab/>
        <w:t>Bibliographie</w:t>
      </w:r>
    </w:p>
    <w:p w14:paraId="3F820B1B" w14:textId="77777777" w:rsidR="00383867" w:rsidRPr="0029276D" w:rsidRDefault="00383867" w:rsidP="00383867">
      <w:pPr>
        <w:pStyle w:val="SingleTxtG"/>
        <w:rPr>
          <w:u w:val="single"/>
        </w:rPr>
      </w:pPr>
      <w:r w:rsidRPr="0029276D">
        <w:t>i.</w:t>
      </w:r>
      <w:r w:rsidRPr="0029276D">
        <w:tab/>
        <w:t>DGP-WG/15-IP/1</w:t>
      </w:r>
      <w:r w:rsidR="00F51B17" w:rsidRPr="0029276D">
        <w:t> :</w:t>
      </w:r>
      <w:r w:rsidRPr="0029276D">
        <w:t xml:space="preserve"> Réunion d’experts sur les marchandises dangereuses (DGP</w:t>
      </w:r>
      <w:r w:rsidR="00854F58" w:rsidRPr="0029276D">
        <w:noBreakHyphen/>
      </w:r>
      <w:r w:rsidRPr="0029276D">
        <w:t>WP/15), Montréal, 27 avril-1</w:t>
      </w:r>
      <w:r w:rsidRPr="0029276D">
        <w:rPr>
          <w:vertAlign w:val="superscript"/>
        </w:rPr>
        <w:t>er</w:t>
      </w:r>
      <w:r w:rsidR="00854F58" w:rsidRPr="0029276D">
        <w:t> </w:t>
      </w:r>
      <w:r w:rsidRPr="0029276D">
        <w:t xml:space="preserve">mai 2015. Implications of adopting a state of charge (Presented by PRBA </w:t>
      </w:r>
      <w:r w:rsidR="00C075E1" w:rsidRPr="0029276D">
        <w:t>−</w:t>
      </w:r>
      <w:r w:rsidRPr="0029276D">
        <w:t xml:space="preserve"> The Rechargeable Battery Association) (Implications de l’adoption d’un niveau de charge, présenté par PRBA </w:t>
      </w:r>
      <w:r w:rsidR="00C075E1" w:rsidRPr="0029276D">
        <w:t>−</w:t>
      </w:r>
      <w:r w:rsidRPr="0029276D">
        <w:t xml:space="preserve"> The Rechargeable Battery Association). </w:t>
      </w:r>
      <w:hyperlink r:id="rId63" w:history="1">
        <w:r w:rsidRPr="0029276D">
          <w:rPr>
            <w:rStyle w:val="Hyperlink"/>
            <w:color w:val="auto"/>
          </w:rPr>
          <w:t>https</w:t>
        </w:r>
        <w:r w:rsidR="00F51B17" w:rsidRPr="0029276D">
          <w:rPr>
            <w:rStyle w:val="Hyperlink"/>
            <w:color w:val="auto"/>
          </w:rPr>
          <w:t>:</w:t>
        </w:r>
        <w:r w:rsidRPr="0029276D">
          <w:rPr>
            <w:rStyle w:val="Hyperlink"/>
            <w:color w:val="auto"/>
          </w:rPr>
          <w:t>//www.icao.int/safety/DangerousGoods/DGPWG15/DGPWG.15.IP.001.5.en.pdf</w:t>
        </w:r>
      </w:hyperlink>
    </w:p>
    <w:p w14:paraId="7AF0E76B" w14:textId="77777777" w:rsidR="00383867" w:rsidRPr="0029276D" w:rsidRDefault="00383867" w:rsidP="00383867">
      <w:pPr>
        <w:pStyle w:val="SingleTxtG"/>
        <w:rPr>
          <w:u w:val="single"/>
        </w:rPr>
      </w:pPr>
      <w:r w:rsidRPr="0029276D">
        <w:t>ii.</w:t>
      </w:r>
      <w:r w:rsidRPr="0029276D">
        <w:tab/>
        <w:t>ST/SG/AC.10/C.3/2004/96</w:t>
      </w:r>
      <w:r w:rsidR="00F51B17" w:rsidRPr="0029276D">
        <w:t> :</w:t>
      </w:r>
      <w:r w:rsidRPr="0029276D">
        <w:t xml:space="preserve"> Sous-Comité d’experts du transport des marchandises dangereuses, vingt-sixième session, 29</w:t>
      </w:r>
      <w:r w:rsidR="00C075E1" w:rsidRPr="0029276D">
        <w:t> </w:t>
      </w:r>
      <w:r w:rsidRPr="0029276D">
        <w:t>novembre-3</w:t>
      </w:r>
      <w:r w:rsidR="00C075E1" w:rsidRPr="0029276D">
        <w:t> </w:t>
      </w:r>
      <w:r w:rsidRPr="0029276D">
        <w:t xml:space="preserve">décembre 2004. </w:t>
      </w:r>
      <w:r w:rsidRPr="0029276D">
        <w:rPr>
          <w:i/>
          <w:iCs/>
        </w:rPr>
        <w:t>Modifications de la disposition spéciale 188 pour les batteries au lithium et du Manuel d’épreuves et de critères de l’ONU, communication de la Portable Rechargeable Battery Association (PRBA).</w:t>
      </w:r>
      <w:r w:rsidRPr="0029276D">
        <w:t xml:space="preserve"> </w:t>
      </w:r>
      <w:hyperlink r:id="rId64" w:history="1">
        <w:r w:rsidRPr="0029276D">
          <w:rPr>
            <w:rStyle w:val="Hyperlink"/>
            <w:color w:val="auto"/>
          </w:rPr>
          <w:t>www.unece.org/fileadmin/DAM/trans/doc/2004/ac10c3/ST-SG-AC10-C3-2004-96f.pdf</w:t>
        </w:r>
      </w:hyperlink>
    </w:p>
    <w:p w14:paraId="06EAE132" w14:textId="77777777" w:rsidR="00383867" w:rsidRPr="0029276D" w:rsidRDefault="00383867" w:rsidP="00383867">
      <w:pPr>
        <w:pStyle w:val="SingleTxtG"/>
        <w:rPr>
          <w:u w:val="single"/>
        </w:rPr>
      </w:pPr>
      <w:r w:rsidRPr="0029276D">
        <w:t>iii.</w:t>
      </w:r>
      <w:r w:rsidRPr="0029276D">
        <w:tab/>
        <w:t>EVS1541-616[CHN] Thermal propagation research update, fifteenth session, 21st</w:t>
      </w:r>
      <w:r w:rsidR="00C075E1" w:rsidRPr="0029276D">
        <w:noBreakHyphen/>
      </w:r>
      <w:r w:rsidRPr="0029276D">
        <w:t>23rd</w:t>
      </w:r>
      <w:r w:rsidR="00C075E1" w:rsidRPr="0029276D">
        <w:t> </w:t>
      </w:r>
      <w:r w:rsidRPr="0029276D">
        <w:t>March 2018 (Commission économique pour l’Europe, Groupe de travail informel de la sécurité des véhicules électriques</w:t>
      </w:r>
      <w:r w:rsidR="00F51B17" w:rsidRPr="0029276D">
        <w:t> :</w:t>
      </w:r>
      <w:r w:rsidRPr="0029276D">
        <w:t xml:space="preserve"> état d’avancement de la recherche sur la propagation thermique, quinzième session, 21-23</w:t>
      </w:r>
      <w:r w:rsidR="00C075E1" w:rsidRPr="0029276D">
        <w:t> </w:t>
      </w:r>
      <w:r w:rsidRPr="0029276D">
        <w:t xml:space="preserve">mars 2018). </w:t>
      </w:r>
      <w:hyperlink r:id="rId65" w:history="1">
        <w:r w:rsidRPr="0029276D">
          <w:rPr>
            <w:rStyle w:val="Hyperlink"/>
            <w:color w:val="auto"/>
          </w:rPr>
          <w:t>https</w:t>
        </w:r>
        <w:r w:rsidR="00F51B17" w:rsidRPr="0029276D">
          <w:rPr>
            <w:rStyle w:val="Hyperlink"/>
            <w:color w:val="auto"/>
          </w:rPr>
          <w:t>:</w:t>
        </w:r>
        <w:r w:rsidRPr="0029276D">
          <w:rPr>
            <w:rStyle w:val="Hyperlink"/>
            <w:color w:val="auto"/>
          </w:rPr>
          <w:t>//wiki.unece.org/</w:t>
        </w:r>
        <w:r w:rsidR="00C075E1" w:rsidRPr="0029276D">
          <w:rPr>
            <w:rStyle w:val="Hyperlink"/>
            <w:color w:val="auto"/>
          </w:rPr>
          <w:t xml:space="preserve"> </w:t>
        </w:r>
        <w:r w:rsidRPr="0029276D">
          <w:rPr>
            <w:rStyle w:val="Hyperlink"/>
            <w:color w:val="auto"/>
          </w:rPr>
          <w:t>display/trans/EVS+15th+session</w:t>
        </w:r>
      </w:hyperlink>
    </w:p>
    <w:p w14:paraId="7BCDEF3C" w14:textId="77777777" w:rsidR="00383867" w:rsidRPr="0029276D" w:rsidRDefault="00383867" w:rsidP="00383867">
      <w:pPr>
        <w:pStyle w:val="SingleTxtG"/>
      </w:pPr>
      <w:r w:rsidRPr="0029276D">
        <w:t>iv.</w:t>
      </w:r>
      <w:r w:rsidRPr="0029276D">
        <w:tab/>
        <w:t>ISO 6469-2019</w:t>
      </w:r>
      <w:r w:rsidR="00F51B17" w:rsidRPr="0029276D">
        <w:t> :</w:t>
      </w:r>
      <w:r w:rsidRPr="0029276D">
        <w:t xml:space="preserve"> Electrically propelled road vehicles </w:t>
      </w:r>
      <w:r w:rsidR="00C075E1" w:rsidRPr="0029276D">
        <w:t>−</w:t>
      </w:r>
      <w:r w:rsidRPr="0029276D">
        <w:t xml:space="preserve"> Safety specifications </w:t>
      </w:r>
      <w:r w:rsidR="00C075E1" w:rsidRPr="0029276D">
        <w:t>−</w:t>
      </w:r>
      <w:r w:rsidRPr="0029276D">
        <w:t xml:space="preserve"> Part</w:t>
      </w:r>
      <w:r w:rsidR="00C075E1" w:rsidRPr="0029276D">
        <w:t> </w:t>
      </w:r>
      <w:r w:rsidRPr="0029276D">
        <w:t>1</w:t>
      </w:r>
      <w:r w:rsidR="00F51B17" w:rsidRPr="0029276D">
        <w:t> :</w:t>
      </w:r>
      <w:r w:rsidRPr="0029276D">
        <w:t xml:space="preserve"> Rechargeable energy storage system (RESS) (Véhicules routiers électriques </w:t>
      </w:r>
      <w:r w:rsidR="00C075E1" w:rsidRPr="0029276D">
        <w:t>−</w:t>
      </w:r>
      <w:r w:rsidRPr="0029276D">
        <w:t xml:space="preserve"> Spécifications de sécurité </w:t>
      </w:r>
      <w:r w:rsidR="00C075E1" w:rsidRPr="0029276D">
        <w:t>−</w:t>
      </w:r>
      <w:r w:rsidRPr="0029276D">
        <w:t xml:space="preserve"> Partie</w:t>
      </w:r>
      <w:r w:rsidR="00C075E1" w:rsidRPr="0029276D">
        <w:t xml:space="preserve"> </w:t>
      </w:r>
      <w:r w:rsidRPr="0029276D">
        <w:t>1</w:t>
      </w:r>
      <w:r w:rsidR="00F51B17" w:rsidRPr="0029276D">
        <w:t> :</w:t>
      </w:r>
      <w:r w:rsidRPr="0029276D">
        <w:t xml:space="preserve"> Système de stockage d’énergie rechargeable) </w:t>
      </w:r>
      <w:r w:rsidR="00C075E1" w:rsidRPr="0029276D">
        <w:t>−</w:t>
      </w:r>
      <w:r w:rsidRPr="0029276D">
        <w:t xml:space="preserve"> en anglais uniquement. </w:t>
      </w:r>
      <w:hyperlink r:id="rId66" w:history="1">
        <w:r w:rsidRPr="0029276D">
          <w:rPr>
            <w:rStyle w:val="Hyperlink"/>
            <w:color w:val="auto"/>
          </w:rPr>
          <w:t>https</w:t>
        </w:r>
        <w:r w:rsidR="00F51B17" w:rsidRPr="0029276D">
          <w:rPr>
            <w:rStyle w:val="Hyperlink"/>
            <w:color w:val="auto"/>
          </w:rPr>
          <w:t>:</w:t>
        </w:r>
        <w:r w:rsidRPr="0029276D">
          <w:rPr>
            <w:rStyle w:val="Hyperlink"/>
            <w:color w:val="auto"/>
          </w:rPr>
          <w:t>//www.iso.org/standard/68665.html</w:t>
        </w:r>
      </w:hyperlink>
    </w:p>
    <w:p w14:paraId="265FDA38" w14:textId="77777777" w:rsidR="00383867" w:rsidRPr="0029276D" w:rsidRDefault="00383867" w:rsidP="00383867">
      <w:pPr>
        <w:pStyle w:val="SingleTxtG"/>
        <w:spacing w:before="240" w:after="0"/>
        <w:jc w:val="center"/>
        <w:rPr>
          <w:u w:val="single"/>
        </w:rPr>
      </w:pPr>
      <w:r w:rsidRPr="0029276D">
        <w:rPr>
          <w:u w:val="single"/>
        </w:rPr>
        <w:tab/>
      </w:r>
      <w:r w:rsidRPr="0029276D">
        <w:rPr>
          <w:u w:val="single"/>
        </w:rPr>
        <w:tab/>
      </w:r>
      <w:r w:rsidRPr="0029276D">
        <w:rPr>
          <w:u w:val="single"/>
        </w:rPr>
        <w:tab/>
      </w:r>
    </w:p>
    <w:sectPr w:rsidR="00383867" w:rsidRPr="0029276D" w:rsidSect="00383867">
      <w:headerReference w:type="even" r:id="rId67"/>
      <w:headerReference w:type="default" r:id="rId68"/>
      <w:footerReference w:type="even" r:id="rId69"/>
      <w:footerReference w:type="default" r:id="rId70"/>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5D34D" w14:textId="77777777" w:rsidR="00383867" w:rsidRDefault="00383867" w:rsidP="00F95C08">
      <w:pPr>
        <w:spacing w:line="240" w:lineRule="auto"/>
      </w:pPr>
    </w:p>
  </w:endnote>
  <w:endnote w:type="continuationSeparator" w:id="0">
    <w:p w14:paraId="7C9B6731" w14:textId="77777777" w:rsidR="00383867" w:rsidRPr="00AC3823" w:rsidRDefault="00383867" w:rsidP="00AC3823">
      <w:pPr>
        <w:pStyle w:val="Footer"/>
      </w:pPr>
    </w:p>
  </w:endnote>
  <w:endnote w:type="continuationNotice" w:id="1">
    <w:p w14:paraId="619B2302" w14:textId="77777777" w:rsidR="00383867" w:rsidRDefault="003838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auto"/>
    <w:pitch w:val="variable"/>
    <w:sig w:usb0="E00002FF" w:usb1="5000785B" w:usb2="00000000" w:usb3="00000000" w:csb0="0000019F" w:csb1="00000000"/>
  </w:font>
  <w:font w:name="仿宋">
    <w:altName w:val="Microsoft YaHei"/>
    <w:charset w:val="86"/>
    <w:family w:val="modern"/>
    <w:pitch w:val="fixed"/>
    <w:sig w:usb0="800002BF" w:usb1="38CF7CFA" w:usb2="00000016" w:usb3="00000000" w:csb0="00040001"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F903E" w14:textId="77777777" w:rsidR="00383867" w:rsidRPr="00D515E3" w:rsidRDefault="00383867" w:rsidP="00D515E3">
    <w:pPr>
      <w:pStyle w:val="Footer"/>
      <w:tabs>
        <w:tab w:val="right" w:pos="9638"/>
      </w:tabs>
    </w:pPr>
    <w:r w:rsidRPr="00D515E3">
      <w:rPr>
        <w:b/>
        <w:sz w:val="18"/>
      </w:rPr>
      <w:fldChar w:fldCharType="begin"/>
    </w:r>
    <w:r w:rsidRPr="00D515E3">
      <w:rPr>
        <w:b/>
        <w:sz w:val="18"/>
      </w:rPr>
      <w:instrText xml:space="preserve"> PAGE  \* MERGEFORMAT </w:instrText>
    </w:r>
    <w:r w:rsidRPr="00D515E3">
      <w:rPr>
        <w:b/>
        <w:sz w:val="18"/>
      </w:rPr>
      <w:fldChar w:fldCharType="separate"/>
    </w:r>
    <w:r w:rsidRPr="00D515E3">
      <w:rPr>
        <w:b/>
        <w:noProof/>
        <w:sz w:val="18"/>
      </w:rPr>
      <w:t>2</w:t>
    </w:r>
    <w:r w:rsidRPr="00D515E3">
      <w:rPr>
        <w:b/>
        <w:sz w:val="18"/>
      </w:rPr>
      <w:fldChar w:fldCharType="end"/>
    </w:r>
    <w:r>
      <w:rPr>
        <w:b/>
        <w:sz w:val="18"/>
      </w:rPr>
      <w:tab/>
    </w:r>
    <w:r>
      <w:t>GE.19-15318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4194E" w14:textId="77777777" w:rsidR="00383867" w:rsidRPr="00D515E3" w:rsidRDefault="00383867" w:rsidP="00D515E3">
    <w:pPr>
      <w:pStyle w:val="Footer"/>
      <w:tabs>
        <w:tab w:val="right" w:pos="9638"/>
      </w:tabs>
      <w:rPr>
        <w:b/>
        <w:sz w:val="18"/>
      </w:rPr>
    </w:pPr>
    <w:r>
      <w:t>GE.19-15318</w:t>
    </w:r>
    <w:r>
      <w:tab/>
    </w:r>
    <w:r w:rsidRPr="00D515E3">
      <w:rPr>
        <w:b/>
        <w:sz w:val="18"/>
      </w:rPr>
      <w:fldChar w:fldCharType="begin"/>
    </w:r>
    <w:r w:rsidRPr="00D515E3">
      <w:rPr>
        <w:b/>
        <w:sz w:val="18"/>
      </w:rPr>
      <w:instrText xml:space="preserve"> PAGE  \* MERGEFORMAT </w:instrText>
    </w:r>
    <w:r w:rsidRPr="00D515E3">
      <w:rPr>
        <w:b/>
        <w:sz w:val="18"/>
      </w:rPr>
      <w:fldChar w:fldCharType="separate"/>
    </w:r>
    <w:r w:rsidRPr="00D515E3">
      <w:rPr>
        <w:b/>
        <w:noProof/>
        <w:sz w:val="18"/>
      </w:rPr>
      <w:t>3</w:t>
    </w:r>
    <w:r w:rsidRPr="00D515E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59C7B" w14:textId="77777777" w:rsidR="00383867" w:rsidRPr="00D515E3" w:rsidRDefault="00383867" w:rsidP="00D515E3">
    <w:pPr>
      <w:pStyle w:val="Footer"/>
      <w:spacing w:before="120"/>
      <w:rPr>
        <w:sz w:val="20"/>
      </w:rPr>
    </w:pPr>
    <w:r>
      <w:rPr>
        <w:sz w:val="20"/>
      </w:rPr>
      <w:t>GE.</w:t>
    </w:r>
    <w:r>
      <w:rPr>
        <w:noProof/>
        <w:lang w:eastAsia="fr-CH"/>
      </w:rPr>
      <w:drawing>
        <wp:anchor distT="0" distB="0" distL="114300" distR="114300" simplePos="0" relativeHeight="251653120" behindDoc="0" locked="0" layoutInCell="1" allowOverlap="0" wp14:anchorId="51BD77FE" wp14:editId="6CB12D34">
          <wp:simplePos x="0" y="0"/>
          <wp:positionH relativeFrom="margin">
            <wp:posOffset>4319905</wp:posOffset>
          </wp:positionH>
          <wp:positionV relativeFrom="margin">
            <wp:posOffset>9144000</wp:posOffset>
          </wp:positionV>
          <wp:extent cx="1105200" cy="234000"/>
          <wp:effectExtent l="0" t="0" r="0" b="0"/>
          <wp:wrapNone/>
          <wp:docPr id="92" name="Image 9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19-15318  (F)    111019    141019</w:t>
    </w:r>
    <w:r>
      <w:rPr>
        <w:sz w:val="20"/>
      </w:rPr>
      <w:br/>
    </w:r>
    <w:r w:rsidRPr="00D515E3">
      <w:rPr>
        <w:rFonts w:ascii="C39T30Lfz" w:hAnsi="C39T30Lfz"/>
        <w:sz w:val="56"/>
      </w:rPr>
      <w:t></w:t>
    </w:r>
    <w:r w:rsidRPr="00D515E3">
      <w:rPr>
        <w:rFonts w:ascii="C39T30Lfz" w:hAnsi="C39T30Lfz"/>
        <w:sz w:val="56"/>
      </w:rPr>
      <w:t></w:t>
    </w:r>
    <w:r w:rsidRPr="00D515E3">
      <w:rPr>
        <w:rFonts w:ascii="C39T30Lfz" w:hAnsi="C39T30Lfz"/>
        <w:sz w:val="56"/>
      </w:rPr>
      <w:t></w:t>
    </w:r>
    <w:r w:rsidRPr="00D515E3">
      <w:rPr>
        <w:rFonts w:ascii="C39T30Lfz" w:hAnsi="C39T30Lfz"/>
        <w:sz w:val="56"/>
      </w:rPr>
      <w:t></w:t>
    </w:r>
    <w:r w:rsidRPr="00D515E3">
      <w:rPr>
        <w:rFonts w:ascii="C39T30Lfz" w:hAnsi="C39T30Lfz"/>
        <w:sz w:val="56"/>
      </w:rPr>
      <w:t></w:t>
    </w:r>
    <w:r w:rsidRPr="00D515E3">
      <w:rPr>
        <w:rFonts w:ascii="C39T30Lfz" w:hAnsi="C39T30Lfz"/>
        <w:sz w:val="56"/>
      </w:rPr>
      <w:t></w:t>
    </w:r>
    <w:r w:rsidRPr="00D515E3">
      <w:rPr>
        <w:rFonts w:ascii="C39T30Lfz" w:hAnsi="C39T30Lfz"/>
        <w:sz w:val="56"/>
      </w:rPr>
      <w:t></w:t>
    </w:r>
    <w:r w:rsidRPr="00D515E3">
      <w:rPr>
        <w:rFonts w:ascii="C39T30Lfz" w:hAnsi="C39T30Lfz"/>
        <w:sz w:val="56"/>
      </w:rPr>
      <w:t></w:t>
    </w:r>
    <w:r w:rsidRPr="00D515E3">
      <w:rPr>
        <w:rFonts w:ascii="C39T30Lfz" w:hAnsi="C39T30Lfz"/>
        <w:sz w:val="56"/>
      </w:rPr>
      <w:t></w:t>
    </w:r>
    <w:r>
      <w:rPr>
        <w:noProof/>
        <w:sz w:val="20"/>
      </w:rPr>
      <w:drawing>
        <wp:anchor distT="0" distB="0" distL="114300" distR="114300" simplePos="0" relativeHeight="251655168" behindDoc="0" locked="0" layoutInCell="1" allowOverlap="1" wp14:anchorId="64200D3D" wp14:editId="3CA8C5FC">
          <wp:simplePos x="0" y="0"/>
          <wp:positionH relativeFrom="margin">
            <wp:posOffset>5489575</wp:posOffset>
          </wp:positionH>
          <wp:positionV relativeFrom="margin">
            <wp:posOffset>8891905</wp:posOffset>
          </wp:positionV>
          <wp:extent cx="638175" cy="638175"/>
          <wp:effectExtent l="0" t="0" r="9525" b="9525"/>
          <wp:wrapNone/>
          <wp:docPr id="93" name="Image 1" descr="https://undocs.org/m2/QRCode.ashx?DS=ST/SG/AC.10/C.3/2019/46&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3/2019/46&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B72C7" w14:textId="77777777" w:rsidR="00383867" w:rsidRPr="00190EA6" w:rsidRDefault="00383867" w:rsidP="00190EA6">
    <w:pPr>
      <w:pStyle w:val="Footer"/>
    </w:pPr>
    <w:r>
      <w:rPr>
        <w:noProof/>
      </w:rPr>
      <mc:AlternateContent>
        <mc:Choice Requires="wps">
          <w:drawing>
            <wp:anchor distT="0" distB="0" distL="114300" distR="114300" simplePos="0" relativeHeight="251663360" behindDoc="0" locked="0" layoutInCell="1" allowOverlap="1" wp14:anchorId="5DD5A54B" wp14:editId="68330623">
              <wp:simplePos x="0" y="0"/>
              <wp:positionH relativeFrom="margin">
                <wp:posOffset>-431800</wp:posOffset>
              </wp:positionH>
              <wp:positionV relativeFrom="margin">
                <wp:posOffset>0</wp:posOffset>
              </wp:positionV>
              <wp:extent cx="215900" cy="612013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CBE7E49" w14:textId="77777777" w:rsidR="00383867" w:rsidRPr="00D515E3" w:rsidRDefault="00383867" w:rsidP="00190EA6">
                          <w:pPr>
                            <w:pStyle w:val="Footer"/>
                            <w:tabs>
                              <w:tab w:val="right" w:pos="9638"/>
                            </w:tabs>
                          </w:pPr>
                          <w:r w:rsidRPr="00D515E3">
                            <w:rPr>
                              <w:b/>
                              <w:sz w:val="18"/>
                            </w:rPr>
                            <w:fldChar w:fldCharType="begin"/>
                          </w:r>
                          <w:r w:rsidRPr="00D515E3">
                            <w:rPr>
                              <w:b/>
                              <w:sz w:val="18"/>
                            </w:rPr>
                            <w:instrText xml:space="preserve"> PAGE  \* MERGEFORMAT </w:instrText>
                          </w:r>
                          <w:r w:rsidRPr="00D515E3">
                            <w:rPr>
                              <w:b/>
                              <w:sz w:val="18"/>
                            </w:rPr>
                            <w:fldChar w:fldCharType="separate"/>
                          </w:r>
                          <w:r>
                            <w:rPr>
                              <w:b/>
                              <w:sz w:val="18"/>
                            </w:rPr>
                            <w:t>8</w:t>
                          </w:r>
                          <w:r w:rsidRPr="00D515E3">
                            <w:rPr>
                              <w:b/>
                              <w:sz w:val="18"/>
                            </w:rPr>
                            <w:fldChar w:fldCharType="end"/>
                          </w:r>
                          <w:r>
                            <w:rPr>
                              <w:b/>
                              <w:sz w:val="18"/>
                            </w:rPr>
                            <w:tab/>
                          </w:r>
                          <w:r>
                            <w:t>GE.19-15318</w:t>
                          </w:r>
                        </w:p>
                        <w:p w14:paraId="52FF6B58" w14:textId="77777777" w:rsidR="00383867" w:rsidRDefault="003838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DD5A54B" id="_x0000_t202" coordsize="21600,21600" o:spt="202" path="m,l,21600r21600,l21600,xe">
              <v:stroke joinstyle="miter"/>
              <v:path gradientshapeok="t" o:connecttype="rect"/>
            </v:shapetype>
            <v:shape id="Zone de texte 67" o:spid="_x0000_s1028"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rOAAMAALoGAAAOAAAAZHJzL2Uyb0RvYy54bWzEVU1v2zAMvQ/YfxB0T21nado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DpvBrOAAMAALo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14:paraId="1CBE7E49" w14:textId="77777777" w:rsidR="00383867" w:rsidRPr="00D515E3" w:rsidRDefault="00383867" w:rsidP="00190EA6">
                    <w:pPr>
                      <w:pStyle w:val="Footer"/>
                      <w:tabs>
                        <w:tab w:val="right" w:pos="9638"/>
                      </w:tabs>
                    </w:pPr>
                    <w:r w:rsidRPr="00D515E3">
                      <w:rPr>
                        <w:b/>
                        <w:sz w:val="18"/>
                      </w:rPr>
                      <w:fldChar w:fldCharType="begin"/>
                    </w:r>
                    <w:r w:rsidRPr="00D515E3">
                      <w:rPr>
                        <w:b/>
                        <w:sz w:val="18"/>
                      </w:rPr>
                      <w:instrText xml:space="preserve"> PAGE  \* MERGEFORMAT </w:instrText>
                    </w:r>
                    <w:r w:rsidRPr="00D515E3">
                      <w:rPr>
                        <w:b/>
                        <w:sz w:val="18"/>
                      </w:rPr>
                      <w:fldChar w:fldCharType="separate"/>
                    </w:r>
                    <w:r>
                      <w:rPr>
                        <w:b/>
                        <w:sz w:val="18"/>
                      </w:rPr>
                      <w:t>8</w:t>
                    </w:r>
                    <w:r w:rsidRPr="00D515E3">
                      <w:rPr>
                        <w:b/>
                        <w:sz w:val="18"/>
                      </w:rPr>
                      <w:fldChar w:fldCharType="end"/>
                    </w:r>
                    <w:r>
                      <w:rPr>
                        <w:b/>
                        <w:sz w:val="18"/>
                      </w:rPr>
                      <w:tab/>
                    </w:r>
                    <w:r>
                      <w:t>GE.19-15318</w:t>
                    </w:r>
                  </w:p>
                  <w:p w14:paraId="52FF6B58" w14:textId="77777777" w:rsidR="00383867" w:rsidRDefault="00383867"/>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179E" w14:textId="77777777" w:rsidR="00383867" w:rsidRPr="00190EA6" w:rsidRDefault="00383867" w:rsidP="00190EA6">
    <w:pPr>
      <w:pStyle w:val="Footer"/>
    </w:pPr>
    <w:r>
      <w:rPr>
        <w:noProof/>
      </w:rPr>
      <mc:AlternateContent>
        <mc:Choice Requires="wps">
          <w:drawing>
            <wp:anchor distT="0" distB="0" distL="114300" distR="114300" simplePos="0" relativeHeight="251659264" behindDoc="0" locked="0" layoutInCell="1" allowOverlap="1" wp14:anchorId="087F4908" wp14:editId="162162FE">
              <wp:simplePos x="0" y="0"/>
              <wp:positionH relativeFrom="margin">
                <wp:posOffset>-431800</wp:posOffset>
              </wp:positionH>
              <wp:positionV relativeFrom="margin">
                <wp:posOffset>0</wp:posOffset>
              </wp:positionV>
              <wp:extent cx="215900" cy="612013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2D47B1E" w14:textId="77777777" w:rsidR="00383867" w:rsidRPr="00D515E3" w:rsidRDefault="00383867" w:rsidP="00190EA6">
                          <w:pPr>
                            <w:pStyle w:val="Footer"/>
                            <w:tabs>
                              <w:tab w:val="right" w:pos="9638"/>
                            </w:tabs>
                            <w:rPr>
                              <w:b/>
                              <w:sz w:val="18"/>
                            </w:rPr>
                          </w:pPr>
                          <w:r>
                            <w:t>GE.19-15318</w:t>
                          </w:r>
                          <w:r>
                            <w:tab/>
                          </w:r>
                          <w:r w:rsidRPr="00D515E3">
                            <w:rPr>
                              <w:b/>
                              <w:sz w:val="18"/>
                            </w:rPr>
                            <w:fldChar w:fldCharType="begin"/>
                          </w:r>
                          <w:r w:rsidRPr="00D515E3">
                            <w:rPr>
                              <w:b/>
                              <w:sz w:val="18"/>
                            </w:rPr>
                            <w:instrText xml:space="preserve"> PAGE  \* MERGEFORMAT </w:instrText>
                          </w:r>
                          <w:r w:rsidRPr="00D515E3">
                            <w:rPr>
                              <w:b/>
                              <w:sz w:val="18"/>
                            </w:rPr>
                            <w:fldChar w:fldCharType="separate"/>
                          </w:r>
                          <w:r>
                            <w:rPr>
                              <w:b/>
                              <w:sz w:val="18"/>
                            </w:rPr>
                            <w:t>7</w:t>
                          </w:r>
                          <w:r w:rsidRPr="00D515E3">
                            <w:rPr>
                              <w:b/>
                              <w:sz w:val="18"/>
                            </w:rPr>
                            <w:fldChar w:fldCharType="end"/>
                          </w:r>
                        </w:p>
                        <w:p w14:paraId="0C84293C" w14:textId="77777777" w:rsidR="00383867" w:rsidRDefault="003838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87F4908" id="_x0000_t202" coordsize="21600,21600" o:spt="202" path="m,l,21600r21600,l21600,xe">
              <v:stroke joinstyle="miter"/>
              <v:path gradientshapeok="t" o:connecttype="rect"/>
            </v:shapetype>
            <v:shape id="Zone de texte 65" o:spid="_x0000_s1029" type="#_x0000_t202" style="position:absolute;margin-left:-34pt;margin-top:0;width:17pt;height:481.9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DfGWD7AAMAALo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14:paraId="62D47B1E" w14:textId="77777777" w:rsidR="00383867" w:rsidRPr="00D515E3" w:rsidRDefault="00383867" w:rsidP="00190EA6">
                    <w:pPr>
                      <w:pStyle w:val="Footer"/>
                      <w:tabs>
                        <w:tab w:val="right" w:pos="9638"/>
                      </w:tabs>
                      <w:rPr>
                        <w:b/>
                        <w:sz w:val="18"/>
                      </w:rPr>
                    </w:pPr>
                    <w:r>
                      <w:t>GE.19-15318</w:t>
                    </w:r>
                    <w:r>
                      <w:tab/>
                    </w:r>
                    <w:r w:rsidRPr="00D515E3">
                      <w:rPr>
                        <w:b/>
                        <w:sz w:val="18"/>
                      </w:rPr>
                      <w:fldChar w:fldCharType="begin"/>
                    </w:r>
                    <w:r w:rsidRPr="00D515E3">
                      <w:rPr>
                        <w:b/>
                        <w:sz w:val="18"/>
                      </w:rPr>
                      <w:instrText xml:space="preserve"> PAGE  \* MERGEFORMAT </w:instrText>
                    </w:r>
                    <w:r w:rsidRPr="00D515E3">
                      <w:rPr>
                        <w:b/>
                        <w:sz w:val="18"/>
                      </w:rPr>
                      <w:fldChar w:fldCharType="separate"/>
                    </w:r>
                    <w:r>
                      <w:rPr>
                        <w:b/>
                        <w:sz w:val="18"/>
                      </w:rPr>
                      <w:t>7</w:t>
                    </w:r>
                    <w:r w:rsidRPr="00D515E3">
                      <w:rPr>
                        <w:b/>
                        <w:sz w:val="18"/>
                      </w:rPr>
                      <w:fldChar w:fldCharType="end"/>
                    </w:r>
                  </w:p>
                  <w:p w14:paraId="0C84293C" w14:textId="77777777" w:rsidR="00383867" w:rsidRDefault="00383867"/>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8E892" w14:textId="77777777" w:rsidR="00383867" w:rsidRPr="00383867" w:rsidRDefault="00383867" w:rsidP="00383867">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12</w:t>
    </w:r>
    <w:r>
      <w:rPr>
        <w:b/>
        <w:sz w:val="18"/>
      </w:rPr>
      <w:fldChar w:fldCharType="end"/>
    </w:r>
    <w:r>
      <w:rPr>
        <w:b/>
        <w:sz w:val="18"/>
      </w:rPr>
      <w:tab/>
    </w:r>
    <w:r w:rsidRPr="00383867">
      <w:t>GE.19-15318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6CE37" w14:textId="77777777" w:rsidR="00383867" w:rsidRPr="00383867" w:rsidRDefault="00383867" w:rsidP="00383867">
    <w:pPr>
      <w:pStyle w:val="Footer"/>
      <w:tabs>
        <w:tab w:val="right" w:pos="9638"/>
      </w:tabs>
      <w:rPr>
        <w:b/>
        <w:sz w:val="18"/>
      </w:rPr>
    </w:pPr>
    <w:r>
      <w:t>GE.</w:t>
    </w:r>
    <w:r w:rsidRPr="00383867">
      <w:t>19</w:t>
    </w:r>
    <w:r>
      <w:t>-</w:t>
    </w:r>
    <w:r w:rsidRPr="00383867">
      <w:t>15318</w:t>
    </w:r>
    <w:r>
      <w:tab/>
    </w:r>
    <w:r>
      <w:rPr>
        <w:b/>
        <w:sz w:val="18"/>
      </w:rPr>
      <w:fldChar w:fldCharType="begin"/>
    </w:r>
    <w:r>
      <w:rPr>
        <w:b/>
        <w:sz w:val="18"/>
      </w:rPr>
      <w:instrText xml:space="preserve"> PAGE  \* MERGEFORMAT </w:instrText>
    </w:r>
    <w:r>
      <w:rPr>
        <w:b/>
        <w:sz w:val="18"/>
      </w:rPr>
      <w:fldChar w:fldCharType="separate"/>
    </w:r>
    <w:r>
      <w:rPr>
        <w:b/>
        <w:noProof/>
        <w:sz w:val="18"/>
      </w:rPr>
      <w:t>11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E7017" w14:textId="77777777" w:rsidR="00383867" w:rsidRPr="00AC3823" w:rsidRDefault="00383867" w:rsidP="00AC3823">
      <w:pPr>
        <w:pStyle w:val="Footer"/>
        <w:tabs>
          <w:tab w:val="right" w:pos="2155"/>
        </w:tabs>
        <w:spacing w:after="80" w:line="240" w:lineRule="atLeast"/>
        <w:ind w:left="680"/>
        <w:rPr>
          <w:u w:val="single"/>
        </w:rPr>
      </w:pPr>
      <w:r>
        <w:rPr>
          <w:u w:val="single"/>
        </w:rPr>
        <w:tab/>
      </w:r>
    </w:p>
  </w:footnote>
  <w:footnote w:type="continuationSeparator" w:id="0">
    <w:p w14:paraId="457E4DD0" w14:textId="77777777" w:rsidR="00383867" w:rsidRPr="00AC3823" w:rsidRDefault="00383867" w:rsidP="00AC3823">
      <w:pPr>
        <w:pStyle w:val="Footer"/>
        <w:tabs>
          <w:tab w:val="right" w:pos="2155"/>
        </w:tabs>
        <w:spacing w:after="80" w:line="240" w:lineRule="atLeast"/>
        <w:ind w:left="680"/>
        <w:rPr>
          <w:u w:val="single"/>
        </w:rPr>
      </w:pPr>
      <w:r>
        <w:rPr>
          <w:u w:val="single"/>
        </w:rPr>
        <w:tab/>
      </w:r>
    </w:p>
  </w:footnote>
  <w:footnote w:type="continuationNotice" w:id="1">
    <w:p w14:paraId="4465AC64" w14:textId="77777777" w:rsidR="00383867" w:rsidRPr="00AC3823" w:rsidRDefault="00383867">
      <w:pPr>
        <w:spacing w:line="240" w:lineRule="auto"/>
        <w:rPr>
          <w:sz w:val="2"/>
          <w:szCs w:val="2"/>
        </w:rPr>
      </w:pPr>
    </w:p>
  </w:footnote>
  <w:footnote w:id="2">
    <w:p w14:paraId="19DF6EC3" w14:textId="77777777" w:rsidR="00383867" w:rsidRPr="004C06BC" w:rsidRDefault="00383867" w:rsidP="005A6914">
      <w:pPr>
        <w:pStyle w:val="FootnoteText"/>
        <w:rPr>
          <w:lang w:val="fr-FR"/>
        </w:rPr>
      </w:pPr>
      <w:r w:rsidRPr="00383867">
        <w:rPr>
          <w:sz w:val="20"/>
          <w:lang w:val="fr-FR"/>
        </w:rPr>
        <w:tab/>
        <w:t>*</w:t>
      </w:r>
      <w:r w:rsidRPr="00383867">
        <w:rPr>
          <w:sz w:val="20"/>
          <w:lang w:val="fr-FR"/>
        </w:rPr>
        <w:tab/>
      </w:r>
      <w:r>
        <w:rPr>
          <w:lang w:val="fr-FR"/>
        </w:rPr>
        <w:t>Conformément au programme de travail du Sous-Comité pour la période 2019-2020, approuvé par le Comité à sa neuvième session (voir ST/SG/AC.10/C.3/108, par. </w:t>
      </w:r>
      <w:r w:rsidR="00326FCD">
        <w:rPr>
          <w:lang w:val="fr-FR"/>
        </w:rPr>
        <w:t>1</w:t>
      </w:r>
      <w:r>
        <w:rPr>
          <w:lang w:val="fr-FR"/>
        </w:rPr>
        <w:t>41, et ST/SG/AC.10/46, par.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2D559" w14:textId="356DDEBF" w:rsidR="00383867" w:rsidRPr="00D515E3" w:rsidRDefault="00161314">
    <w:pPr>
      <w:pStyle w:val="Header"/>
    </w:pPr>
    <w:r>
      <w:fldChar w:fldCharType="begin"/>
    </w:r>
    <w:r>
      <w:instrText xml:space="preserve"> TITLE  \* MERGEFORMAT </w:instrText>
    </w:r>
    <w:r>
      <w:fldChar w:fldCharType="separate"/>
    </w:r>
    <w:r>
      <w:t>ST/SG/AC.10/C.3/2019/46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FD76F" w14:textId="518559EB" w:rsidR="00383867" w:rsidRPr="00D515E3" w:rsidRDefault="00161314" w:rsidP="00D515E3">
    <w:pPr>
      <w:pStyle w:val="Header"/>
      <w:jc w:val="right"/>
    </w:pPr>
    <w:r>
      <w:fldChar w:fldCharType="begin"/>
    </w:r>
    <w:r>
      <w:instrText xml:space="preserve"> TITLE</w:instrText>
    </w:r>
    <w:r>
      <w:instrText xml:space="preserve">  \* MERGEFORMAT </w:instrText>
    </w:r>
    <w:r>
      <w:fldChar w:fldCharType="separate"/>
    </w:r>
    <w:r>
      <w:t>ST/SG/AC.10/C.3/2019/46</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78C50" w14:textId="77777777" w:rsidR="00383867" w:rsidRPr="00190EA6" w:rsidRDefault="00383867" w:rsidP="00190EA6">
    <w:r>
      <w:rPr>
        <w:noProof/>
      </w:rPr>
      <mc:AlternateContent>
        <mc:Choice Requires="wps">
          <w:drawing>
            <wp:anchor distT="0" distB="0" distL="114300" distR="114300" simplePos="0" relativeHeight="251661312" behindDoc="0" locked="0" layoutInCell="1" allowOverlap="1" wp14:anchorId="31C032CF" wp14:editId="3569F602">
              <wp:simplePos x="0" y="0"/>
              <wp:positionH relativeFrom="page">
                <wp:posOffset>9935845</wp:posOffset>
              </wp:positionH>
              <wp:positionV relativeFrom="margin">
                <wp:posOffset>0</wp:posOffset>
              </wp:positionV>
              <wp:extent cx="215900" cy="6120130"/>
              <wp:effectExtent l="0" t="0" r="0" b="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91BCDCF" w14:textId="73E1AD0C" w:rsidR="00383867" w:rsidRPr="00D515E3" w:rsidRDefault="00161314" w:rsidP="00190EA6">
                          <w:pPr>
                            <w:pStyle w:val="Header"/>
                          </w:pPr>
                          <w:r>
                            <w:fldChar w:fldCharType="begin"/>
                          </w:r>
                          <w:r>
                            <w:instrText xml:space="preserve"> TITLE  \* MERGEFORMAT </w:instrText>
                          </w:r>
                          <w:r>
                            <w:fldChar w:fldCharType="separate"/>
                          </w:r>
                          <w:r>
                            <w:t>ST/SG/AC.10/C.3/2019/46</w:t>
                          </w:r>
                          <w:r>
                            <w:fldChar w:fldCharType="end"/>
                          </w:r>
                        </w:p>
                        <w:p w14:paraId="0AB32E62" w14:textId="77777777" w:rsidR="00383867" w:rsidRDefault="003838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1C032CF" id="_x0000_t202" coordsize="21600,21600" o:spt="202" path="m,l,21600r21600,l21600,xe">
              <v:stroke joinstyle="miter"/>
              <v:path gradientshapeok="t" o:connecttype="rect"/>
            </v:shapetype>
            <v:shape id="Zone de texte 66" o:spid="_x0000_s1026"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" fillcolor="#4f81bd [3204]" stroked="f" strokeweight=".5pt">
              <v:fill opacity="0"/>
              <v:path arrowok="t"/>
              <v:textbox style="layout-flow:vertical" inset="0,0,0,0">
                <w:txbxContent>
                  <w:p w14:paraId="091BCDCF" w14:textId="73E1AD0C" w:rsidR="00383867" w:rsidRPr="00D515E3" w:rsidRDefault="00161314" w:rsidP="00190EA6">
                    <w:pPr>
                      <w:pStyle w:val="Header"/>
                    </w:pPr>
                    <w:r>
                      <w:fldChar w:fldCharType="begin"/>
                    </w:r>
                    <w:r>
                      <w:instrText xml:space="preserve"> TITLE  \* MERGEFORMAT </w:instrText>
                    </w:r>
                    <w:r>
                      <w:fldChar w:fldCharType="separate"/>
                    </w:r>
                    <w:r>
                      <w:t>ST/SG/AC.10/C.3/2019/46</w:t>
                    </w:r>
                    <w:r>
                      <w:fldChar w:fldCharType="end"/>
                    </w:r>
                  </w:p>
                  <w:p w14:paraId="0AB32E62" w14:textId="77777777" w:rsidR="00383867" w:rsidRDefault="00383867"/>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4EACF" w14:textId="77777777" w:rsidR="00383867" w:rsidRPr="00190EA6" w:rsidRDefault="00383867" w:rsidP="00190EA6">
    <w:r>
      <w:rPr>
        <w:noProof/>
      </w:rPr>
      <mc:AlternateContent>
        <mc:Choice Requires="wps">
          <w:drawing>
            <wp:anchor distT="0" distB="0" distL="114300" distR="114300" simplePos="0" relativeHeight="251657216" behindDoc="0" locked="0" layoutInCell="1" allowOverlap="1" wp14:anchorId="3D0F7727" wp14:editId="155AF780">
              <wp:simplePos x="0" y="0"/>
              <wp:positionH relativeFrom="page">
                <wp:posOffset>9935845</wp:posOffset>
              </wp:positionH>
              <wp:positionV relativeFrom="margin">
                <wp:posOffset>0</wp:posOffset>
              </wp:positionV>
              <wp:extent cx="215900" cy="612013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52C1385" w14:textId="4CD14CBD" w:rsidR="00383867" w:rsidRPr="00D515E3" w:rsidRDefault="00161314" w:rsidP="00190EA6">
                          <w:pPr>
                            <w:pStyle w:val="Header"/>
                            <w:jc w:val="right"/>
                          </w:pPr>
                          <w:r>
                            <w:fldChar w:fldCharType="begin"/>
                          </w:r>
                          <w:r>
                            <w:instrText xml:space="preserve"> TITLE  \* MERGEFORMAT </w:instrText>
                          </w:r>
                          <w:r>
                            <w:fldChar w:fldCharType="separate"/>
                          </w:r>
                          <w:r>
                            <w:t>ST/SG/AC.10/C.3/2019/46</w:t>
                          </w:r>
                          <w:r>
                            <w:fldChar w:fldCharType="end"/>
                          </w:r>
                        </w:p>
                        <w:p w14:paraId="06F59310" w14:textId="77777777" w:rsidR="00383867" w:rsidRDefault="003838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D0F7727" id="_x0000_t202" coordsize="21600,21600" o:spt="202" path="m,l,21600r21600,l21600,xe">
              <v:stroke joinstyle="miter"/>
              <v:path gradientshapeok="t" o:connecttype="rect"/>
            </v:shapetype>
            <v:shape id="Zone de texte 64" o:spid="_x0000_s1027" type="#_x0000_t202" style="position:absolute;margin-left:782.35pt;margin-top:0;width:17pt;height:481.9pt;z-index:25165721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5U/wIAALo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Cm1L5U/wIAALoGAAAOAAAAAAAAAAAAAAAAAC4CAABkcnMvZTJvRG9jLnhtbFBLAQItABQA&#10;BgAIAAAAIQBhWTJi3AAAAAoBAAAPAAAAAAAAAAAAAAAAAFkFAABkcnMvZG93bnJldi54bWxQSwUG&#10;AAAAAAQABADzAAAAYgYAAAAA&#10;" fillcolor="#4f81bd [3204]" stroked="f" strokeweight=".5pt">
              <v:fill opacity="0"/>
              <v:stroke joinstyle="round"/>
              <v:textbox style="layout-flow:vertical" inset="0,0,0,0">
                <w:txbxContent>
                  <w:p w14:paraId="052C1385" w14:textId="4CD14CBD" w:rsidR="00383867" w:rsidRPr="00D515E3" w:rsidRDefault="00161314" w:rsidP="00190EA6">
                    <w:pPr>
                      <w:pStyle w:val="Header"/>
                      <w:jc w:val="right"/>
                    </w:pPr>
                    <w:r>
                      <w:fldChar w:fldCharType="begin"/>
                    </w:r>
                    <w:r>
                      <w:instrText xml:space="preserve"> TITLE  \* MERGEFORMAT </w:instrText>
                    </w:r>
                    <w:r>
                      <w:fldChar w:fldCharType="separate"/>
                    </w:r>
                    <w:r>
                      <w:t>ST/SG/AC.10/C.3/2019/46</w:t>
                    </w:r>
                    <w:r>
                      <w:fldChar w:fldCharType="end"/>
                    </w:r>
                  </w:p>
                  <w:p w14:paraId="06F59310" w14:textId="77777777" w:rsidR="00383867" w:rsidRDefault="00383867"/>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5EFA6" w14:textId="78034819" w:rsidR="00383867" w:rsidRPr="00383867" w:rsidRDefault="00161314" w:rsidP="00383867">
    <w:pPr>
      <w:pStyle w:val="Header"/>
    </w:pPr>
    <w:r>
      <w:fldChar w:fldCharType="begin"/>
    </w:r>
    <w:r>
      <w:instrText xml:space="preserve"> TITLE  \* MERGEFORMAT </w:instrText>
    </w:r>
    <w:r>
      <w:fldChar w:fldCharType="separate"/>
    </w:r>
    <w:r>
      <w:t>ST/SG/AC.10/C.3/2019/46</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03CE9" w14:textId="4AFDB05F" w:rsidR="00383867" w:rsidRPr="00383867" w:rsidRDefault="00161314" w:rsidP="00383867">
    <w:pPr>
      <w:pStyle w:val="Header"/>
      <w:jc w:val="right"/>
    </w:pPr>
    <w:r>
      <w:fldChar w:fldCharType="begin"/>
    </w:r>
    <w:r>
      <w:instrText xml:space="preserve"> TITLE  \* MERGEFORMAT </w:instrText>
    </w:r>
    <w:r>
      <w:fldChar w:fldCharType="separate"/>
    </w:r>
    <w:r>
      <w:t>ST/SG/AC.10/C.3/2019/46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857"/>
    <w:rsid w:val="00017F94"/>
    <w:rsid w:val="00023842"/>
    <w:rsid w:val="000305D3"/>
    <w:rsid w:val="000334F9"/>
    <w:rsid w:val="0007796D"/>
    <w:rsid w:val="000B3B3B"/>
    <w:rsid w:val="000B7790"/>
    <w:rsid w:val="00111F2F"/>
    <w:rsid w:val="00132EA9"/>
    <w:rsid w:val="0014365E"/>
    <w:rsid w:val="00161314"/>
    <w:rsid w:val="00176178"/>
    <w:rsid w:val="00190EA6"/>
    <w:rsid w:val="001F525A"/>
    <w:rsid w:val="00223272"/>
    <w:rsid w:val="0024779E"/>
    <w:rsid w:val="00283190"/>
    <w:rsid w:val="002832AC"/>
    <w:rsid w:val="0029276D"/>
    <w:rsid w:val="002C1857"/>
    <w:rsid w:val="002D7C93"/>
    <w:rsid w:val="00326FCD"/>
    <w:rsid w:val="00383867"/>
    <w:rsid w:val="00441C3B"/>
    <w:rsid w:val="00446FE5"/>
    <w:rsid w:val="00452396"/>
    <w:rsid w:val="004E468C"/>
    <w:rsid w:val="00526AC2"/>
    <w:rsid w:val="005505B7"/>
    <w:rsid w:val="00573BE5"/>
    <w:rsid w:val="00584DC4"/>
    <w:rsid w:val="00586ED3"/>
    <w:rsid w:val="00596AA9"/>
    <w:rsid w:val="005A6914"/>
    <w:rsid w:val="006160AF"/>
    <w:rsid w:val="0068456F"/>
    <w:rsid w:val="0071601D"/>
    <w:rsid w:val="00734AC1"/>
    <w:rsid w:val="007A62E6"/>
    <w:rsid w:val="0080684C"/>
    <w:rsid w:val="00854F58"/>
    <w:rsid w:val="00865140"/>
    <w:rsid w:val="00871C75"/>
    <w:rsid w:val="008776DC"/>
    <w:rsid w:val="008B0224"/>
    <w:rsid w:val="008B40CD"/>
    <w:rsid w:val="008E42D0"/>
    <w:rsid w:val="008F306A"/>
    <w:rsid w:val="009705C8"/>
    <w:rsid w:val="00971B3C"/>
    <w:rsid w:val="009C1CF4"/>
    <w:rsid w:val="009C6D46"/>
    <w:rsid w:val="00A30353"/>
    <w:rsid w:val="00A4029E"/>
    <w:rsid w:val="00A53796"/>
    <w:rsid w:val="00AC3823"/>
    <w:rsid w:val="00AE323C"/>
    <w:rsid w:val="00B00181"/>
    <w:rsid w:val="00B00B0D"/>
    <w:rsid w:val="00B46927"/>
    <w:rsid w:val="00B765F7"/>
    <w:rsid w:val="00BA0CA9"/>
    <w:rsid w:val="00BF4CC7"/>
    <w:rsid w:val="00C02897"/>
    <w:rsid w:val="00C075E1"/>
    <w:rsid w:val="00C44CA6"/>
    <w:rsid w:val="00D3439C"/>
    <w:rsid w:val="00D515E3"/>
    <w:rsid w:val="00DB1831"/>
    <w:rsid w:val="00DD3BFD"/>
    <w:rsid w:val="00DF6678"/>
    <w:rsid w:val="00E92968"/>
    <w:rsid w:val="00EB0DF4"/>
    <w:rsid w:val="00EF2E22"/>
    <w:rsid w:val="00F01738"/>
    <w:rsid w:val="00F51B17"/>
    <w:rsid w:val="00F660DF"/>
    <w:rsid w:val="00F730C8"/>
    <w:rsid w:val="00F80E95"/>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33B8F1"/>
  <w15:docId w15:val="{3B9A5339-8B24-4713-845B-9D418E60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HChGChar">
    <w:name w:val="_ H _Ch_G Char"/>
    <w:link w:val="HChG"/>
    <w:locked/>
    <w:rsid w:val="005A6914"/>
    <w:rPr>
      <w:rFonts w:ascii="Times New Roman" w:eastAsiaTheme="minorHAnsi" w:hAnsi="Times New Roman" w:cs="Times New Roman"/>
      <w:b/>
      <w:sz w:val="28"/>
      <w:szCs w:val="20"/>
      <w:lang w:eastAsia="en-US"/>
    </w:rPr>
  </w:style>
  <w:style w:type="character" w:customStyle="1" w:styleId="SingleTxtGChar">
    <w:name w:val="_ Single Txt_G Char"/>
    <w:link w:val="SingleTxtG"/>
    <w:locked/>
    <w:rsid w:val="005A6914"/>
    <w:rPr>
      <w:rFonts w:ascii="Times New Roman" w:eastAsiaTheme="minorHAnsi" w:hAnsi="Times New Roman" w:cs="Times New Roman"/>
      <w:sz w:val="20"/>
      <w:szCs w:val="20"/>
      <w:lang w:eastAsia="en-US"/>
    </w:rPr>
  </w:style>
  <w:style w:type="character" w:customStyle="1" w:styleId="H1GChar">
    <w:name w:val="_ H_1_G Char"/>
    <w:link w:val="H1G"/>
    <w:locked/>
    <w:rsid w:val="005A6914"/>
    <w:rPr>
      <w:rFonts w:ascii="Times New Roman" w:eastAsiaTheme="minorHAnsi" w:hAnsi="Times New Roman" w:cs="Times New Roman"/>
      <w:b/>
      <w:sz w:val="24"/>
      <w:szCs w:val="20"/>
      <w:lang w:eastAsia="en-US"/>
    </w:rPr>
  </w:style>
  <w:style w:type="paragraph" w:styleId="Caption">
    <w:name w:val="caption"/>
    <w:basedOn w:val="Normal"/>
    <w:next w:val="Normal"/>
    <w:unhideWhenUsed/>
    <w:qFormat/>
    <w:rsid w:val="00190EA6"/>
    <w:pPr>
      <w:kinsoku/>
      <w:overflowPunct/>
      <w:autoSpaceDE/>
      <w:autoSpaceDN/>
      <w:adjustRightInd/>
      <w:snapToGrid/>
      <w:spacing w:after="200" w:line="240" w:lineRule="auto"/>
    </w:pPr>
    <w:rPr>
      <w:rFonts w:eastAsiaTheme="minorEastAsia"/>
      <w:b/>
      <w:bCs/>
      <w:color w:val="4F81BD" w:themeColor="accent1"/>
      <w:sz w:val="18"/>
      <w:szCs w:val="18"/>
      <w:lang w:val="en-GB"/>
    </w:rPr>
  </w:style>
  <w:style w:type="table" w:customStyle="1" w:styleId="TableGrid1">
    <w:name w:val="Table Grid1"/>
    <w:basedOn w:val="TableNormal"/>
    <w:next w:val="TableGrid"/>
    <w:uiPriority w:val="59"/>
    <w:rsid w:val="00190EA6"/>
    <w:pPr>
      <w:suppressAutoHyphens/>
      <w:spacing w:after="0" w:line="240" w:lineRule="atLeast"/>
    </w:pPr>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s://www.icao.int/safety/DangerousGoods/DGPWG15/DGPWG.15.IP.001.5.en.pdf" TargetMode="External"/><Relationship Id="rId68" Type="http://schemas.openxmlformats.org/officeDocument/2006/relationships/header" Target="header6.xml"/><Relationship Id="rId7" Type="http://schemas.openxmlformats.org/officeDocument/2006/relationships/image" Target="media/image1.w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hyperlink" Target="https://www.iso.org/standard/68665.html"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4.xml"/><Relationship Id="rId65" Type="http://schemas.openxmlformats.org/officeDocument/2006/relationships/hyperlink" Target="https://wiki.unece.org/display/trans/EVS+15th+sess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hyperlink" Target="file:///\\conf-share1\Users\baraudrin\Desktop\www.unece.org\fileadmin\DAM\trans\doc\2004\ac10c3\ST-SG-AC10-C3-2004-96f.pdf" TargetMode="External"/><Relationship Id="rId69"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3.xml"/><Relationship Id="rId67" Type="http://schemas.openxmlformats.org/officeDocument/2006/relationships/header" Target="header5.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5.xml"/><Relationship Id="rId70" Type="http://schemas.openxmlformats.org/officeDocument/2006/relationships/footer" Target="footer7.xml"/></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2365</Words>
  <Characters>13484</Characters>
  <Application>Microsoft Office Word</Application>
  <DocSecurity>0</DocSecurity>
  <Lines>112</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ST/SG/AC.10/C.3/2019/46</vt:lpstr>
      <vt:lpstr>ST/SG/AC.10/C.3/2019/46</vt:lpstr>
    </vt:vector>
  </TitlesOfParts>
  <Company>DCM</Company>
  <LinksUpToDate>false</LinksUpToDate>
  <CharactersWithSpaces>15818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ST/SG/AC.10/C.3/2019/46</dc:title>
  <dc:subject/>
  <dc:creator>Nicolas MORIN</dc:creator>
  <cp:keywords/>
  <cp:lastModifiedBy>Laurence Berthet</cp:lastModifiedBy>
  <cp:revision>3</cp:revision>
  <cp:lastPrinted>2019-10-15T07:04:00Z</cp:lastPrinted>
  <dcterms:created xsi:type="dcterms:W3CDTF">2019-10-15T07:04:00Z</dcterms:created>
  <dcterms:modified xsi:type="dcterms:W3CDTF">2019-10-15T07:05:00Z</dcterms:modified>
</cp:coreProperties>
</file>