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C14945" w:rsidRPr="007B2B1F" w14:paraId="7619562F" w14:textId="77777777" w:rsidTr="00C14945">
        <w:trPr>
          <w:trHeight w:val="851"/>
        </w:trPr>
        <w:tc>
          <w:tcPr>
            <w:tcW w:w="1259" w:type="dxa"/>
            <w:tcBorders>
              <w:top w:val="nil"/>
              <w:left w:val="nil"/>
              <w:bottom w:val="single" w:sz="4" w:space="0" w:color="auto"/>
              <w:right w:val="nil"/>
            </w:tcBorders>
            <w:shd w:val="clear" w:color="auto" w:fill="auto"/>
          </w:tcPr>
          <w:p w14:paraId="1A3E102E" w14:textId="77777777" w:rsidR="00C14945" w:rsidRPr="007B2B1F" w:rsidRDefault="00C14945" w:rsidP="00C14945">
            <w:pPr>
              <w:spacing w:after="80" w:line="340" w:lineRule="exact"/>
            </w:pPr>
          </w:p>
        </w:tc>
        <w:tc>
          <w:tcPr>
            <w:tcW w:w="2236" w:type="dxa"/>
            <w:tcBorders>
              <w:top w:val="nil"/>
              <w:left w:val="nil"/>
              <w:bottom w:val="single" w:sz="4" w:space="0" w:color="auto"/>
              <w:right w:val="nil"/>
            </w:tcBorders>
            <w:shd w:val="clear" w:color="auto" w:fill="auto"/>
            <w:vAlign w:val="bottom"/>
          </w:tcPr>
          <w:p w14:paraId="59FF6B2F" w14:textId="77777777" w:rsidR="00C14945" w:rsidRPr="007B2B1F" w:rsidRDefault="00C14945" w:rsidP="00C14945">
            <w:pPr>
              <w:spacing w:after="80" w:line="340" w:lineRule="exact"/>
              <w:rPr>
                <w:sz w:val="28"/>
                <w:szCs w:val="28"/>
              </w:rPr>
            </w:pPr>
            <w:r w:rsidRPr="007B2B1F">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36BFC5F0" w14:textId="77777777" w:rsidR="00C14945" w:rsidRPr="007B2B1F" w:rsidRDefault="00C14945" w:rsidP="00A15A38">
            <w:pPr>
              <w:suppressAutoHyphens w:val="0"/>
              <w:spacing w:after="20"/>
              <w:jc w:val="right"/>
            </w:pPr>
            <w:r w:rsidRPr="007B2B1F">
              <w:rPr>
                <w:sz w:val="40"/>
              </w:rPr>
              <w:t>ST</w:t>
            </w:r>
            <w:r w:rsidR="00077628" w:rsidRPr="007B2B1F">
              <w:t>/SG/AC.10/C.3/201</w:t>
            </w:r>
            <w:r w:rsidR="003C09C7">
              <w:t>9</w:t>
            </w:r>
            <w:r w:rsidR="00077628" w:rsidRPr="007B2B1F">
              <w:t>/</w:t>
            </w:r>
            <w:r w:rsidR="00E030DB">
              <w:t>43</w:t>
            </w:r>
          </w:p>
        </w:tc>
      </w:tr>
      <w:tr w:rsidR="00C14945" w:rsidRPr="007B2B1F" w14:paraId="2E18A722" w14:textId="77777777" w:rsidTr="00C14945">
        <w:trPr>
          <w:trHeight w:val="2835"/>
        </w:trPr>
        <w:tc>
          <w:tcPr>
            <w:tcW w:w="1259" w:type="dxa"/>
            <w:tcBorders>
              <w:top w:val="single" w:sz="4" w:space="0" w:color="auto"/>
              <w:left w:val="nil"/>
              <w:bottom w:val="single" w:sz="12" w:space="0" w:color="auto"/>
              <w:right w:val="nil"/>
            </w:tcBorders>
            <w:shd w:val="clear" w:color="auto" w:fill="auto"/>
          </w:tcPr>
          <w:p w14:paraId="450C4CA6" w14:textId="77777777" w:rsidR="00C14945" w:rsidRPr="007B2B1F" w:rsidRDefault="0019169E" w:rsidP="00C14945">
            <w:pPr>
              <w:spacing w:before="120"/>
              <w:jc w:val="center"/>
            </w:pPr>
            <w:r w:rsidRPr="007B2B1F">
              <w:rPr>
                <w:noProof/>
                <w:lang w:eastAsia="en-GB"/>
              </w:rPr>
              <w:drawing>
                <wp:inline distT="0" distB="0" distL="0" distR="0" wp14:anchorId="01DCB035" wp14:editId="0A60A3DE">
                  <wp:extent cx="714375" cy="590550"/>
                  <wp:effectExtent l="0" t="0" r="0" b="0"/>
                  <wp:docPr id="1" name="Bild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_unlogo"/>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03E554A6" w14:textId="77777777" w:rsidR="00C14945" w:rsidRPr="007B2B1F" w:rsidRDefault="00C14945" w:rsidP="00C14945">
            <w:pPr>
              <w:spacing w:before="120" w:line="420" w:lineRule="exact"/>
              <w:rPr>
                <w:b/>
                <w:sz w:val="40"/>
                <w:szCs w:val="40"/>
              </w:rPr>
            </w:pPr>
            <w:r w:rsidRPr="007B2B1F">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0FED1DB4" w14:textId="77777777" w:rsidR="00C14945" w:rsidRPr="007B2B1F" w:rsidRDefault="00C14945" w:rsidP="00C14945">
            <w:pPr>
              <w:suppressAutoHyphens w:val="0"/>
              <w:spacing w:before="240" w:line="240" w:lineRule="exact"/>
            </w:pPr>
            <w:r w:rsidRPr="007B2B1F">
              <w:t>Distr.: General</w:t>
            </w:r>
          </w:p>
          <w:p w14:paraId="16993B1D" w14:textId="77777777" w:rsidR="00C14945" w:rsidRPr="007B2B1F" w:rsidRDefault="00646754" w:rsidP="00C14945">
            <w:pPr>
              <w:suppressAutoHyphens w:val="0"/>
            </w:pPr>
            <w:r>
              <w:t>9</w:t>
            </w:r>
            <w:r w:rsidR="00625A64">
              <w:t xml:space="preserve"> September 2019</w:t>
            </w:r>
          </w:p>
          <w:p w14:paraId="0F7D8E45" w14:textId="77777777" w:rsidR="00C14945" w:rsidRPr="007B2B1F" w:rsidRDefault="00C14945" w:rsidP="00C14945">
            <w:pPr>
              <w:suppressAutoHyphens w:val="0"/>
            </w:pPr>
          </w:p>
          <w:p w14:paraId="5EC7B286" w14:textId="77777777" w:rsidR="00C14945" w:rsidRPr="007B2B1F" w:rsidRDefault="00C14945" w:rsidP="00C14945">
            <w:pPr>
              <w:suppressAutoHyphens w:val="0"/>
            </w:pPr>
            <w:r w:rsidRPr="007B2B1F">
              <w:t>Original: English</w:t>
            </w:r>
          </w:p>
        </w:tc>
      </w:tr>
    </w:tbl>
    <w:p w14:paraId="02D07EC6" w14:textId="77777777" w:rsidR="00C14945" w:rsidRPr="007B2B1F" w:rsidRDefault="00C14945" w:rsidP="00C14945">
      <w:pPr>
        <w:spacing w:before="120" w:after="120"/>
        <w:rPr>
          <w:b/>
          <w:sz w:val="24"/>
          <w:szCs w:val="24"/>
        </w:rPr>
      </w:pPr>
      <w:r w:rsidRPr="007B2B1F">
        <w:rPr>
          <w:b/>
          <w:sz w:val="24"/>
          <w:szCs w:val="24"/>
        </w:rPr>
        <w:t>Committee of Experts on the Transport of Dangerous Goods</w:t>
      </w:r>
      <w:r w:rsidRPr="007B2B1F">
        <w:rPr>
          <w:b/>
          <w:sz w:val="24"/>
          <w:szCs w:val="24"/>
        </w:rPr>
        <w:br/>
        <w:t>and on the Globally Harmonized System of Classification</w:t>
      </w:r>
      <w:r w:rsidRPr="007B2B1F">
        <w:rPr>
          <w:b/>
          <w:sz w:val="24"/>
          <w:szCs w:val="24"/>
        </w:rPr>
        <w:br/>
        <w:t>and Labelling of Chemicals</w:t>
      </w:r>
    </w:p>
    <w:p w14:paraId="139C26FB" w14:textId="77777777" w:rsidR="00C14945" w:rsidRPr="007B2B1F" w:rsidRDefault="00C14945" w:rsidP="00C14945">
      <w:pPr>
        <w:spacing w:before="120"/>
        <w:rPr>
          <w:b/>
        </w:rPr>
      </w:pPr>
      <w:r w:rsidRPr="007B2B1F">
        <w:rPr>
          <w:b/>
        </w:rPr>
        <w:t>Sub-Committee of Experts on the Transport of Dangerous Goods</w:t>
      </w:r>
    </w:p>
    <w:p w14:paraId="689035BD" w14:textId="77777777" w:rsidR="00C14945" w:rsidRPr="007B2B1F" w:rsidRDefault="00953E97" w:rsidP="00C14945">
      <w:pPr>
        <w:spacing w:before="120"/>
        <w:rPr>
          <w:b/>
        </w:rPr>
      </w:pPr>
      <w:r>
        <w:rPr>
          <w:b/>
        </w:rPr>
        <w:t>Fifty-</w:t>
      </w:r>
      <w:r w:rsidR="00A418A8">
        <w:rPr>
          <w:b/>
        </w:rPr>
        <w:t>sixth</w:t>
      </w:r>
      <w:r w:rsidR="00C14945" w:rsidRPr="007B2B1F">
        <w:rPr>
          <w:b/>
        </w:rPr>
        <w:t xml:space="preserve"> session</w:t>
      </w:r>
    </w:p>
    <w:p w14:paraId="7F6A7A3C" w14:textId="77777777" w:rsidR="00C14945" w:rsidRPr="007B2B1F" w:rsidRDefault="00C14945" w:rsidP="00C14945">
      <w:r w:rsidRPr="007B2B1F">
        <w:t xml:space="preserve">Geneva, </w:t>
      </w:r>
      <w:r w:rsidR="00A418A8">
        <w:t>2</w:t>
      </w:r>
      <w:r w:rsidR="00FC6BBC">
        <w:t>-</w:t>
      </w:r>
      <w:r w:rsidR="00060A06">
        <w:t>11</w:t>
      </w:r>
      <w:r w:rsidRPr="007B2B1F">
        <w:t xml:space="preserve"> </w:t>
      </w:r>
      <w:r w:rsidR="005B3660">
        <w:t>December</w:t>
      </w:r>
      <w:r w:rsidR="00D85E66">
        <w:t xml:space="preserve"> 201</w:t>
      </w:r>
      <w:r w:rsidR="005B3660">
        <w:t>9</w:t>
      </w:r>
    </w:p>
    <w:p w14:paraId="32E04330" w14:textId="77777777" w:rsidR="00C14945" w:rsidRPr="007B2B1F" w:rsidRDefault="00C14945" w:rsidP="00C14945">
      <w:pPr>
        <w:rPr>
          <w:b/>
        </w:rPr>
      </w:pPr>
      <w:r w:rsidRPr="007B2B1F">
        <w:t xml:space="preserve">Item </w:t>
      </w:r>
      <w:r w:rsidR="00C42B3C" w:rsidRPr="007B2B1F">
        <w:t>5 (b)</w:t>
      </w:r>
      <w:r w:rsidRPr="007B2B1F">
        <w:t xml:space="preserve"> of the provisional agenda</w:t>
      </w:r>
      <w:r w:rsidRPr="007B2B1F">
        <w:rPr>
          <w:b/>
        </w:rPr>
        <w:t xml:space="preserve"> </w:t>
      </w:r>
      <w:r w:rsidRPr="007B2B1F">
        <w:rPr>
          <w:b/>
        </w:rPr>
        <w:br/>
      </w:r>
      <w:r w:rsidR="00C42B3C" w:rsidRPr="007B2B1F">
        <w:rPr>
          <w:b/>
        </w:rPr>
        <w:t xml:space="preserve">Transport of gases: miscellaneous </w:t>
      </w:r>
    </w:p>
    <w:p w14:paraId="607E57C9" w14:textId="77777777" w:rsidR="000062D2" w:rsidRPr="007B2B1F" w:rsidRDefault="00C42B3C" w:rsidP="000062D2">
      <w:pPr>
        <w:pStyle w:val="HChG"/>
      </w:pPr>
      <w:r w:rsidRPr="007B2B1F">
        <w:tab/>
      </w:r>
      <w:r w:rsidRPr="007B2B1F">
        <w:tab/>
      </w:r>
      <w:r w:rsidR="00B13DD7">
        <w:t>Up</w:t>
      </w:r>
      <w:r w:rsidR="005413FA">
        <w:t>date</w:t>
      </w:r>
      <w:r w:rsidR="004E15A8">
        <w:t>d</w:t>
      </w:r>
      <w:r w:rsidR="005413FA">
        <w:t xml:space="preserve"> </w:t>
      </w:r>
      <w:r w:rsidR="000062D2" w:rsidRPr="007B2B1F">
        <w:t>ISO standard</w:t>
      </w:r>
      <w:r w:rsidRPr="007B2B1F">
        <w:t>s</w:t>
      </w:r>
      <w:r w:rsidR="00197FE9">
        <w:t xml:space="preserve"> in </w:t>
      </w:r>
      <w:r w:rsidR="00FD1538">
        <w:t>Class 2</w:t>
      </w:r>
    </w:p>
    <w:p w14:paraId="69FAA191" w14:textId="77777777" w:rsidR="009B1518" w:rsidRPr="007B2B1F" w:rsidRDefault="002D4B6C" w:rsidP="001F602E">
      <w:pPr>
        <w:pStyle w:val="H1G"/>
        <w:jc w:val="both"/>
      </w:pPr>
      <w:r w:rsidRPr="007B2B1F">
        <w:tab/>
      </w:r>
      <w:r w:rsidRPr="007B2B1F">
        <w:tab/>
      </w:r>
      <w:r w:rsidR="009B1518" w:rsidRPr="007B2B1F">
        <w:t xml:space="preserve">Transmitted by the </w:t>
      </w:r>
      <w:r w:rsidR="00853EBC" w:rsidRPr="007B2B1F">
        <w:t>International Organisation for Standardisation (ISO</w:t>
      </w:r>
      <w:r w:rsidR="00077628" w:rsidRPr="007B2B1F">
        <w:t>)</w:t>
      </w:r>
      <w:r w:rsidR="001F50AE">
        <w:rPr>
          <w:rStyle w:val="FootnoteReference"/>
        </w:rPr>
        <w:footnoteReference w:id="2"/>
      </w:r>
    </w:p>
    <w:p w14:paraId="4F1538ED" w14:textId="77777777" w:rsidR="001D7F46" w:rsidRPr="007B2B1F" w:rsidRDefault="001E0B9E" w:rsidP="001F50AE">
      <w:pPr>
        <w:pStyle w:val="HChG"/>
      </w:pPr>
      <w:r w:rsidRPr="007B2B1F">
        <w:tab/>
      </w:r>
      <w:r w:rsidRPr="007B2B1F">
        <w:tab/>
      </w:r>
      <w:r w:rsidR="001D7F46" w:rsidRPr="001F50AE">
        <w:t>Introduction</w:t>
      </w:r>
    </w:p>
    <w:p w14:paraId="7C35C299" w14:textId="77777777" w:rsidR="006C779F" w:rsidRDefault="00CC1ADB" w:rsidP="001F50AE">
      <w:pPr>
        <w:pStyle w:val="SingleTxtG"/>
      </w:pPr>
      <w:r w:rsidRPr="007B2B1F">
        <w:t>1.</w:t>
      </w:r>
      <w:r w:rsidRPr="007B2B1F">
        <w:tab/>
      </w:r>
      <w:r w:rsidR="00C42B3C" w:rsidRPr="007B2B1F">
        <w:t>T</w:t>
      </w:r>
      <w:r w:rsidR="0094154D" w:rsidRPr="007B2B1F">
        <w:t>he</w:t>
      </w:r>
      <w:r w:rsidR="006B5767">
        <w:t>se</w:t>
      </w:r>
      <w:r w:rsidR="0094154D" w:rsidRPr="007B2B1F">
        <w:t xml:space="preserve"> </w:t>
      </w:r>
      <w:r w:rsidR="00C42B3C" w:rsidRPr="007B2B1F">
        <w:t>proposa</w:t>
      </w:r>
      <w:r w:rsidR="0009003C" w:rsidRPr="007B2B1F">
        <w:t>l</w:t>
      </w:r>
      <w:r w:rsidR="006B5767">
        <w:t>s</w:t>
      </w:r>
      <w:r w:rsidR="0009003C" w:rsidRPr="007B2B1F">
        <w:t xml:space="preserve"> concern</w:t>
      </w:r>
      <w:r w:rsidR="006B5767">
        <w:t xml:space="preserve"> </w:t>
      </w:r>
      <w:r w:rsidR="007C2CA9">
        <w:t>one new standard which replaces two referenced standards, one</w:t>
      </w:r>
      <w:r w:rsidR="00A74AB0" w:rsidRPr="007B2B1F">
        <w:t xml:space="preserve"> </w:t>
      </w:r>
      <w:r w:rsidR="0042129D">
        <w:t xml:space="preserve">revised standard and </w:t>
      </w:r>
      <w:r w:rsidR="00EC4555">
        <w:t xml:space="preserve">two </w:t>
      </w:r>
      <w:r w:rsidR="0042129D">
        <w:t>amendment</w:t>
      </w:r>
      <w:r w:rsidR="00EC4555">
        <w:t>s</w:t>
      </w:r>
      <w:r w:rsidR="0042129D">
        <w:t>.</w:t>
      </w:r>
      <w:r w:rsidR="00A74AB0" w:rsidRPr="007B2B1F">
        <w:t xml:space="preserve"> </w:t>
      </w:r>
    </w:p>
    <w:p w14:paraId="35775401" w14:textId="77777777" w:rsidR="00C42B3C" w:rsidRPr="007B2B1F" w:rsidRDefault="00C42B3C" w:rsidP="001F50AE">
      <w:pPr>
        <w:pStyle w:val="SingleTxtG"/>
      </w:pPr>
      <w:r w:rsidRPr="007B2B1F">
        <w:t>The</w:t>
      </w:r>
      <w:r w:rsidR="0009003C" w:rsidRPr="007B2B1F">
        <w:t xml:space="preserve"> </w:t>
      </w:r>
      <w:r w:rsidR="00260C8D" w:rsidRPr="007B2B1F">
        <w:t xml:space="preserve">titles </w:t>
      </w:r>
      <w:r w:rsidR="00965EE3" w:rsidRPr="007B2B1F">
        <w:t xml:space="preserve">of the standards </w:t>
      </w:r>
      <w:r w:rsidRPr="007B2B1F">
        <w:t>are:</w:t>
      </w:r>
    </w:p>
    <w:p w14:paraId="3DDE7DE9" w14:textId="77777777" w:rsidR="00AE1804" w:rsidRPr="00EC4555" w:rsidRDefault="00AE1804" w:rsidP="00810DDD">
      <w:pPr>
        <w:pStyle w:val="Bullet1G"/>
        <w:rPr>
          <w:color w:val="000000"/>
        </w:rPr>
      </w:pPr>
      <w:r w:rsidRPr="00AC1D85">
        <w:rPr>
          <w:color w:val="000000"/>
        </w:rPr>
        <w:t xml:space="preserve">ISO </w:t>
      </w:r>
      <w:r w:rsidR="00AC1D85" w:rsidRPr="00AC1D85">
        <w:rPr>
          <w:color w:val="000000"/>
        </w:rPr>
        <w:t xml:space="preserve">11515:2013 + </w:t>
      </w:r>
      <w:proofErr w:type="spellStart"/>
      <w:r w:rsidR="00AC1D85" w:rsidRPr="00AC1D85">
        <w:rPr>
          <w:color w:val="000000"/>
        </w:rPr>
        <w:t>A</w:t>
      </w:r>
      <w:r w:rsidR="00970C9F">
        <w:rPr>
          <w:color w:val="000000"/>
        </w:rPr>
        <w:t>md</w:t>
      </w:r>
      <w:proofErr w:type="spellEnd"/>
      <w:r w:rsidR="00D51E79">
        <w:rPr>
          <w:color w:val="000000"/>
        </w:rPr>
        <w:t xml:space="preserve"> </w:t>
      </w:r>
      <w:r w:rsidR="00AC1D85" w:rsidRPr="00AC1D85">
        <w:rPr>
          <w:color w:val="000000"/>
        </w:rPr>
        <w:t>1:2018</w:t>
      </w:r>
      <w:r w:rsidRPr="00AC1D85">
        <w:rPr>
          <w:color w:val="000000"/>
        </w:rPr>
        <w:t xml:space="preserve"> </w:t>
      </w:r>
      <w:r w:rsidR="00AC1D85" w:rsidRPr="00AC1D85">
        <w:t>Gas cylinders</w:t>
      </w:r>
      <w:r w:rsidR="00970C9F">
        <w:t xml:space="preserve"> – </w:t>
      </w:r>
      <w:r w:rsidR="00AC1D85" w:rsidRPr="00AC1D85">
        <w:t>Refillable composite reinforced tubes of water capacity between 450 L and 3000 L</w:t>
      </w:r>
      <w:r w:rsidR="00970C9F">
        <w:t xml:space="preserve"> – </w:t>
      </w:r>
      <w:r w:rsidR="00AC1D85" w:rsidRPr="00AC1D85">
        <w:t>Design, construction and testing</w:t>
      </w:r>
      <w:r w:rsidR="00970C9F">
        <w:t>;</w:t>
      </w:r>
    </w:p>
    <w:p w14:paraId="1B911B6E" w14:textId="77777777" w:rsidR="00EC4555" w:rsidRPr="00EC4555" w:rsidRDefault="00EC4555" w:rsidP="002C613B">
      <w:pPr>
        <w:pStyle w:val="Bullet1G"/>
        <w:rPr>
          <w:color w:val="000000"/>
        </w:rPr>
      </w:pPr>
      <w:r w:rsidRPr="00E536D3">
        <w:t xml:space="preserve">ISO </w:t>
      </w:r>
      <w:r>
        <w:t>21172-1:2015 +</w:t>
      </w:r>
      <w:proofErr w:type="spellStart"/>
      <w:r>
        <w:t>A</w:t>
      </w:r>
      <w:r w:rsidR="00D51E79">
        <w:t>md</w:t>
      </w:r>
      <w:proofErr w:type="spellEnd"/>
      <w:r w:rsidR="00D51E79">
        <w:t xml:space="preserve"> </w:t>
      </w:r>
      <w:r>
        <w:t xml:space="preserve">1:2018 </w:t>
      </w:r>
      <w:r w:rsidRPr="00AC1D85">
        <w:t>Gas cylinders</w:t>
      </w:r>
      <w:r w:rsidR="00970C9F">
        <w:t xml:space="preserve"> – </w:t>
      </w:r>
      <w:r w:rsidRPr="00AC1D85">
        <w:t>Welded steel pressure drums up to 3</w:t>
      </w:r>
      <w:r w:rsidR="00970C9F">
        <w:t> </w:t>
      </w:r>
      <w:r w:rsidRPr="00AC1D85">
        <w:t>000 litres capacity for the transport of gases</w:t>
      </w:r>
      <w:r w:rsidR="00970C9F">
        <w:t xml:space="preserve"> – </w:t>
      </w:r>
      <w:r w:rsidRPr="00AC1D85">
        <w:t>Design and construction</w:t>
      </w:r>
      <w:r w:rsidR="00970C9F">
        <w:t xml:space="preserve"> – Part 1:</w:t>
      </w:r>
      <w:r w:rsidR="00646754">
        <w:t xml:space="preserve"> </w:t>
      </w:r>
      <w:r w:rsidRPr="00AC1D85">
        <w:t>Capacities up to 1</w:t>
      </w:r>
      <w:r>
        <w:t> </w:t>
      </w:r>
      <w:r w:rsidRPr="00AC1D85">
        <w:t>000 litres</w:t>
      </w:r>
      <w:r w:rsidRPr="00EC4555">
        <w:rPr>
          <w:color w:val="000000"/>
        </w:rPr>
        <w:t xml:space="preserve">; </w:t>
      </w:r>
    </w:p>
    <w:p w14:paraId="28D5FEE3" w14:textId="77777777" w:rsidR="00954711" w:rsidRPr="00AC1D85" w:rsidRDefault="0078065F" w:rsidP="00D763D3">
      <w:pPr>
        <w:pStyle w:val="Bullet1G"/>
        <w:rPr>
          <w:color w:val="000000"/>
        </w:rPr>
      </w:pPr>
      <w:r w:rsidRPr="00AC1D85">
        <w:rPr>
          <w:bCs/>
          <w:color w:val="000000"/>
          <w:lang w:val="en-US"/>
        </w:rPr>
        <w:t xml:space="preserve">ISO </w:t>
      </w:r>
      <w:r w:rsidR="00AC1D85" w:rsidRPr="00AC1D85">
        <w:rPr>
          <w:bCs/>
          <w:color w:val="000000"/>
          <w:lang w:val="en-US"/>
        </w:rPr>
        <w:t>18119:2018</w:t>
      </w:r>
      <w:r w:rsidRPr="00AC1D85">
        <w:rPr>
          <w:bCs/>
          <w:color w:val="000000"/>
          <w:lang w:val="en-US"/>
        </w:rPr>
        <w:t xml:space="preserve"> </w:t>
      </w:r>
      <w:r w:rsidR="00AC1D85" w:rsidRPr="00AC1D85">
        <w:rPr>
          <w:color w:val="000000"/>
        </w:rPr>
        <w:t>Gas cylinders</w:t>
      </w:r>
      <w:r w:rsidR="00970C9F">
        <w:rPr>
          <w:color w:val="000000"/>
        </w:rPr>
        <w:t xml:space="preserve"> – </w:t>
      </w:r>
      <w:r w:rsidR="00AC1D85" w:rsidRPr="00AC1D85">
        <w:rPr>
          <w:color w:val="000000"/>
        </w:rPr>
        <w:t>Seamless steel and seamless aluminium-alloy gas cylinders and tubes</w:t>
      </w:r>
      <w:r w:rsidR="00970C9F">
        <w:rPr>
          <w:color w:val="000000"/>
        </w:rPr>
        <w:t xml:space="preserve"> – </w:t>
      </w:r>
      <w:r w:rsidR="00AC1D85" w:rsidRPr="00AC1D85">
        <w:rPr>
          <w:color w:val="000000"/>
        </w:rPr>
        <w:t>Periodic inspection and testing</w:t>
      </w:r>
      <w:r w:rsidR="00DF1772" w:rsidRPr="00AC1D85">
        <w:rPr>
          <w:color w:val="000000"/>
        </w:rPr>
        <w:t>;</w:t>
      </w:r>
    </w:p>
    <w:p w14:paraId="34A01F96" w14:textId="77777777" w:rsidR="00AC1D85" w:rsidRPr="00AC1D85" w:rsidRDefault="00FE298B" w:rsidP="00AC1D85">
      <w:pPr>
        <w:pStyle w:val="Bullet1G"/>
        <w:rPr>
          <w:color w:val="000000"/>
        </w:rPr>
      </w:pPr>
      <w:r w:rsidRPr="00FE298B">
        <w:rPr>
          <w:bCs/>
          <w:color w:val="000000"/>
          <w:lang w:val="en-US"/>
        </w:rPr>
        <w:t xml:space="preserve">ISO </w:t>
      </w:r>
      <w:r w:rsidR="00AC1D85">
        <w:rPr>
          <w:bCs/>
          <w:color w:val="000000"/>
          <w:lang w:val="en-US"/>
        </w:rPr>
        <w:t>10460</w:t>
      </w:r>
      <w:r w:rsidRPr="00FE298B">
        <w:rPr>
          <w:bCs/>
          <w:color w:val="000000"/>
          <w:lang w:val="en-US"/>
        </w:rPr>
        <w:t>:201</w:t>
      </w:r>
      <w:r w:rsidR="00AC1D85">
        <w:rPr>
          <w:bCs/>
          <w:color w:val="000000"/>
          <w:lang w:val="en-US"/>
        </w:rPr>
        <w:t>8</w:t>
      </w:r>
      <w:r w:rsidRPr="00FE298B">
        <w:rPr>
          <w:color w:val="000000"/>
          <w:lang w:val="en-US"/>
        </w:rPr>
        <w:t> </w:t>
      </w:r>
      <w:r w:rsidR="00AC1D85" w:rsidRPr="00AC1D85">
        <w:rPr>
          <w:color w:val="000000"/>
        </w:rPr>
        <w:t>Gas cylinders</w:t>
      </w:r>
      <w:r w:rsidR="00970C9F">
        <w:rPr>
          <w:color w:val="000000"/>
        </w:rPr>
        <w:t xml:space="preserve"> – </w:t>
      </w:r>
      <w:r w:rsidR="00AC1D85" w:rsidRPr="00AC1D85">
        <w:rPr>
          <w:color w:val="000000"/>
        </w:rPr>
        <w:t xml:space="preserve">Welded aluminium-alloy, carbon and </w:t>
      </w:r>
      <w:proofErr w:type="gramStart"/>
      <w:r w:rsidR="00AC1D85" w:rsidRPr="00AC1D85">
        <w:rPr>
          <w:color w:val="000000"/>
        </w:rPr>
        <w:t>stainless steel</w:t>
      </w:r>
      <w:proofErr w:type="gramEnd"/>
      <w:r w:rsidR="00AC1D85" w:rsidRPr="00AC1D85">
        <w:rPr>
          <w:color w:val="000000"/>
        </w:rPr>
        <w:t xml:space="preserve"> gas cylinders</w:t>
      </w:r>
      <w:r w:rsidR="00970C9F">
        <w:rPr>
          <w:color w:val="000000"/>
        </w:rPr>
        <w:t xml:space="preserve"> – </w:t>
      </w:r>
      <w:r w:rsidR="00AC1D85" w:rsidRPr="00AC1D85">
        <w:rPr>
          <w:color w:val="000000"/>
        </w:rPr>
        <w:t>Periodic inspection and testing</w:t>
      </w:r>
      <w:r w:rsidR="00970C9F">
        <w:rPr>
          <w:color w:val="000000"/>
        </w:rPr>
        <w:t>.</w:t>
      </w:r>
    </w:p>
    <w:p w14:paraId="7DE87E27" w14:textId="77777777" w:rsidR="00EC4555" w:rsidRDefault="00953E97" w:rsidP="001F50AE">
      <w:pPr>
        <w:pStyle w:val="SingleTxtG"/>
      </w:pPr>
      <w:r>
        <w:t>2.</w:t>
      </w:r>
      <w:r>
        <w:tab/>
      </w:r>
      <w:r w:rsidR="00EC4555">
        <w:t>There is also a proposal to delete one</w:t>
      </w:r>
      <w:r w:rsidR="00060A06">
        <w:t xml:space="preserve"> </w:t>
      </w:r>
      <w:r w:rsidR="00625A64">
        <w:t>superseded</w:t>
      </w:r>
      <w:r w:rsidR="00EC4555">
        <w:t xml:space="preserve"> periodic inspection standard</w:t>
      </w:r>
      <w:r w:rsidR="00646754">
        <w:t>.</w:t>
      </w:r>
    </w:p>
    <w:p w14:paraId="5B3C9501" w14:textId="77777777" w:rsidR="00C42B3C" w:rsidRPr="00AF17DB" w:rsidRDefault="00EC4555" w:rsidP="001F50AE">
      <w:pPr>
        <w:pStyle w:val="SingleTxtG"/>
      </w:pPr>
      <w:r>
        <w:lastRenderedPageBreak/>
        <w:t>3.</w:t>
      </w:r>
      <w:r>
        <w:tab/>
      </w:r>
      <w:r w:rsidR="00DE4B5B" w:rsidRPr="00AF17DB">
        <w:t xml:space="preserve">The </w:t>
      </w:r>
      <w:r w:rsidR="00C42B3C" w:rsidRPr="00AF17DB">
        <w:t xml:space="preserve">usual arrangements have been made with the </w:t>
      </w:r>
      <w:r w:rsidR="00646754">
        <w:t>s</w:t>
      </w:r>
      <w:r w:rsidR="00C42B3C" w:rsidRPr="00AF17DB">
        <w:t xml:space="preserve">ecretariat to circulate PDF copies of these documents to the </w:t>
      </w:r>
      <w:r w:rsidR="00646754">
        <w:t>e</w:t>
      </w:r>
      <w:r w:rsidR="00C42B3C" w:rsidRPr="00AF17DB">
        <w:t xml:space="preserve">xperts. </w:t>
      </w:r>
    </w:p>
    <w:p w14:paraId="3E2D2480" w14:textId="77777777" w:rsidR="00021776" w:rsidRPr="007B2B1F" w:rsidRDefault="001F50AE" w:rsidP="00953E97">
      <w:pPr>
        <w:pStyle w:val="HChG"/>
      </w:pPr>
      <w:r>
        <w:tab/>
      </w:r>
      <w:r>
        <w:tab/>
      </w:r>
      <w:r w:rsidR="00021776" w:rsidRPr="007B2B1F">
        <w:t>Proposal 1</w:t>
      </w:r>
    </w:p>
    <w:p w14:paraId="64DE13DF" w14:textId="77777777" w:rsidR="009730AF" w:rsidRDefault="00953E97" w:rsidP="003E6CBE">
      <w:pPr>
        <w:pStyle w:val="SingleTxtG"/>
      </w:pPr>
      <w:r>
        <w:t>4</w:t>
      </w:r>
      <w:r w:rsidR="0029750B" w:rsidRPr="007B2B1F">
        <w:t>.</w:t>
      </w:r>
      <w:r w:rsidR="0029750B" w:rsidRPr="007B2B1F">
        <w:tab/>
      </w:r>
      <w:r w:rsidR="006035BD">
        <w:t xml:space="preserve">In </w:t>
      </w:r>
      <w:r w:rsidR="00A41E76">
        <w:t xml:space="preserve">the table in </w:t>
      </w:r>
      <w:r w:rsidR="006035BD">
        <w:t xml:space="preserve">6.2.2.3 in the row starting ISO 11515:2013 replace </w:t>
      </w:r>
      <w:r w:rsidR="00E030DB">
        <w:t>“</w:t>
      </w:r>
      <w:r w:rsidR="006035BD">
        <w:t>Until further notice</w:t>
      </w:r>
      <w:r w:rsidR="00E030DB">
        <w:t>”</w:t>
      </w:r>
      <w:r w:rsidR="006035BD">
        <w:t xml:space="preserve"> with </w:t>
      </w:r>
      <w:r w:rsidR="00E030DB">
        <w:t>“</w:t>
      </w:r>
      <w:r w:rsidR="006035BD">
        <w:t>Until 31 December 2026</w:t>
      </w:r>
      <w:r w:rsidR="00E030DB">
        <w:t>”</w:t>
      </w:r>
      <w:r w:rsidR="006035BD">
        <w:t>.  Add a new row beneath this row as follows: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6035BD" w:rsidRPr="00AA6F5C" w14:paraId="48716207" w14:textId="77777777" w:rsidTr="004A4BDC">
        <w:tc>
          <w:tcPr>
            <w:tcW w:w="1544" w:type="dxa"/>
            <w:shd w:val="clear" w:color="auto" w:fill="auto"/>
          </w:tcPr>
          <w:p w14:paraId="36AD35E4" w14:textId="77777777" w:rsidR="006035BD" w:rsidRPr="00AA6F5C" w:rsidRDefault="006035BD" w:rsidP="004A4BDC">
            <w:r>
              <w:t>ISO 11515</w:t>
            </w:r>
            <w:r w:rsidRPr="00AA6F5C">
              <w:t>:201</w:t>
            </w:r>
            <w:r>
              <w:t xml:space="preserve">3 + </w:t>
            </w:r>
            <w:proofErr w:type="spellStart"/>
            <w:r>
              <w:t>A</w:t>
            </w:r>
            <w:r w:rsidR="004A4BDC">
              <w:t>md</w:t>
            </w:r>
            <w:proofErr w:type="spellEnd"/>
            <w:r w:rsidR="005556E0">
              <w:t> </w:t>
            </w:r>
            <w:r>
              <w:t>1:2018</w:t>
            </w:r>
            <w:r w:rsidRPr="00AA6F5C">
              <w:t xml:space="preserve"> </w:t>
            </w:r>
          </w:p>
        </w:tc>
        <w:tc>
          <w:tcPr>
            <w:tcW w:w="4820" w:type="dxa"/>
            <w:shd w:val="clear" w:color="auto" w:fill="auto"/>
          </w:tcPr>
          <w:p w14:paraId="2DF94A8A" w14:textId="77777777" w:rsidR="006035BD" w:rsidRPr="00AA6F5C" w:rsidRDefault="00D51E79" w:rsidP="003E6CBE">
            <w:pPr>
              <w:jc w:val="both"/>
            </w:pPr>
            <w:r w:rsidRPr="00AC1D85">
              <w:t>Gas cylinders</w:t>
            </w:r>
            <w:r>
              <w:t xml:space="preserve"> – </w:t>
            </w:r>
            <w:r w:rsidRPr="00AC1D85">
              <w:t>Refillable composite reinforced tubes of water capacity between 450</w:t>
            </w:r>
            <w:r w:rsidR="003E6CBE">
              <w:t> </w:t>
            </w:r>
            <w:r w:rsidRPr="00AC1D85">
              <w:t>L and 3000 L</w:t>
            </w:r>
            <w:r>
              <w:t xml:space="preserve"> – </w:t>
            </w:r>
            <w:r w:rsidRPr="00AC1D85">
              <w:t>Design, construction and testing</w:t>
            </w:r>
          </w:p>
        </w:tc>
        <w:tc>
          <w:tcPr>
            <w:tcW w:w="1275" w:type="dxa"/>
            <w:shd w:val="clear" w:color="auto" w:fill="auto"/>
          </w:tcPr>
          <w:p w14:paraId="4FAD5A63" w14:textId="77777777" w:rsidR="006035BD" w:rsidRPr="00AA6F5C" w:rsidRDefault="006035BD" w:rsidP="00134A5F">
            <w:r w:rsidRPr="00AA6F5C">
              <w:t>Until further notice</w:t>
            </w:r>
          </w:p>
        </w:tc>
      </w:tr>
    </w:tbl>
    <w:p w14:paraId="40CA8D1F" w14:textId="77777777" w:rsidR="00BC38BF" w:rsidRPr="007B2B1F" w:rsidRDefault="001F50AE" w:rsidP="001F50AE">
      <w:pPr>
        <w:pStyle w:val="H1G"/>
      </w:pPr>
      <w:r>
        <w:tab/>
      </w:r>
      <w:r>
        <w:tab/>
      </w:r>
      <w:r w:rsidR="00BC38BF" w:rsidRPr="007B2B1F">
        <w:t>Justification</w:t>
      </w:r>
    </w:p>
    <w:p w14:paraId="3594AB4A" w14:textId="77777777" w:rsidR="00EB2884" w:rsidRPr="007B2B1F" w:rsidRDefault="00953E97" w:rsidP="001F50AE">
      <w:pPr>
        <w:pStyle w:val="SingleTxtG"/>
      </w:pPr>
      <w:r>
        <w:t>5</w:t>
      </w:r>
      <w:r w:rsidR="00FC7CF8" w:rsidRPr="007B2B1F">
        <w:t>.</w:t>
      </w:r>
      <w:r w:rsidR="00FC7CF8" w:rsidRPr="007B2B1F">
        <w:tab/>
      </w:r>
      <w:r w:rsidR="00741A30">
        <w:t xml:space="preserve">When this standard was introduced it was criticised for omitting the gun fire test. This amendment rectifies that omission by introducing this test which </w:t>
      </w:r>
      <w:r w:rsidR="00060A06">
        <w:t>ha</w:t>
      </w:r>
      <w:r w:rsidR="00741A30">
        <w:t>s</w:t>
      </w:r>
      <w:r w:rsidR="00060A06">
        <w:t xml:space="preserve"> a </w:t>
      </w:r>
      <w:proofErr w:type="gramStart"/>
      <w:r w:rsidR="00060A06">
        <w:t>long established</w:t>
      </w:r>
      <w:proofErr w:type="gramEnd"/>
      <w:r w:rsidR="00060A06">
        <w:t xml:space="preserve"> </w:t>
      </w:r>
      <w:r w:rsidR="00741A30">
        <w:t>use in the standards for composite cylinders.</w:t>
      </w:r>
      <w:r w:rsidR="00060A06">
        <w:t xml:space="preserve">  The blunt impact test is also revised.</w:t>
      </w:r>
    </w:p>
    <w:p w14:paraId="237C053C" w14:textId="77777777" w:rsidR="00EC5341" w:rsidRDefault="001F50AE" w:rsidP="00953E97">
      <w:pPr>
        <w:pStyle w:val="HChG"/>
      </w:pPr>
      <w:r>
        <w:tab/>
      </w:r>
      <w:r>
        <w:tab/>
      </w:r>
      <w:r w:rsidR="00EC5341" w:rsidRPr="00720D0C">
        <w:t xml:space="preserve">Proposal </w:t>
      </w:r>
      <w:r w:rsidR="00EC5341">
        <w:t>2</w:t>
      </w:r>
    </w:p>
    <w:p w14:paraId="67E18FFB" w14:textId="77777777" w:rsidR="00EC5341" w:rsidRDefault="00953E97" w:rsidP="003E6CBE">
      <w:pPr>
        <w:spacing w:after="120"/>
        <w:ind w:left="1134" w:right="1134"/>
        <w:jc w:val="both"/>
      </w:pPr>
      <w:r>
        <w:t>6</w:t>
      </w:r>
      <w:r w:rsidR="00EC5341">
        <w:t>.</w:t>
      </w:r>
      <w:r w:rsidR="00EC5341">
        <w:tab/>
        <w:t xml:space="preserve">In </w:t>
      </w:r>
      <w:r w:rsidR="00A41E76">
        <w:t xml:space="preserve">the table in </w:t>
      </w:r>
      <w:r w:rsidR="00EC5341">
        <w:t>6.2.2.1.</w:t>
      </w:r>
      <w:r w:rsidR="00D51E79">
        <w:t>8 in the row starting ISO 21172-1:2015 replace ‘Until further notice’ with ‘Until 31 December 2026’</w:t>
      </w:r>
      <w:r w:rsidR="00A41E76">
        <w:t xml:space="preserve">. </w:t>
      </w:r>
      <w:r w:rsidR="00EC5341">
        <w:t xml:space="preserve"> </w:t>
      </w:r>
      <w:r w:rsidR="00A41E76">
        <w:t>A</w:t>
      </w:r>
      <w:r w:rsidR="00EC5341">
        <w:t xml:space="preserve">dd the following new </w:t>
      </w:r>
      <w:r w:rsidR="003E6CBE">
        <w:t xml:space="preserve">second </w:t>
      </w:r>
      <w:r w:rsidR="00EC5341">
        <w:t xml:space="preserve">row to the table (after ISO </w:t>
      </w:r>
      <w:r w:rsidR="003E6CBE">
        <w:t>21172-1:</w:t>
      </w:r>
      <w:r w:rsidR="00EC5341">
        <w:t>201</w:t>
      </w:r>
      <w:r w:rsidR="003E6CBE">
        <w:t>5</w:t>
      </w:r>
      <w:r w:rsidR="00EC5341">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649"/>
        <w:gridCol w:w="1275"/>
      </w:tblGrid>
      <w:tr w:rsidR="00EC5341" w:rsidRPr="00AA6F5C" w14:paraId="6393C85F" w14:textId="77777777" w:rsidTr="003E6CBE">
        <w:tc>
          <w:tcPr>
            <w:tcW w:w="1555" w:type="dxa"/>
            <w:shd w:val="clear" w:color="auto" w:fill="auto"/>
          </w:tcPr>
          <w:p w14:paraId="535D916F" w14:textId="77777777" w:rsidR="00EC5341" w:rsidRPr="00AA6F5C" w:rsidRDefault="003E6CBE" w:rsidP="006A6E31">
            <w:r w:rsidRPr="00D51E79">
              <w:t>ISO 21172-1:2015 +</w:t>
            </w:r>
            <w:r w:rsidR="004A4BDC">
              <w:t xml:space="preserve"> </w:t>
            </w:r>
            <w:proofErr w:type="spellStart"/>
            <w:r w:rsidRPr="00D51E79">
              <w:t>Amd</w:t>
            </w:r>
            <w:proofErr w:type="spellEnd"/>
            <w:r w:rsidR="005556E0">
              <w:t> </w:t>
            </w:r>
            <w:r w:rsidRPr="00D51E79">
              <w:t>1:2018</w:t>
            </w:r>
          </w:p>
        </w:tc>
        <w:tc>
          <w:tcPr>
            <w:tcW w:w="4649" w:type="dxa"/>
            <w:shd w:val="clear" w:color="auto" w:fill="auto"/>
          </w:tcPr>
          <w:p w14:paraId="47A135D3" w14:textId="77777777" w:rsidR="00EC5341" w:rsidRPr="00AA6F5C" w:rsidRDefault="00D51E79" w:rsidP="003E6CBE">
            <w:pPr>
              <w:jc w:val="both"/>
            </w:pPr>
            <w:r w:rsidRPr="00D51E79">
              <w:t>Gas cylinders – Welded steel pressure drums up to 3 000 litres capacity for the transport of gases – Design and construction – Part 1:</w:t>
            </w:r>
            <w:r w:rsidR="00E030DB">
              <w:t xml:space="preserve"> </w:t>
            </w:r>
            <w:r w:rsidRPr="003E6CBE">
              <w:rPr>
                <w:color w:val="000000"/>
              </w:rPr>
              <w:t>Capacities</w:t>
            </w:r>
            <w:r w:rsidRPr="00D51E79">
              <w:t xml:space="preserve"> up to 1 000 litres; </w:t>
            </w:r>
          </w:p>
        </w:tc>
        <w:tc>
          <w:tcPr>
            <w:tcW w:w="1275" w:type="dxa"/>
            <w:shd w:val="clear" w:color="auto" w:fill="auto"/>
          </w:tcPr>
          <w:p w14:paraId="0E9ACC14" w14:textId="77777777" w:rsidR="00EC5341" w:rsidRPr="00AA6F5C" w:rsidRDefault="00EC5341" w:rsidP="006A6E31">
            <w:r w:rsidRPr="00AA6F5C">
              <w:t>Until further notice</w:t>
            </w:r>
          </w:p>
        </w:tc>
      </w:tr>
    </w:tbl>
    <w:p w14:paraId="377ACBB0" w14:textId="77777777" w:rsidR="00EC5341" w:rsidRPr="007B2B1F" w:rsidRDefault="00953E97" w:rsidP="001F50AE">
      <w:pPr>
        <w:pStyle w:val="H1G"/>
      </w:pPr>
      <w:r>
        <w:tab/>
      </w:r>
      <w:r>
        <w:tab/>
        <w:t>Justification</w:t>
      </w:r>
    </w:p>
    <w:p w14:paraId="7CE4FD58" w14:textId="77777777" w:rsidR="00EC5341" w:rsidRDefault="00953E97" w:rsidP="00EC5341">
      <w:pPr>
        <w:ind w:left="1134" w:right="1134"/>
        <w:jc w:val="both"/>
      </w:pPr>
      <w:r>
        <w:t>7</w:t>
      </w:r>
      <w:r w:rsidR="00EC5341">
        <w:t>.</w:t>
      </w:r>
      <w:r w:rsidR="00EC5341">
        <w:tab/>
      </w:r>
      <w:r w:rsidR="003E6CBE">
        <w:t xml:space="preserve">When this standard was introduced to the Model Regulations there was widespread objections to </w:t>
      </w:r>
      <w:r w:rsidR="00646754">
        <w:t>c</w:t>
      </w:r>
      <w:r w:rsidR="003E6CBE">
        <w:t xml:space="preserve">lause 6.3.3.4 which forbade corrosive gases being carried in drums with dished ends convex to pressure.  This amendment of the standard removes the restriction on corrosive substances so the note appearing with </w:t>
      </w:r>
      <w:r w:rsidR="007C2CA9">
        <w:t xml:space="preserve">the reference to </w:t>
      </w:r>
      <w:r w:rsidR="003E6CBE">
        <w:t>ISO 21172-1:2015 is no</w:t>
      </w:r>
      <w:r w:rsidR="00060A06">
        <w:t>t</w:t>
      </w:r>
      <w:r w:rsidR="003E6CBE">
        <w:t xml:space="preserve"> necessary</w:t>
      </w:r>
      <w:r w:rsidR="00060A06">
        <w:t xml:space="preserve"> for this new reference</w:t>
      </w:r>
      <w:r w:rsidR="003E6CBE">
        <w:t>.</w:t>
      </w:r>
    </w:p>
    <w:p w14:paraId="77D81413" w14:textId="77777777" w:rsidR="00720D0C" w:rsidRPr="00720D0C" w:rsidRDefault="001F50AE" w:rsidP="00953E97">
      <w:pPr>
        <w:pStyle w:val="HChG"/>
      </w:pPr>
      <w:r>
        <w:tab/>
      </w:r>
      <w:r>
        <w:tab/>
      </w:r>
      <w:r w:rsidR="00720D0C" w:rsidRPr="00720D0C">
        <w:t>Proposal 3</w:t>
      </w:r>
    </w:p>
    <w:p w14:paraId="37870787" w14:textId="77777777" w:rsidR="006C4652" w:rsidRDefault="00953E97" w:rsidP="004E5A51">
      <w:pPr>
        <w:pStyle w:val="SingleTxtG"/>
      </w:pPr>
      <w:r>
        <w:t>8</w:t>
      </w:r>
      <w:r w:rsidR="006F0DDB" w:rsidRPr="007B2B1F">
        <w:t>.</w:t>
      </w:r>
      <w:r w:rsidR="006F0DDB" w:rsidRPr="007B2B1F">
        <w:tab/>
      </w:r>
      <w:r w:rsidR="006D3E0B">
        <w:t xml:space="preserve">In </w:t>
      </w:r>
      <w:r w:rsidR="00A41E76">
        <w:t xml:space="preserve">the table in </w:t>
      </w:r>
      <w:r w:rsidR="00E46DAD">
        <w:t>6.2.2.</w:t>
      </w:r>
      <w:r w:rsidR="00A80265">
        <w:t>4</w:t>
      </w:r>
      <w:r w:rsidR="006D3E0B">
        <w:t xml:space="preserve"> </w:t>
      </w:r>
      <w:r w:rsidR="007A2287">
        <w:t xml:space="preserve">in the </w:t>
      </w:r>
      <w:r w:rsidR="00A41E76">
        <w:t xml:space="preserve">two </w:t>
      </w:r>
      <w:r w:rsidR="007A2287">
        <w:t>row</w:t>
      </w:r>
      <w:r w:rsidR="00A41E76">
        <w:t>s</w:t>
      </w:r>
      <w:r w:rsidR="007A2287">
        <w:t xml:space="preserve"> starting ISO </w:t>
      </w:r>
      <w:r w:rsidR="00A41E76">
        <w:t>6406</w:t>
      </w:r>
      <w:r w:rsidR="007A2287">
        <w:t>:20</w:t>
      </w:r>
      <w:r w:rsidR="00A41E76">
        <w:t>05 and ISO 10461:2005/A1:2006</w:t>
      </w:r>
      <w:r w:rsidR="007A2287">
        <w:t xml:space="preserve"> replace ‘Until further notice’ with </w:t>
      </w:r>
      <w:r w:rsidR="001A3501">
        <w:t>‘</w:t>
      </w:r>
      <w:r w:rsidR="007A2287">
        <w:t>Un</w:t>
      </w:r>
      <w:r w:rsidR="001A3501">
        <w:t>til 31 December 202</w:t>
      </w:r>
      <w:r w:rsidR="00344559">
        <w:t>4</w:t>
      </w:r>
      <w:r w:rsidR="001A3501">
        <w:t xml:space="preserve">’.  </w:t>
      </w:r>
      <w:r w:rsidR="00A41E76">
        <w:t xml:space="preserve">Add the following </w:t>
      </w:r>
      <w:r w:rsidR="007A2287">
        <w:t xml:space="preserve">new </w:t>
      </w:r>
      <w:r w:rsidR="00A41E76">
        <w:t>second row to the table (after ISO 6404:2005)</w:t>
      </w:r>
      <w:r w:rsidR="007A2287">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508"/>
        <w:gridCol w:w="1275"/>
      </w:tblGrid>
      <w:tr w:rsidR="007A2287" w:rsidRPr="00AA6F5C" w14:paraId="1992F4AD" w14:textId="77777777" w:rsidTr="00A41E76">
        <w:tc>
          <w:tcPr>
            <w:tcW w:w="1696" w:type="dxa"/>
            <w:shd w:val="clear" w:color="auto" w:fill="auto"/>
          </w:tcPr>
          <w:p w14:paraId="52388BCD" w14:textId="77777777" w:rsidR="007A2287" w:rsidRPr="00AA6F5C" w:rsidRDefault="00A41E76" w:rsidP="007A2287">
            <w:r w:rsidRPr="00A41E76">
              <w:t>ISO 18119:2018</w:t>
            </w:r>
          </w:p>
        </w:tc>
        <w:tc>
          <w:tcPr>
            <w:tcW w:w="4508" w:type="dxa"/>
            <w:shd w:val="clear" w:color="auto" w:fill="auto"/>
          </w:tcPr>
          <w:p w14:paraId="5E58156E" w14:textId="77777777" w:rsidR="007A2287" w:rsidRPr="00AA6F5C" w:rsidRDefault="00A41E76" w:rsidP="000862B1">
            <w:r w:rsidRPr="00A41E76">
              <w:t>Gas cylinders – Seamless steel and seamless aluminium-alloy gas cylinders and tubes – Periodic inspection and testing</w:t>
            </w:r>
          </w:p>
        </w:tc>
        <w:tc>
          <w:tcPr>
            <w:tcW w:w="1275" w:type="dxa"/>
            <w:shd w:val="clear" w:color="auto" w:fill="auto"/>
          </w:tcPr>
          <w:p w14:paraId="743B149E" w14:textId="77777777" w:rsidR="007A2287" w:rsidRPr="00AA6F5C" w:rsidRDefault="007A2287" w:rsidP="006A6E31">
            <w:r w:rsidRPr="00AA6F5C">
              <w:t>Until further notice</w:t>
            </w:r>
          </w:p>
        </w:tc>
      </w:tr>
    </w:tbl>
    <w:p w14:paraId="35C14D51" w14:textId="77777777" w:rsidR="00E030DB" w:rsidRDefault="00E030DB" w:rsidP="00E030DB">
      <w:pPr>
        <w:pStyle w:val="SingleTxtG"/>
        <w:spacing w:before="240"/>
      </w:pPr>
    </w:p>
    <w:p w14:paraId="53BFE64E" w14:textId="77777777" w:rsidR="00E030DB" w:rsidRDefault="00E030DB">
      <w:pPr>
        <w:suppressAutoHyphens w:val="0"/>
        <w:spacing w:line="240" w:lineRule="auto"/>
      </w:pPr>
      <w:r>
        <w:br w:type="page"/>
      </w:r>
    </w:p>
    <w:p w14:paraId="03F31BED" w14:textId="77777777" w:rsidR="004A4BDC" w:rsidRDefault="004E5A51" w:rsidP="00E030DB">
      <w:pPr>
        <w:pStyle w:val="SingleTxtG"/>
        <w:spacing w:before="240"/>
      </w:pPr>
      <w:r w:rsidRPr="004A4BDC">
        <w:lastRenderedPageBreak/>
        <w:tab/>
      </w:r>
      <w:r w:rsidR="004A4BDC">
        <w:t>9.</w:t>
      </w:r>
      <w:r w:rsidR="004A4BDC">
        <w:tab/>
        <w:t>As a consequential amendment</w:t>
      </w:r>
      <w:r w:rsidR="004F012C">
        <w:t xml:space="preserve"> replace</w:t>
      </w:r>
      <w:r w:rsidR="004A4BDC">
        <w:t xml:space="preserve"> </w:t>
      </w:r>
      <w:r w:rsidR="004A4BDC" w:rsidRPr="00EB04EA">
        <w:t>NOTE 3</w:t>
      </w:r>
      <w:r w:rsidR="004A4BDC">
        <w:t xml:space="preserve"> </w:t>
      </w:r>
      <w:r w:rsidR="004F012C">
        <w:t>in 6.2.1.6.1 with the following</w:t>
      </w:r>
      <w:r w:rsidR="00646754">
        <w:t>:</w:t>
      </w:r>
    </w:p>
    <w:p w14:paraId="2083018E" w14:textId="77777777" w:rsidR="00EB04EA" w:rsidRDefault="00EB04EA" w:rsidP="00EB04EA">
      <w:pPr>
        <w:tabs>
          <w:tab w:val="left" w:pos="2268"/>
        </w:tabs>
        <w:spacing w:after="200"/>
        <w:ind w:left="1134" w:right="1133"/>
        <w:jc w:val="both"/>
        <w:rPr>
          <w:i/>
        </w:rPr>
      </w:pPr>
      <w:r w:rsidRPr="00276F12">
        <w:rPr>
          <w:bCs/>
          <w:i/>
        </w:rPr>
        <w:t>“</w:t>
      </w:r>
      <w:r w:rsidRPr="00C4376B">
        <w:rPr>
          <w:b/>
          <w:bCs/>
          <w:i/>
        </w:rPr>
        <w:t>NOTE 3:</w:t>
      </w:r>
      <w:r w:rsidRPr="00C4376B">
        <w:rPr>
          <w:b/>
          <w:bCs/>
          <w:i/>
        </w:rPr>
        <w:tab/>
      </w:r>
      <w:r w:rsidRPr="00400013">
        <w:rPr>
          <w:i/>
          <w:iCs/>
        </w:rPr>
        <w:t xml:space="preserve">The check of </w:t>
      </w:r>
      <w:r w:rsidR="00E90372">
        <w:rPr>
          <w:i/>
          <w:iCs/>
        </w:rPr>
        <w:t>internal condition</w:t>
      </w:r>
      <w:r w:rsidRPr="00400013">
        <w:rPr>
          <w:i/>
          <w:iCs/>
        </w:rPr>
        <w:t xml:space="preserve"> (b) and the hydraulic pressure test (d) may be replaced</w:t>
      </w:r>
      <w:r w:rsidRPr="00C4376B">
        <w:rPr>
          <w:i/>
        </w:rPr>
        <w:t xml:space="preserve"> by ultrasonic examination carried out in accordance with ISO 1</w:t>
      </w:r>
      <w:r>
        <w:rPr>
          <w:i/>
        </w:rPr>
        <w:t>8119</w:t>
      </w:r>
      <w:r w:rsidRPr="00C4376B">
        <w:rPr>
          <w:i/>
        </w:rPr>
        <w:t>:20</w:t>
      </w:r>
      <w:r>
        <w:rPr>
          <w:i/>
        </w:rPr>
        <w:t>18</w:t>
      </w:r>
      <w:r w:rsidRPr="00C4376B">
        <w:rPr>
          <w:i/>
        </w:rPr>
        <w:t xml:space="preserve"> for seamless</w:t>
      </w:r>
      <w:r w:rsidR="006912CD">
        <w:rPr>
          <w:i/>
        </w:rPr>
        <w:t xml:space="preserve"> steel and</w:t>
      </w:r>
      <w:r w:rsidRPr="00C4376B">
        <w:rPr>
          <w:i/>
        </w:rPr>
        <w:t xml:space="preserve"> </w:t>
      </w:r>
      <w:r w:rsidR="006912CD">
        <w:rPr>
          <w:i/>
        </w:rPr>
        <w:t xml:space="preserve">seamless </w:t>
      </w:r>
      <w:r w:rsidRPr="00C4376B">
        <w:rPr>
          <w:i/>
        </w:rPr>
        <w:t xml:space="preserve">aluminium alloy </w:t>
      </w:r>
      <w:r>
        <w:rPr>
          <w:i/>
        </w:rPr>
        <w:t xml:space="preserve">gas </w:t>
      </w:r>
      <w:r w:rsidRPr="00C4376B">
        <w:rPr>
          <w:i/>
        </w:rPr>
        <w:t>cylinder</w:t>
      </w:r>
      <w:r>
        <w:rPr>
          <w:i/>
        </w:rPr>
        <w:t>s</w:t>
      </w:r>
      <w:r w:rsidR="00C32223">
        <w:rPr>
          <w:i/>
        </w:rPr>
        <w:t>.</w:t>
      </w:r>
      <w:r>
        <w:rPr>
          <w:i/>
        </w:rPr>
        <w:t xml:space="preserve">  </w:t>
      </w:r>
      <w:r w:rsidR="006912CD">
        <w:rPr>
          <w:i/>
        </w:rPr>
        <w:t>For a transitional period u</w:t>
      </w:r>
      <w:r>
        <w:rPr>
          <w:i/>
        </w:rPr>
        <w:t>ntil 31 December 2024 the standard ISO 10461:2005 +A1:2006 may be used for seamless aluminium alloy cylinders and ISO 6406:2005 may be used for seamless steel cylinders for this same purpose.”</w:t>
      </w:r>
    </w:p>
    <w:p w14:paraId="5CDF6FBD" w14:textId="77777777" w:rsidR="004E5A51" w:rsidRPr="007B2B1F" w:rsidRDefault="007C2CA9" w:rsidP="00953E97">
      <w:pPr>
        <w:pStyle w:val="H1G"/>
        <w:spacing w:before="240" w:after="120"/>
      </w:pPr>
      <w:r>
        <w:tab/>
      </w:r>
      <w:r>
        <w:tab/>
      </w:r>
      <w:r w:rsidR="004E5A51" w:rsidRPr="007B2B1F">
        <w:t>Justification</w:t>
      </w:r>
    </w:p>
    <w:p w14:paraId="02CE869F" w14:textId="77777777" w:rsidR="005360FB" w:rsidRPr="007B2B1F" w:rsidRDefault="00EB04EA" w:rsidP="001F50AE">
      <w:pPr>
        <w:pStyle w:val="SingleTxtG"/>
      </w:pPr>
      <w:r>
        <w:t>1</w:t>
      </w:r>
      <w:r w:rsidR="00E249DE">
        <w:t>0</w:t>
      </w:r>
      <w:r w:rsidR="004E5A51" w:rsidRPr="007B2B1F">
        <w:t>.</w:t>
      </w:r>
      <w:r w:rsidR="004E5A51" w:rsidRPr="007B2B1F">
        <w:tab/>
      </w:r>
      <w:r w:rsidR="001A3501" w:rsidRPr="0009020C">
        <w:t xml:space="preserve">This </w:t>
      </w:r>
      <w:r w:rsidR="004A4BDC">
        <w:t>new standard covers the periodic inspection of both seamless steel and seamless aluminium cylinders</w:t>
      </w:r>
      <w:r w:rsidR="00823D6C">
        <w:t xml:space="preserve"> and tubes</w:t>
      </w:r>
      <w:r w:rsidR="004A4BDC">
        <w:t xml:space="preserve">; it therefore supersedes both ISO 6406 and ISO </w:t>
      </w:r>
      <w:r>
        <w:t xml:space="preserve">10461. </w:t>
      </w:r>
      <w:r w:rsidR="00A92930">
        <w:t>Thes</w:t>
      </w:r>
      <w:r w:rsidR="007D7662">
        <w:t>e latter standards have been withdrawn from the ISO online catalogue, but in accordance with the Guiding Principles may continue to be used for the periodic inspection of UN gas cylinders until the end of 2024.</w:t>
      </w:r>
      <w:r w:rsidR="00060A06">
        <w:t xml:space="preserve"> </w:t>
      </w:r>
    </w:p>
    <w:p w14:paraId="480F36E3" w14:textId="77777777" w:rsidR="001A3501" w:rsidRPr="00720D0C" w:rsidRDefault="001F50AE" w:rsidP="00953E97">
      <w:pPr>
        <w:pStyle w:val="HChG"/>
      </w:pPr>
      <w:r>
        <w:tab/>
      </w:r>
      <w:r>
        <w:tab/>
      </w:r>
      <w:r w:rsidR="001A3501" w:rsidRPr="00720D0C">
        <w:t xml:space="preserve">Proposal </w:t>
      </w:r>
      <w:r w:rsidR="001A3501">
        <w:t>4</w:t>
      </w:r>
    </w:p>
    <w:p w14:paraId="0AB973FE" w14:textId="77777777" w:rsidR="007429B8" w:rsidRDefault="00953E97" w:rsidP="001F50AE">
      <w:pPr>
        <w:pStyle w:val="SingleTxtG"/>
      </w:pPr>
      <w:r>
        <w:t>1</w:t>
      </w:r>
      <w:r w:rsidR="00E249DE">
        <w:t>1</w:t>
      </w:r>
      <w:r w:rsidR="00634B2E">
        <w:t>.</w:t>
      </w:r>
      <w:r w:rsidR="00634B2E">
        <w:tab/>
      </w:r>
      <w:r w:rsidR="007D7662">
        <w:t>In the table in 6.2.2.4 in the row starting ISO 10460:2005 ‘Until further notice’ with ‘Until 31 December 2024’.</w:t>
      </w:r>
      <w:r w:rsidR="007D7662" w:rsidRPr="007D7662">
        <w:t xml:space="preserve"> </w:t>
      </w:r>
      <w:r w:rsidR="007D7662">
        <w:t>Add the following new fourth row to the table (after ISO 10460:2005)</w:t>
      </w:r>
      <w:r w:rsidR="00646754">
        <w:t>:</w:t>
      </w:r>
      <w:bookmarkStart w:id="0" w:name="_GoBack"/>
      <w:bookmarkEnd w:id="0"/>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B31895" w:rsidRPr="00AA6F5C" w14:paraId="184CF8AC" w14:textId="77777777" w:rsidTr="007D7662">
        <w:tc>
          <w:tcPr>
            <w:tcW w:w="1544" w:type="dxa"/>
            <w:shd w:val="clear" w:color="auto" w:fill="auto"/>
          </w:tcPr>
          <w:p w14:paraId="07A3935F" w14:textId="77777777" w:rsidR="00B31895" w:rsidRPr="00AA6F5C" w:rsidRDefault="007D7662" w:rsidP="00B31895">
            <w:r w:rsidRPr="007D7662">
              <w:t>ISO 10460:2018</w:t>
            </w:r>
          </w:p>
        </w:tc>
        <w:tc>
          <w:tcPr>
            <w:tcW w:w="4820" w:type="dxa"/>
            <w:shd w:val="clear" w:color="auto" w:fill="auto"/>
          </w:tcPr>
          <w:p w14:paraId="29594A8D" w14:textId="77777777" w:rsidR="00B31895" w:rsidRPr="00AA6F5C" w:rsidRDefault="007D7662" w:rsidP="007D7662">
            <w:pPr>
              <w:jc w:val="both"/>
            </w:pPr>
            <w:r w:rsidRPr="007D7662">
              <w:t xml:space="preserve">Gas cylinders – Welded aluminium-alloy, carbon and </w:t>
            </w:r>
            <w:proofErr w:type="gramStart"/>
            <w:r w:rsidRPr="007D7662">
              <w:t>stainless steel</w:t>
            </w:r>
            <w:proofErr w:type="gramEnd"/>
            <w:r w:rsidRPr="007D7662">
              <w:t xml:space="preserve"> gas cylinders – Periodic inspection and testing.</w:t>
            </w:r>
          </w:p>
        </w:tc>
        <w:tc>
          <w:tcPr>
            <w:tcW w:w="1275" w:type="dxa"/>
            <w:shd w:val="clear" w:color="auto" w:fill="auto"/>
          </w:tcPr>
          <w:p w14:paraId="618DCF0C" w14:textId="77777777" w:rsidR="00B31895" w:rsidRPr="00AA6F5C" w:rsidRDefault="00B31895" w:rsidP="006A6E31">
            <w:r w:rsidRPr="00AA6F5C">
              <w:t>Until further notice</w:t>
            </w:r>
          </w:p>
        </w:tc>
      </w:tr>
    </w:tbl>
    <w:p w14:paraId="5BEC94E2" w14:textId="77777777" w:rsidR="00CE53C4" w:rsidRPr="007B2B1F" w:rsidRDefault="00953E97" w:rsidP="001F50AE">
      <w:pPr>
        <w:pStyle w:val="H1G"/>
      </w:pPr>
      <w:r>
        <w:tab/>
      </w:r>
      <w:r>
        <w:tab/>
        <w:t>Justification</w:t>
      </w:r>
    </w:p>
    <w:p w14:paraId="1E1876FF" w14:textId="77777777" w:rsidR="005413FA" w:rsidRDefault="00953E97" w:rsidP="009873ED">
      <w:pPr>
        <w:spacing w:after="120"/>
        <w:ind w:left="1134" w:right="1134"/>
        <w:jc w:val="both"/>
      </w:pPr>
      <w:r>
        <w:t>1</w:t>
      </w:r>
      <w:r w:rsidR="00E249DE">
        <w:t>2</w:t>
      </w:r>
      <w:r w:rsidR="00156F08">
        <w:t>.</w:t>
      </w:r>
      <w:r w:rsidR="00A17DBF">
        <w:tab/>
      </w:r>
      <w:r w:rsidR="00156F08">
        <w:t xml:space="preserve">The 2005 edition of this standard only covered welded cylinders made from carbon </w:t>
      </w:r>
      <w:proofErr w:type="gramStart"/>
      <w:r w:rsidR="00156F08">
        <w:t>steel</w:t>
      </w:r>
      <w:proofErr w:type="gramEnd"/>
      <w:r w:rsidR="00156F08">
        <w:t xml:space="preserve"> but this 2018 edition covers welded stainless steel cylinders and welded aluminium alloy as well.  Also, the superseded edition allowed the repair of welds, but this new standard forbids the type of weld repairs formerly forbidden by the note accompanying the reference.  There is therefore no need for such a note since the standard has been brought into alignment with the Model Regulations.</w:t>
      </w:r>
    </w:p>
    <w:p w14:paraId="2B99E6C2" w14:textId="77777777" w:rsidR="00F65671" w:rsidRDefault="00E06DD7" w:rsidP="00953E97">
      <w:pPr>
        <w:pStyle w:val="HChG"/>
      </w:pPr>
      <w:r w:rsidRPr="00AF17DB">
        <w:tab/>
      </w:r>
      <w:r w:rsidRPr="00AF17DB">
        <w:tab/>
        <w:t xml:space="preserve">Proposal </w:t>
      </w:r>
      <w:r w:rsidR="00E90372">
        <w:t>5</w:t>
      </w:r>
    </w:p>
    <w:p w14:paraId="4A367D50" w14:textId="77777777" w:rsidR="00E90372" w:rsidRPr="00953E97" w:rsidRDefault="00E90372" w:rsidP="00E90372">
      <w:pPr>
        <w:pStyle w:val="SingleTxtG"/>
      </w:pPr>
      <w:r>
        <w:t>1</w:t>
      </w:r>
      <w:r w:rsidR="00E249DE">
        <w:t>3</w:t>
      </w:r>
      <w:r>
        <w:t>.</w:t>
      </w:r>
      <w:r>
        <w:tab/>
        <w:t>In 6.2.2.4 delete the row for ISO 11623:2002.</w:t>
      </w:r>
    </w:p>
    <w:p w14:paraId="277241ED" w14:textId="77777777" w:rsidR="00953E97" w:rsidRDefault="00953E97" w:rsidP="00953E97">
      <w:pPr>
        <w:pStyle w:val="H1G"/>
      </w:pPr>
      <w:r>
        <w:tab/>
      </w:r>
      <w:r>
        <w:tab/>
        <w:t>Justification</w:t>
      </w:r>
    </w:p>
    <w:p w14:paraId="6557EF19" w14:textId="77777777" w:rsidR="00F65671" w:rsidRPr="00AF17DB" w:rsidRDefault="00625A64" w:rsidP="00E030DB">
      <w:pPr>
        <w:pStyle w:val="SingleTxtG"/>
      </w:pPr>
      <w:r>
        <w:t>1</w:t>
      </w:r>
      <w:r w:rsidR="00E249DE">
        <w:t>4</w:t>
      </w:r>
      <w:r w:rsidR="00E06DD7" w:rsidRPr="00AF17DB">
        <w:t>.</w:t>
      </w:r>
      <w:r w:rsidR="00E06DD7" w:rsidRPr="00AF17DB">
        <w:tab/>
        <w:t>ISO 1</w:t>
      </w:r>
      <w:r w:rsidR="00E90372">
        <w:t>1</w:t>
      </w:r>
      <w:r w:rsidR="00E06DD7" w:rsidRPr="00AF17DB">
        <w:t>62</w:t>
      </w:r>
      <w:r w:rsidR="00E90372">
        <w:t>3</w:t>
      </w:r>
      <w:r w:rsidR="00E06DD7" w:rsidRPr="00AF17DB">
        <w:t>:200</w:t>
      </w:r>
      <w:r w:rsidR="00E90372">
        <w:t>2</w:t>
      </w:r>
      <w:r w:rsidR="00E06DD7" w:rsidRPr="00AF17DB">
        <w:t xml:space="preserve"> </w:t>
      </w:r>
      <w:r w:rsidR="00E90372">
        <w:t>Transportable g</w:t>
      </w:r>
      <w:r w:rsidR="00E06DD7" w:rsidRPr="00AF17DB">
        <w:t>as cylinders –</w:t>
      </w:r>
      <w:r w:rsidR="00321B4C" w:rsidRPr="00AF17DB">
        <w:t xml:space="preserve"> Periodic inspection and maintenance</w:t>
      </w:r>
      <w:r w:rsidR="00E90372">
        <w:t xml:space="preserve"> of composite gas cylinders has been superseded by the 2015 edition and </w:t>
      </w:r>
      <w:r w:rsidR="00E06DD7" w:rsidRPr="00AF17DB">
        <w:t>is no longer applicable after the end of 20</w:t>
      </w:r>
      <w:r w:rsidR="00E90372">
        <w:t>20</w:t>
      </w:r>
      <w:r w:rsidR="00E06DD7" w:rsidRPr="00AF17DB">
        <w:t xml:space="preserve"> </w:t>
      </w:r>
      <w:r w:rsidR="00E90372">
        <w:t xml:space="preserve">so </w:t>
      </w:r>
      <w:r w:rsidR="00E06DD7" w:rsidRPr="00AF17DB">
        <w:t>this reference should be deleted from the table in 6.2.2.4.</w:t>
      </w:r>
      <w:r w:rsidR="00321B4C" w:rsidRPr="00AF17DB">
        <w:t xml:space="preserve"> </w:t>
      </w:r>
    </w:p>
    <w:p w14:paraId="797C6F4A" w14:textId="77777777" w:rsidR="00F65671" w:rsidRPr="001F50AE" w:rsidRDefault="001F50AE" w:rsidP="001F50AE">
      <w:pPr>
        <w:spacing w:before="240"/>
        <w:ind w:left="1134" w:right="1134"/>
        <w:jc w:val="center"/>
        <w:rPr>
          <w:u w:val="single"/>
        </w:rPr>
      </w:pPr>
      <w:r>
        <w:rPr>
          <w:u w:val="single"/>
        </w:rPr>
        <w:tab/>
      </w:r>
      <w:r>
        <w:rPr>
          <w:u w:val="single"/>
        </w:rPr>
        <w:tab/>
      </w:r>
      <w:r>
        <w:rPr>
          <w:u w:val="single"/>
        </w:rPr>
        <w:tab/>
      </w:r>
      <w:r>
        <w:rPr>
          <w:u w:val="single"/>
        </w:rPr>
        <w:tab/>
      </w:r>
    </w:p>
    <w:p w14:paraId="35C66896" w14:textId="77777777" w:rsidR="00F65671" w:rsidRPr="007B2B1F" w:rsidRDefault="00F65671" w:rsidP="00F65671">
      <w:pPr>
        <w:jc w:val="center"/>
      </w:pPr>
    </w:p>
    <w:p w14:paraId="17A72254" w14:textId="77777777" w:rsidR="005360FB" w:rsidRPr="007B2B1F" w:rsidRDefault="005360FB" w:rsidP="00F65671">
      <w:pPr>
        <w:jc w:val="center"/>
      </w:pPr>
    </w:p>
    <w:sectPr w:rsidR="005360FB" w:rsidRPr="007B2B1F" w:rsidSect="00181506">
      <w:headerReference w:type="even" r:id="rId9"/>
      <w:headerReference w:type="default" r:id="rId10"/>
      <w:footerReference w:type="even" r:id="rId11"/>
      <w:footerReference w:type="default" r:id="rId12"/>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D0F12" w14:textId="77777777" w:rsidR="00C64173" w:rsidRDefault="00C64173"/>
  </w:endnote>
  <w:endnote w:type="continuationSeparator" w:id="0">
    <w:p w14:paraId="21AB2134" w14:textId="77777777" w:rsidR="00C64173" w:rsidRDefault="00C64173"/>
  </w:endnote>
  <w:endnote w:type="continuationNotice" w:id="1">
    <w:p w14:paraId="62C98D82" w14:textId="77777777" w:rsidR="00C64173" w:rsidRDefault="00C64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DF094" w14:textId="77777777" w:rsidR="00AA6F5C" w:rsidRPr="009D2A5B" w:rsidRDefault="00AA6F5C"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9A4BFF">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6E3CE" w14:textId="77777777" w:rsidR="00AA6F5C" w:rsidRPr="009D2A5B" w:rsidRDefault="00AA6F5C"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9A4BFF">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C079A" w14:textId="77777777" w:rsidR="00C64173" w:rsidRPr="000B175B" w:rsidRDefault="00C64173" w:rsidP="000B175B">
      <w:pPr>
        <w:tabs>
          <w:tab w:val="right" w:pos="2155"/>
        </w:tabs>
        <w:spacing w:after="80"/>
        <w:ind w:left="680"/>
        <w:rPr>
          <w:u w:val="single"/>
        </w:rPr>
      </w:pPr>
      <w:r>
        <w:rPr>
          <w:u w:val="single"/>
        </w:rPr>
        <w:tab/>
      </w:r>
    </w:p>
  </w:footnote>
  <w:footnote w:type="continuationSeparator" w:id="0">
    <w:p w14:paraId="5D760439" w14:textId="77777777" w:rsidR="00C64173" w:rsidRPr="00FC68B7" w:rsidRDefault="00C64173" w:rsidP="00FC68B7">
      <w:pPr>
        <w:tabs>
          <w:tab w:val="left" w:pos="2155"/>
        </w:tabs>
        <w:spacing w:after="80"/>
        <w:ind w:left="680"/>
        <w:rPr>
          <w:u w:val="single"/>
        </w:rPr>
      </w:pPr>
      <w:r>
        <w:rPr>
          <w:u w:val="single"/>
        </w:rPr>
        <w:tab/>
      </w:r>
    </w:p>
  </w:footnote>
  <w:footnote w:type="continuationNotice" w:id="1">
    <w:p w14:paraId="1EBAF4C1" w14:textId="77777777" w:rsidR="00C64173" w:rsidRDefault="00C64173"/>
  </w:footnote>
  <w:footnote w:id="2">
    <w:p w14:paraId="6C98E59B" w14:textId="77777777" w:rsidR="001F50AE" w:rsidRPr="001F50AE" w:rsidRDefault="001F50AE" w:rsidP="009A4BFF">
      <w:pPr>
        <w:pStyle w:val="FootnoteText"/>
        <w:ind w:firstLine="0"/>
        <w:rPr>
          <w:lang w:val="fr-CH"/>
        </w:rPr>
      </w:pPr>
      <w:r>
        <w:rPr>
          <w:rStyle w:val="FootnoteReference"/>
        </w:rPr>
        <w:footnoteRef/>
      </w:r>
      <w:r>
        <w:t xml:space="preserve"> </w:t>
      </w:r>
      <w:r w:rsidR="00E030DB">
        <w:tab/>
      </w:r>
      <w:r w:rsidR="00E030DB">
        <w:rPr>
          <w:lang w:val="en-US"/>
        </w:rPr>
        <w:t xml:space="preserve">In accordance with </w:t>
      </w:r>
      <w:r w:rsidR="00E030DB" w:rsidRPr="00C77DF8">
        <w:t>the programme</w:t>
      </w:r>
      <w:r w:rsidR="00E030DB">
        <w:rPr>
          <w:lang w:val="en-US"/>
        </w:rPr>
        <w:t xml:space="preserve"> of work of the Sub-Committee for 2019-2020 approved by the Committee at its ninth session (see ST/SG/AC.10/C.3/108, paragraph 141 and ST/SG/AC.10/46,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AA309" w14:textId="77777777" w:rsidR="00AA6F5C" w:rsidRPr="00023445" w:rsidRDefault="00AA6F5C" w:rsidP="00023445">
    <w:pPr>
      <w:pStyle w:val="Header"/>
      <w:rPr>
        <w:szCs w:val="18"/>
      </w:rPr>
    </w:pPr>
    <w:r w:rsidRPr="00023445">
      <w:rPr>
        <w:szCs w:val="18"/>
      </w:rPr>
      <w:t>S</w:t>
    </w:r>
    <w:r>
      <w:rPr>
        <w:szCs w:val="18"/>
      </w:rPr>
      <w:t>T/SG/AC.10/C.3/201</w:t>
    </w:r>
    <w:r w:rsidR="00E030DB">
      <w:rPr>
        <w:szCs w:val="18"/>
      </w:rPr>
      <w:t>9</w:t>
    </w:r>
    <w:r w:rsidR="001F50AE">
      <w:rPr>
        <w:szCs w:val="18"/>
      </w:rPr>
      <w:t>/</w:t>
    </w:r>
    <w:r w:rsidR="00E030DB">
      <w:rPr>
        <w:szCs w:val="18"/>
      </w:rPr>
      <w:t>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F044B" w14:textId="77777777" w:rsidR="00AA6F5C" w:rsidRPr="00023445" w:rsidRDefault="00AA6F5C" w:rsidP="00023445">
    <w:pPr>
      <w:pStyle w:val="Header"/>
      <w:jc w:val="right"/>
      <w:rPr>
        <w:szCs w:val="18"/>
      </w:rPr>
    </w:pPr>
    <w:r w:rsidRPr="00023445">
      <w:rPr>
        <w:szCs w:val="18"/>
      </w:rPr>
      <w:t>ST</w:t>
    </w:r>
    <w:r>
      <w:rPr>
        <w:szCs w:val="18"/>
      </w:rPr>
      <w:t>/SG/AC.10/C.3/201</w:t>
    </w:r>
    <w:r w:rsidR="00E030DB">
      <w:rPr>
        <w:szCs w:val="18"/>
      </w:rPr>
      <w:t>9</w:t>
    </w:r>
    <w:r w:rsidR="001F50AE">
      <w:rPr>
        <w:szCs w:val="18"/>
      </w:rPr>
      <w:t>/</w:t>
    </w:r>
    <w:r w:rsidR="00E030DB">
      <w:rPr>
        <w:szCs w:val="18"/>
      </w:rPr>
      <w:t>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4C4C8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3C5898"/>
    <w:multiLevelType w:val="hybridMultilevel"/>
    <w:tmpl w:val="46CA02CC"/>
    <w:lvl w:ilvl="0" w:tplc="1528F3B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0E212C73"/>
    <w:multiLevelType w:val="multilevel"/>
    <w:tmpl w:val="DF3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AC37C2"/>
    <w:multiLevelType w:val="hybridMultilevel"/>
    <w:tmpl w:val="26AE626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40A41"/>
    <w:multiLevelType w:val="hybridMultilevel"/>
    <w:tmpl w:val="07CC6F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7954A9"/>
    <w:multiLevelType w:val="hybridMultilevel"/>
    <w:tmpl w:val="3C5285AC"/>
    <w:lvl w:ilvl="0" w:tplc="1528F3B0">
      <w:numFmt w:val="bullet"/>
      <w:lvlText w:val="—"/>
      <w:lvlJc w:val="left"/>
      <w:pPr>
        <w:ind w:left="149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70704973"/>
    <w:multiLevelType w:val="hybridMultilevel"/>
    <w:tmpl w:val="2BE8D6B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9"/>
  </w:num>
  <w:num w:numId="12">
    <w:abstractNumId w:val="17"/>
  </w:num>
  <w:num w:numId="13">
    <w:abstractNumId w:val="11"/>
  </w:num>
  <w:num w:numId="14">
    <w:abstractNumId w:val="21"/>
  </w:num>
  <w:num w:numId="15">
    <w:abstractNumId w:val="16"/>
  </w:num>
  <w:num w:numId="16">
    <w:abstractNumId w:val="12"/>
  </w:num>
  <w:num w:numId="17">
    <w:abstractNumId w:val="0"/>
  </w:num>
  <w:num w:numId="18">
    <w:abstractNumId w:val="14"/>
  </w:num>
  <w:num w:numId="19">
    <w:abstractNumId w:val="18"/>
  </w:num>
  <w:num w:numId="20">
    <w:abstractNumId w:val="22"/>
  </w:num>
  <w:num w:numId="21">
    <w:abstractNumId w:val="13"/>
  </w:num>
  <w:num w:numId="22">
    <w:abstractNumId w:val="20"/>
  </w:num>
  <w:num w:numId="2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4041"/>
    <w:rsid w:val="000062D2"/>
    <w:rsid w:val="00007271"/>
    <w:rsid w:val="00021776"/>
    <w:rsid w:val="00023445"/>
    <w:rsid w:val="000274B3"/>
    <w:rsid w:val="00030391"/>
    <w:rsid w:val="00037350"/>
    <w:rsid w:val="00037C49"/>
    <w:rsid w:val="00037F90"/>
    <w:rsid w:val="00046B1F"/>
    <w:rsid w:val="00050F6B"/>
    <w:rsid w:val="00051986"/>
    <w:rsid w:val="00051B9C"/>
    <w:rsid w:val="00057447"/>
    <w:rsid w:val="00057E97"/>
    <w:rsid w:val="00060A06"/>
    <w:rsid w:val="00066DF5"/>
    <w:rsid w:val="0006793E"/>
    <w:rsid w:val="00072C8C"/>
    <w:rsid w:val="000733B5"/>
    <w:rsid w:val="00077628"/>
    <w:rsid w:val="00081815"/>
    <w:rsid w:val="000862B1"/>
    <w:rsid w:val="0009003C"/>
    <w:rsid w:val="0009020C"/>
    <w:rsid w:val="000931C0"/>
    <w:rsid w:val="000972A0"/>
    <w:rsid w:val="000B0595"/>
    <w:rsid w:val="000B175B"/>
    <w:rsid w:val="000B3A0F"/>
    <w:rsid w:val="000B4EF7"/>
    <w:rsid w:val="000B57A4"/>
    <w:rsid w:val="000B75BF"/>
    <w:rsid w:val="000C15A9"/>
    <w:rsid w:val="000C2C03"/>
    <w:rsid w:val="000C2D2E"/>
    <w:rsid w:val="000C4D51"/>
    <w:rsid w:val="000C5384"/>
    <w:rsid w:val="000E0415"/>
    <w:rsid w:val="000E47CA"/>
    <w:rsid w:val="000F3402"/>
    <w:rsid w:val="001058BF"/>
    <w:rsid w:val="00107320"/>
    <w:rsid w:val="001103AA"/>
    <w:rsid w:val="00112D01"/>
    <w:rsid w:val="0011666B"/>
    <w:rsid w:val="00117D3E"/>
    <w:rsid w:val="00121DE7"/>
    <w:rsid w:val="001234B8"/>
    <w:rsid w:val="00124839"/>
    <w:rsid w:val="001275B3"/>
    <w:rsid w:val="001370F8"/>
    <w:rsid w:val="00153694"/>
    <w:rsid w:val="00154A06"/>
    <w:rsid w:val="00155068"/>
    <w:rsid w:val="00156F08"/>
    <w:rsid w:val="00157F2E"/>
    <w:rsid w:val="00160E58"/>
    <w:rsid w:val="00165F3A"/>
    <w:rsid w:val="00173E78"/>
    <w:rsid w:val="00181506"/>
    <w:rsid w:val="00183C52"/>
    <w:rsid w:val="0019169E"/>
    <w:rsid w:val="00197FE9"/>
    <w:rsid w:val="001A3501"/>
    <w:rsid w:val="001A354A"/>
    <w:rsid w:val="001B13A5"/>
    <w:rsid w:val="001B4B04"/>
    <w:rsid w:val="001C6663"/>
    <w:rsid w:val="001C7895"/>
    <w:rsid w:val="001C7C7A"/>
    <w:rsid w:val="001D0C8C"/>
    <w:rsid w:val="001D1419"/>
    <w:rsid w:val="001D26DF"/>
    <w:rsid w:val="001D3A03"/>
    <w:rsid w:val="001D7F46"/>
    <w:rsid w:val="001E0B9E"/>
    <w:rsid w:val="001E7B67"/>
    <w:rsid w:val="001F21BB"/>
    <w:rsid w:val="001F50AE"/>
    <w:rsid w:val="001F602E"/>
    <w:rsid w:val="001F7435"/>
    <w:rsid w:val="00202CD0"/>
    <w:rsid w:val="00202DA8"/>
    <w:rsid w:val="0021157B"/>
    <w:rsid w:val="00211E0B"/>
    <w:rsid w:val="00231BA1"/>
    <w:rsid w:val="00234C80"/>
    <w:rsid w:val="0023583E"/>
    <w:rsid w:val="0025047F"/>
    <w:rsid w:val="00260C8D"/>
    <w:rsid w:val="002653E7"/>
    <w:rsid w:val="00267F5F"/>
    <w:rsid w:val="00274EB4"/>
    <w:rsid w:val="00282200"/>
    <w:rsid w:val="00286B4D"/>
    <w:rsid w:val="0029049E"/>
    <w:rsid w:val="0029750B"/>
    <w:rsid w:val="00297EA8"/>
    <w:rsid w:val="002A4361"/>
    <w:rsid w:val="002A523D"/>
    <w:rsid w:val="002A603B"/>
    <w:rsid w:val="002A6B8F"/>
    <w:rsid w:val="002C03A0"/>
    <w:rsid w:val="002C18EF"/>
    <w:rsid w:val="002C674A"/>
    <w:rsid w:val="002D141D"/>
    <w:rsid w:val="002D4643"/>
    <w:rsid w:val="002D4B6C"/>
    <w:rsid w:val="002E09CE"/>
    <w:rsid w:val="002F175C"/>
    <w:rsid w:val="003027FF"/>
    <w:rsid w:val="00302E18"/>
    <w:rsid w:val="0030721A"/>
    <w:rsid w:val="00307AB6"/>
    <w:rsid w:val="00320B22"/>
    <w:rsid w:val="00321B4C"/>
    <w:rsid w:val="003229D8"/>
    <w:rsid w:val="0034446B"/>
    <w:rsid w:val="00344559"/>
    <w:rsid w:val="003453B6"/>
    <w:rsid w:val="003461FF"/>
    <w:rsid w:val="00347DDB"/>
    <w:rsid w:val="00350DA4"/>
    <w:rsid w:val="00352709"/>
    <w:rsid w:val="00363336"/>
    <w:rsid w:val="00371178"/>
    <w:rsid w:val="00383179"/>
    <w:rsid w:val="00392301"/>
    <w:rsid w:val="003927BA"/>
    <w:rsid w:val="00392DE1"/>
    <w:rsid w:val="003A0690"/>
    <w:rsid w:val="003A6810"/>
    <w:rsid w:val="003B1CA9"/>
    <w:rsid w:val="003B4A67"/>
    <w:rsid w:val="003B5F03"/>
    <w:rsid w:val="003C09C7"/>
    <w:rsid w:val="003C2CC4"/>
    <w:rsid w:val="003D4B23"/>
    <w:rsid w:val="003E312F"/>
    <w:rsid w:val="003E3D8A"/>
    <w:rsid w:val="003E6CBE"/>
    <w:rsid w:val="003E7B83"/>
    <w:rsid w:val="00407087"/>
    <w:rsid w:val="00410C89"/>
    <w:rsid w:val="00413266"/>
    <w:rsid w:val="0042129D"/>
    <w:rsid w:val="00422E03"/>
    <w:rsid w:val="00425DBB"/>
    <w:rsid w:val="00426B9B"/>
    <w:rsid w:val="004325CB"/>
    <w:rsid w:val="0043402F"/>
    <w:rsid w:val="00442A83"/>
    <w:rsid w:val="0045413A"/>
    <w:rsid w:val="0045495B"/>
    <w:rsid w:val="0048397A"/>
    <w:rsid w:val="004A0E10"/>
    <w:rsid w:val="004A12F2"/>
    <w:rsid w:val="004A4BDC"/>
    <w:rsid w:val="004B4482"/>
    <w:rsid w:val="004B64EB"/>
    <w:rsid w:val="004C2461"/>
    <w:rsid w:val="004C333F"/>
    <w:rsid w:val="004C4010"/>
    <w:rsid w:val="004C40B9"/>
    <w:rsid w:val="004C4EE9"/>
    <w:rsid w:val="004C7462"/>
    <w:rsid w:val="004D4E04"/>
    <w:rsid w:val="004D5426"/>
    <w:rsid w:val="004D5ABD"/>
    <w:rsid w:val="004D7E81"/>
    <w:rsid w:val="004E0C05"/>
    <w:rsid w:val="004E15A8"/>
    <w:rsid w:val="004E5A51"/>
    <w:rsid w:val="004E77B2"/>
    <w:rsid w:val="004F012C"/>
    <w:rsid w:val="004F2670"/>
    <w:rsid w:val="00503DEB"/>
    <w:rsid w:val="00504B2D"/>
    <w:rsid w:val="0052136D"/>
    <w:rsid w:val="00522B58"/>
    <w:rsid w:val="0052775E"/>
    <w:rsid w:val="00527D3F"/>
    <w:rsid w:val="00533623"/>
    <w:rsid w:val="00535C90"/>
    <w:rsid w:val="005360FB"/>
    <w:rsid w:val="005413FA"/>
    <w:rsid w:val="005420F2"/>
    <w:rsid w:val="00544E1B"/>
    <w:rsid w:val="0054542B"/>
    <w:rsid w:val="00546993"/>
    <w:rsid w:val="00552A39"/>
    <w:rsid w:val="005556E0"/>
    <w:rsid w:val="00560D99"/>
    <w:rsid w:val="005628B6"/>
    <w:rsid w:val="00591D40"/>
    <w:rsid w:val="005A575C"/>
    <w:rsid w:val="005B3660"/>
    <w:rsid w:val="005B3DB3"/>
    <w:rsid w:val="005B4E13"/>
    <w:rsid w:val="005B6F4B"/>
    <w:rsid w:val="005B7982"/>
    <w:rsid w:val="005C6FBC"/>
    <w:rsid w:val="005D2D66"/>
    <w:rsid w:val="005D4BE6"/>
    <w:rsid w:val="005D68F4"/>
    <w:rsid w:val="005D7970"/>
    <w:rsid w:val="005E6A77"/>
    <w:rsid w:val="005F6DF9"/>
    <w:rsid w:val="005F7B75"/>
    <w:rsid w:val="006001EE"/>
    <w:rsid w:val="006035BD"/>
    <w:rsid w:val="00605042"/>
    <w:rsid w:val="00605B54"/>
    <w:rsid w:val="006075A5"/>
    <w:rsid w:val="00611232"/>
    <w:rsid w:val="00611681"/>
    <w:rsid w:val="00611FC4"/>
    <w:rsid w:val="00613196"/>
    <w:rsid w:val="006174F9"/>
    <w:rsid w:val="006176FB"/>
    <w:rsid w:val="00621BDE"/>
    <w:rsid w:val="00622024"/>
    <w:rsid w:val="00625568"/>
    <w:rsid w:val="00625A64"/>
    <w:rsid w:val="00634B2E"/>
    <w:rsid w:val="00640B26"/>
    <w:rsid w:val="00646754"/>
    <w:rsid w:val="00652D0A"/>
    <w:rsid w:val="006623D5"/>
    <w:rsid w:val="00662BB6"/>
    <w:rsid w:val="00667F8F"/>
    <w:rsid w:val="00675ACA"/>
    <w:rsid w:val="00682C07"/>
    <w:rsid w:val="00684C21"/>
    <w:rsid w:val="006912CD"/>
    <w:rsid w:val="00692E54"/>
    <w:rsid w:val="006A155E"/>
    <w:rsid w:val="006A2530"/>
    <w:rsid w:val="006A6E31"/>
    <w:rsid w:val="006B30B8"/>
    <w:rsid w:val="006B5767"/>
    <w:rsid w:val="006C1296"/>
    <w:rsid w:val="006C2238"/>
    <w:rsid w:val="006C3589"/>
    <w:rsid w:val="006C4652"/>
    <w:rsid w:val="006C5451"/>
    <w:rsid w:val="006C779F"/>
    <w:rsid w:val="006D37AF"/>
    <w:rsid w:val="006D3E0B"/>
    <w:rsid w:val="006D51D0"/>
    <w:rsid w:val="006E564B"/>
    <w:rsid w:val="006E638E"/>
    <w:rsid w:val="006E7191"/>
    <w:rsid w:val="006F01EF"/>
    <w:rsid w:val="006F0DDB"/>
    <w:rsid w:val="006F1496"/>
    <w:rsid w:val="006F33DD"/>
    <w:rsid w:val="00700EE8"/>
    <w:rsid w:val="00703577"/>
    <w:rsid w:val="00705894"/>
    <w:rsid w:val="00712D3E"/>
    <w:rsid w:val="00715700"/>
    <w:rsid w:val="00720D0C"/>
    <w:rsid w:val="00722BA8"/>
    <w:rsid w:val="0072632A"/>
    <w:rsid w:val="00731FF0"/>
    <w:rsid w:val="007327D5"/>
    <w:rsid w:val="00741709"/>
    <w:rsid w:val="00741A30"/>
    <w:rsid w:val="007429B8"/>
    <w:rsid w:val="007567AF"/>
    <w:rsid w:val="007611CF"/>
    <w:rsid w:val="007629C8"/>
    <w:rsid w:val="007642A4"/>
    <w:rsid w:val="0077047D"/>
    <w:rsid w:val="0078065F"/>
    <w:rsid w:val="00786E2F"/>
    <w:rsid w:val="007A2287"/>
    <w:rsid w:val="007B2B1F"/>
    <w:rsid w:val="007B6BA5"/>
    <w:rsid w:val="007C2CA9"/>
    <w:rsid w:val="007C3390"/>
    <w:rsid w:val="007C4F4B"/>
    <w:rsid w:val="007D7662"/>
    <w:rsid w:val="007E01E9"/>
    <w:rsid w:val="007E63F3"/>
    <w:rsid w:val="007F1888"/>
    <w:rsid w:val="007F6611"/>
    <w:rsid w:val="007F7106"/>
    <w:rsid w:val="008100FC"/>
    <w:rsid w:val="00811920"/>
    <w:rsid w:val="00815AD0"/>
    <w:rsid w:val="00816E46"/>
    <w:rsid w:val="00817DBA"/>
    <w:rsid w:val="00823D6C"/>
    <w:rsid w:val="008242D7"/>
    <w:rsid w:val="008257B1"/>
    <w:rsid w:val="00826E9A"/>
    <w:rsid w:val="00831179"/>
    <w:rsid w:val="008343BE"/>
    <w:rsid w:val="00843767"/>
    <w:rsid w:val="008458AA"/>
    <w:rsid w:val="008521A5"/>
    <w:rsid w:val="00853EBC"/>
    <w:rsid w:val="0086081B"/>
    <w:rsid w:val="0086171D"/>
    <w:rsid w:val="008679D9"/>
    <w:rsid w:val="00871389"/>
    <w:rsid w:val="00872459"/>
    <w:rsid w:val="00872DFA"/>
    <w:rsid w:val="008760E8"/>
    <w:rsid w:val="00882E80"/>
    <w:rsid w:val="00883999"/>
    <w:rsid w:val="00885B73"/>
    <w:rsid w:val="00887899"/>
    <w:rsid w:val="008878DE"/>
    <w:rsid w:val="008912EC"/>
    <w:rsid w:val="00892603"/>
    <w:rsid w:val="008979B1"/>
    <w:rsid w:val="008A6B25"/>
    <w:rsid w:val="008A6C4F"/>
    <w:rsid w:val="008B2335"/>
    <w:rsid w:val="008B5DF2"/>
    <w:rsid w:val="008B717B"/>
    <w:rsid w:val="008D2DF0"/>
    <w:rsid w:val="008D6F3C"/>
    <w:rsid w:val="008E0678"/>
    <w:rsid w:val="008E57F4"/>
    <w:rsid w:val="008F03AD"/>
    <w:rsid w:val="008F144E"/>
    <w:rsid w:val="0090194D"/>
    <w:rsid w:val="009079FF"/>
    <w:rsid w:val="00910A62"/>
    <w:rsid w:val="009119B2"/>
    <w:rsid w:val="0091237E"/>
    <w:rsid w:val="00916E19"/>
    <w:rsid w:val="009223CA"/>
    <w:rsid w:val="00927A75"/>
    <w:rsid w:val="009321E8"/>
    <w:rsid w:val="00932F3F"/>
    <w:rsid w:val="0093509F"/>
    <w:rsid w:val="00940F93"/>
    <w:rsid w:val="0094154D"/>
    <w:rsid w:val="00944398"/>
    <w:rsid w:val="0094558F"/>
    <w:rsid w:val="00953E97"/>
    <w:rsid w:val="00954711"/>
    <w:rsid w:val="009554F4"/>
    <w:rsid w:val="009603D2"/>
    <w:rsid w:val="009605B0"/>
    <w:rsid w:val="00961690"/>
    <w:rsid w:val="00962F62"/>
    <w:rsid w:val="00965EE3"/>
    <w:rsid w:val="009665DB"/>
    <w:rsid w:val="00970C9F"/>
    <w:rsid w:val="00972CFB"/>
    <w:rsid w:val="009730AF"/>
    <w:rsid w:val="009760F3"/>
    <w:rsid w:val="009839CD"/>
    <w:rsid w:val="00983C3B"/>
    <w:rsid w:val="009873ED"/>
    <w:rsid w:val="00991F58"/>
    <w:rsid w:val="009969E0"/>
    <w:rsid w:val="009A016F"/>
    <w:rsid w:val="009A0E8D"/>
    <w:rsid w:val="009A0F88"/>
    <w:rsid w:val="009A3A47"/>
    <w:rsid w:val="009A4BFF"/>
    <w:rsid w:val="009B1518"/>
    <w:rsid w:val="009B26E7"/>
    <w:rsid w:val="009C454F"/>
    <w:rsid w:val="009D2A5B"/>
    <w:rsid w:val="009E5C48"/>
    <w:rsid w:val="009F4DE9"/>
    <w:rsid w:val="009F6A26"/>
    <w:rsid w:val="009F721D"/>
    <w:rsid w:val="00A00A3F"/>
    <w:rsid w:val="00A01489"/>
    <w:rsid w:val="00A14A62"/>
    <w:rsid w:val="00A15A38"/>
    <w:rsid w:val="00A176A0"/>
    <w:rsid w:val="00A17DBF"/>
    <w:rsid w:val="00A2573C"/>
    <w:rsid w:val="00A3009E"/>
    <w:rsid w:val="00A3026E"/>
    <w:rsid w:val="00A338F1"/>
    <w:rsid w:val="00A35910"/>
    <w:rsid w:val="00A36DE6"/>
    <w:rsid w:val="00A418A8"/>
    <w:rsid w:val="00A41E76"/>
    <w:rsid w:val="00A43CEC"/>
    <w:rsid w:val="00A51C2B"/>
    <w:rsid w:val="00A658A6"/>
    <w:rsid w:val="00A66BB4"/>
    <w:rsid w:val="00A72F22"/>
    <w:rsid w:val="00A7360F"/>
    <w:rsid w:val="00A748A6"/>
    <w:rsid w:val="00A74AB0"/>
    <w:rsid w:val="00A769F4"/>
    <w:rsid w:val="00A776B4"/>
    <w:rsid w:val="00A80265"/>
    <w:rsid w:val="00A9176C"/>
    <w:rsid w:val="00A92930"/>
    <w:rsid w:val="00A94361"/>
    <w:rsid w:val="00A9587B"/>
    <w:rsid w:val="00A97439"/>
    <w:rsid w:val="00AA293C"/>
    <w:rsid w:val="00AA3817"/>
    <w:rsid w:val="00AA4BD0"/>
    <w:rsid w:val="00AA6F5C"/>
    <w:rsid w:val="00AB1C7D"/>
    <w:rsid w:val="00AB232E"/>
    <w:rsid w:val="00AC1D85"/>
    <w:rsid w:val="00AC6790"/>
    <w:rsid w:val="00AC72CA"/>
    <w:rsid w:val="00AE0FDA"/>
    <w:rsid w:val="00AE1804"/>
    <w:rsid w:val="00AE4A41"/>
    <w:rsid w:val="00AE76C0"/>
    <w:rsid w:val="00AF0E53"/>
    <w:rsid w:val="00AF17DB"/>
    <w:rsid w:val="00B04B62"/>
    <w:rsid w:val="00B0538F"/>
    <w:rsid w:val="00B11BB4"/>
    <w:rsid w:val="00B136A4"/>
    <w:rsid w:val="00B13DD7"/>
    <w:rsid w:val="00B22BC2"/>
    <w:rsid w:val="00B240A1"/>
    <w:rsid w:val="00B24349"/>
    <w:rsid w:val="00B30179"/>
    <w:rsid w:val="00B31895"/>
    <w:rsid w:val="00B37852"/>
    <w:rsid w:val="00B421C1"/>
    <w:rsid w:val="00B45128"/>
    <w:rsid w:val="00B50642"/>
    <w:rsid w:val="00B518AA"/>
    <w:rsid w:val="00B54EAD"/>
    <w:rsid w:val="00B55C71"/>
    <w:rsid w:val="00B56E4A"/>
    <w:rsid w:val="00B56E9C"/>
    <w:rsid w:val="00B61320"/>
    <w:rsid w:val="00B64B1F"/>
    <w:rsid w:val="00B6553F"/>
    <w:rsid w:val="00B70F1E"/>
    <w:rsid w:val="00B77D05"/>
    <w:rsid w:val="00B81206"/>
    <w:rsid w:val="00B81E12"/>
    <w:rsid w:val="00B858B2"/>
    <w:rsid w:val="00B86014"/>
    <w:rsid w:val="00B9414F"/>
    <w:rsid w:val="00BA4ED2"/>
    <w:rsid w:val="00BB7CD1"/>
    <w:rsid w:val="00BC38BF"/>
    <w:rsid w:val="00BC3FA0"/>
    <w:rsid w:val="00BC74E9"/>
    <w:rsid w:val="00BD28B6"/>
    <w:rsid w:val="00BF68A8"/>
    <w:rsid w:val="00C00584"/>
    <w:rsid w:val="00C050DF"/>
    <w:rsid w:val="00C10FE6"/>
    <w:rsid w:val="00C11A03"/>
    <w:rsid w:val="00C14945"/>
    <w:rsid w:val="00C16653"/>
    <w:rsid w:val="00C22C0C"/>
    <w:rsid w:val="00C32223"/>
    <w:rsid w:val="00C33595"/>
    <w:rsid w:val="00C37144"/>
    <w:rsid w:val="00C40026"/>
    <w:rsid w:val="00C42B3C"/>
    <w:rsid w:val="00C4527F"/>
    <w:rsid w:val="00C463DD"/>
    <w:rsid w:val="00C4724C"/>
    <w:rsid w:val="00C557D6"/>
    <w:rsid w:val="00C60319"/>
    <w:rsid w:val="00C629A0"/>
    <w:rsid w:val="00C62C07"/>
    <w:rsid w:val="00C63D2D"/>
    <w:rsid w:val="00C64173"/>
    <w:rsid w:val="00C64629"/>
    <w:rsid w:val="00C66798"/>
    <w:rsid w:val="00C745C3"/>
    <w:rsid w:val="00C84A21"/>
    <w:rsid w:val="00C90189"/>
    <w:rsid w:val="00CA5E01"/>
    <w:rsid w:val="00CB3E03"/>
    <w:rsid w:val="00CB5F93"/>
    <w:rsid w:val="00CC1ADB"/>
    <w:rsid w:val="00CD305F"/>
    <w:rsid w:val="00CD6056"/>
    <w:rsid w:val="00CE4A8F"/>
    <w:rsid w:val="00CE53C4"/>
    <w:rsid w:val="00CF559A"/>
    <w:rsid w:val="00CF7721"/>
    <w:rsid w:val="00D0663B"/>
    <w:rsid w:val="00D07D06"/>
    <w:rsid w:val="00D17DC5"/>
    <w:rsid w:val="00D2031B"/>
    <w:rsid w:val="00D25FE2"/>
    <w:rsid w:val="00D43252"/>
    <w:rsid w:val="00D47EEA"/>
    <w:rsid w:val="00D51E79"/>
    <w:rsid w:val="00D550D4"/>
    <w:rsid w:val="00D669EA"/>
    <w:rsid w:val="00D66F7C"/>
    <w:rsid w:val="00D773DF"/>
    <w:rsid w:val="00D838E4"/>
    <w:rsid w:val="00D84C5B"/>
    <w:rsid w:val="00D85E66"/>
    <w:rsid w:val="00D9255F"/>
    <w:rsid w:val="00D94663"/>
    <w:rsid w:val="00D95303"/>
    <w:rsid w:val="00D978C6"/>
    <w:rsid w:val="00DA3C1C"/>
    <w:rsid w:val="00DB6229"/>
    <w:rsid w:val="00DB62C7"/>
    <w:rsid w:val="00DB7605"/>
    <w:rsid w:val="00DC179E"/>
    <w:rsid w:val="00DD6F43"/>
    <w:rsid w:val="00DE4B5B"/>
    <w:rsid w:val="00DF1772"/>
    <w:rsid w:val="00DF469C"/>
    <w:rsid w:val="00DF7EE9"/>
    <w:rsid w:val="00E0214B"/>
    <w:rsid w:val="00E030DB"/>
    <w:rsid w:val="00E046DF"/>
    <w:rsid w:val="00E06187"/>
    <w:rsid w:val="00E06DD7"/>
    <w:rsid w:val="00E15557"/>
    <w:rsid w:val="00E17039"/>
    <w:rsid w:val="00E240D2"/>
    <w:rsid w:val="00E249DE"/>
    <w:rsid w:val="00E27346"/>
    <w:rsid w:val="00E300A7"/>
    <w:rsid w:val="00E36F73"/>
    <w:rsid w:val="00E41E29"/>
    <w:rsid w:val="00E46DAD"/>
    <w:rsid w:val="00E536D3"/>
    <w:rsid w:val="00E54C9E"/>
    <w:rsid w:val="00E71132"/>
    <w:rsid w:val="00E71610"/>
    <w:rsid w:val="00E71BC8"/>
    <w:rsid w:val="00E7260F"/>
    <w:rsid w:val="00E73F5D"/>
    <w:rsid w:val="00E77E4E"/>
    <w:rsid w:val="00E822CB"/>
    <w:rsid w:val="00E86A12"/>
    <w:rsid w:val="00E90372"/>
    <w:rsid w:val="00E96630"/>
    <w:rsid w:val="00EB04EA"/>
    <w:rsid w:val="00EB2884"/>
    <w:rsid w:val="00EC106A"/>
    <w:rsid w:val="00EC22C2"/>
    <w:rsid w:val="00EC4555"/>
    <w:rsid w:val="00EC5341"/>
    <w:rsid w:val="00EC73C8"/>
    <w:rsid w:val="00ED7A2A"/>
    <w:rsid w:val="00EE10AF"/>
    <w:rsid w:val="00EE32ED"/>
    <w:rsid w:val="00EE6B3A"/>
    <w:rsid w:val="00EF1D7F"/>
    <w:rsid w:val="00F009F4"/>
    <w:rsid w:val="00F049A3"/>
    <w:rsid w:val="00F15FDD"/>
    <w:rsid w:val="00F2270C"/>
    <w:rsid w:val="00F2392F"/>
    <w:rsid w:val="00F31E5F"/>
    <w:rsid w:val="00F32BB7"/>
    <w:rsid w:val="00F37110"/>
    <w:rsid w:val="00F44668"/>
    <w:rsid w:val="00F454F0"/>
    <w:rsid w:val="00F6100A"/>
    <w:rsid w:val="00F61ACB"/>
    <w:rsid w:val="00F65671"/>
    <w:rsid w:val="00F66565"/>
    <w:rsid w:val="00F72EB8"/>
    <w:rsid w:val="00F74D57"/>
    <w:rsid w:val="00F76B2F"/>
    <w:rsid w:val="00F84187"/>
    <w:rsid w:val="00F93781"/>
    <w:rsid w:val="00FA2FE2"/>
    <w:rsid w:val="00FA6B05"/>
    <w:rsid w:val="00FA7D7F"/>
    <w:rsid w:val="00FB1B60"/>
    <w:rsid w:val="00FB4DF6"/>
    <w:rsid w:val="00FB613B"/>
    <w:rsid w:val="00FC302D"/>
    <w:rsid w:val="00FC68B7"/>
    <w:rsid w:val="00FC6BBC"/>
    <w:rsid w:val="00FC7CF8"/>
    <w:rsid w:val="00FD1538"/>
    <w:rsid w:val="00FE106A"/>
    <w:rsid w:val="00FE298B"/>
    <w:rsid w:val="00FE595C"/>
    <w:rsid w:val="00FF145D"/>
    <w:rsid w:val="00FF190E"/>
    <w:rsid w:val="00FF600F"/>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0A0CF3"/>
  <w14:defaultImageDpi w14:val="300"/>
  <w15:chartTrackingRefBased/>
  <w15:docId w15:val="{4DBCD104-4365-4FE2-95EB-CBED8849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81506"/>
    <w:rPr>
      <w:b/>
      <w:sz w:val="28"/>
      <w:lang w:val="en-GB"/>
    </w:rPr>
  </w:style>
  <w:style w:type="character" w:customStyle="1" w:styleId="SingleTxtGChar">
    <w:name w:val="_ Single Txt_G Char"/>
    <w:link w:val="SingleTxtG"/>
    <w:rsid w:val="00983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15936">
      <w:bodyDiv w:val="1"/>
      <w:marLeft w:val="0"/>
      <w:marRight w:val="0"/>
      <w:marTop w:val="0"/>
      <w:marBottom w:val="0"/>
      <w:divBdr>
        <w:top w:val="none" w:sz="0" w:space="0" w:color="auto"/>
        <w:left w:val="none" w:sz="0" w:space="0" w:color="auto"/>
        <w:bottom w:val="none" w:sz="0" w:space="0" w:color="auto"/>
        <w:right w:val="none" w:sz="0" w:space="0" w:color="auto"/>
      </w:divBdr>
      <w:divsChild>
        <w:div w:id="1246106037">
          <w:marLeft w:val="-8325"/>
          <w:marRight w:val="0"/>
          <w:marTop w:val="0"/>
          <w:marBottom w:val="0"/>
          <w:divBdr>
            <w:top w:val="none" w:sz="0" w:space="0" w:color="auto"/>
            <w:left w:val="none" w:sz="0" w:space="0" w:color="auto"/>
            <w:bottom w:val="none" w:sz="0" w:space="0" w:color="auto"/>
            <w:right w:val="none" w:sz="0" w:space="0" w:color="auto"/>
          </w:divBdr>
        </w:div>
        <w:div w:id="1290286841">
          <w:marLeft w:val="0"/>
          <w:marRight w:val="0"/>
          <w:marTop w:val="0"/>
          <w:marBottom w:val="0"/>
          <w:divBdr>
            <w:top w:val="none" w:sz="0" w:space="0" w:color="auto"/>
            <w:left w:val="none" w:sz="0" w:space="0" w:color="auto"/>
            <w:bottom w:val="none" w:sz="0" w:space="0" w:color="auto"/>
            <w:right w:val="none" w:sz="0" w:space="0" w:color="auto"/>
          </w:divBdr>
        </w:div>
      </w:divsChild>
    </w:div>
    <w:div w:id="338898161">
      <w:bodyDiv w:val="1"/>
      <w:marLeft w:val="0"/>
      <w:marRight w:val="0"/>
      <w:marTop w:val="0"/>
      <w:marBottom w:val="0"/>
      <w:divBdr>
        <w:top w:val="none" w:sz="0" w:space="0" w:color="auto"/>
        <w:left w:val="none" w:sz="0" w:space="0" w:color="auto"/>
        <w:bottom w:val="none" w:sz="0" w:space="0" w:color="auto"/>
        <w:right w:val="none" w:sz="0" w:space="0" w:color="auto"/>
      </w:divBdr>
    </w:div>
    <w:div w:id="435634422">
      <w:bodyDiv w:val="1"/>
      <w:marLeft w:val="0"/>
      <w:marRight w:val="0"/>
      <w:marTop w:val="0"/>
      <w:marBottom w:val="0"/>
      <w:divBdr>
        <w:top w:val="none" w:sz="0" w:space="0" w:color="auto"/>
        <w:left w:val="none" w:sz="0" w:space="0" w:color="auto"/>
        <w:bottom w:val="none" w:sz="0" w:space="0" w:color="auto"/>
        <w:right w:val="none" w:sz="0" w:space="0" w:color="auto"/>
      </w:divBdr>
    </w:div>
    <w:div w:id="439423516">
      <w:bodyDiv w:val="1"/>
      <w:marLeft w:val="0"/>
      <w:marRight w:val="0"/>
      <w:marTop w:val="0"/>
      <w:marBottom w:val="0"/>
      <w:divBdr>
        <w:top w:val="none" w:sz="0" w:space="0" w:color="auto"/>
        <w:left w:val="none" w:sz="0" w:space="0" w:color="auto"/>
        <w:bottom w:val="none" w:sz="0" w:space="0" w:color="auto"/>
        <w:right w:val="none" w:sz="0" w:space="0" w:color="auto"/>
      </w:divBdr>
    </w:div>
    <w:div w:id="449012072">
      <w:bodyDiv w:val="1"/>
      <w:marLeft w:val="0"/>
      <w:marRight w:val="0"/>
      <w:marTop w:val="0"/>
      <w:marBottom w:val="0"/>
      <w:divBdr>
        <w:top w:val="none" w:sz="0" w:space="0" w:color="auto"/>
        <w:left w:val="none" w:sz="0" w:space="0" w:color="auto"/>
        <w:bottom w:val="none" w:sz="0" w:space="0" w:color="auto"/>
        <w:right w:val="none" w:sz="0" w:space="0" w:color="auto"/>
      </w:divBdr>
    </w:div>
    <w:div w:id="474613976">
      <w:bodyDiv w:val="1"/>
      <w:marLeft w:val="0"/>
      <w:marRight w:val="0"/>
      <w:marTop w:val="0"/>
      <w:marBottom w:val="0"/>
      <w:divBdr>
        <w:top w:val="none" w:sz="0" w:space="0" w:color="auto"/>
        <w:left w:val="none" w:sz="0" w:space="0" w:color="auto"/>
        <w:bottom w:val="none" w:sz="0" w:space="0" w:color="auto"/>
        <w:right w:val="none" w:sz="0" w:space="0" w:color="auto"/>
      </w:divBdr>
    </w:div>
    <w:div w:id="494489484">
      <w:bodyDiv w:val="1"/>
      <w:marLeft w:val="0"/>
      <w:marRight w:val="0"/>
      <w:marTop w:val="0"/>
      <w:marBottom w:val="0"/>
      <w:divBdr>
        <w:top w:val="none" w:sz="0" w:space="0" w:color="auto"/>
        <w:left w:val="none" w:sz="0" w:space="0" w:color="auto"/>
        <w:bottom w:val="none" w:sz="0" w:space="0" w:color="auto"/>
        <w:right w:val="none" w:sz="0" w:space="0" w:color="auto"/>
      </w:divBdr>
    </w:div>
    <w:div w:id="522519480">
      <w:bodyDiv w:val="1"/>
      <w:marLeft w:val="0"/>
      <w:marRight w:val="0"/>
      <w:marTop w:val="0"/>
      <w:marBottom w:val="0"/>
      <w:divBdr>
        <w:top w:val="none" w:sz="0" w:space="0" w:color="auto"/>
        <w:left w:val="none" w:sz="0" w:space="0" w:color="auto"/>
        <w:bottom w:val="none" w:sz="0" w:space="0" w:color="auto"/>
        <w:right w:val="none" w:sz="0" w:space="0" w:color="auto"/>
      </w:divBdr>
      <w:divsChild>
        <w:div w:id="354892988">
          <w:marLeft w:val="0"/>
          <w:marRight w:val="0"/>
          <w:marTop w:val="0"/>
          <w:marBottom w:val="0"/>
          <w:divBdr>
            <w:top w:val="none" w:sz="0" w:space="0" w:color="auto"/>
            <w:left w:val="none" w:sz="0" w:space="0" w:color="auto"/>
            <w:bottom w:val="none" w:sz="0" w:space="0" w:color="auto"/>
            <w:right w:val="none" w:sz="0" w:space="0" w:color="auto"/>
          </w:divBdr>
        </w:div>
        <w:div w:id="1216618745">
          <w:marLeft w:val="-8325"/>
          <w:marRight w:val="0"/>
          <w:marTop w:val="0"/>
          <w:marBottom w:val="0"/>
          <w:divBdr>
            <w:top w:val="none" w:sz="0" w:space="0" w:color="auto"/>
            <w:left w:val="none" w:sz="0" w:space="0" w:color="auto"/>
            <w:bottom w:val="none" w:sz="0" w:space="0" w:color="auto"/>
            <w:right w:val="none" w:sz="0" w:space="0" w:color="auto"/>
          </w:divBdr>
        </w:div>
      </w:divsChild>
    </w:div>
    <w:div w:id="562446372">
      <w:bodyDiv w:val="1"/>
      <w:marLeft w:val="0"/>
      <w:marRight w:val="0"/>
      <w:marTop w:val="0"/>
      <w:marBottom w:val="0"/>
      <w:divBdr>
        <w:top w:val="none" w:sz="0" w:space="0" w:color="auto"/>
        <w:left w:val="none" w:sz="0" w:space="0" w:color="auto"/>
        <w:bottom w:val="none" w:sz="0" w:space="0" w:color="auto"/>
        <w:right w:val="none" w:sz="0" w:space="0" w:color="auto"/>
      </w:divBdr>
    </w:div>
    <w:div w:id="711853341">
      <w:bodyDiv w:val="1"/>
      <w:marLeft w:val="0"/>
      <w:marRight w:val="0"/>
      <w:marTop w:val="0"/>
      <w:marBottom w:val="0"/>
      <w:divBdr>
        <w:top w:val="none" w:sz="0" w:space="0" w:color="auto"/>
        <w:left w:val="none" w:sz="0" w:space="0" w:color="auto"/>
        <w:bottom w:val="none" w:sz="0" w:space="0" w:color="auto"/>
        <w:right w:val="none" w:sz="0" w:space="0" w:color="auto"/>
      </w:divBdr>
    </w:div>
    <w:div w:id="888960272">
      <w:bodyDiv w:val="1"/>
      <w:marLeft w:val="0"/>
      <w:marRight w:val="0"/>
      <w:marTop w:val="0"/>
      <w:marBottom w:val="0"/>
      <w:divBdr>
        <w:top w:val="none" w:sz="0" w:space="0" w:color="auto"/>
        <w:left w:val="none" w:sz="0" w:space="0" w:color="auto"/>
        <w:bottom w:val="none" w:sz="0" w:space="0" w:color="auto"/>
        <w:right w:val="none" w:sz="0" w:space="0" w:color="auto"/>
      </w:divBdr>
    </w:div>
    <w:div w:id="947009253">
      <w:bodyDiv w:val="1"/>
      <w:marLeft w:val="0"/>
      <w:marRight w:val="0"/>
      <w:marTop w:val="0"/>
      <w:marBottom w:val="0"/>
      <w:divBdr>
        <w:top w:val="none" w:sz="0" w:space="0" w:color="auto"/>
        <w:left w:val="none" w:sz="0" w:space="0" w:color="auto"/>
        <w:bottom w:val="none" w:sz="0" w:space="0" w:color="auto"/>
        <w:right w:val="none" w:sz="0" w:space="0" w:color="auto"/>
      </w:divBdr>
    </w:div>
    <w:div w:id="1023358823">
      <w:bodyDiv w:val="1"/>
      <w:marLeft w:val="0"/>
      <w:marRight w:val="0"/>
      <w:marTop w:val="0"/>
      <w:marBottom w:val="0"/>
      <w:divBdr>
        <w:top w:val="none" w:sz="0" w:space="0" w:color="auto"/>
        <w:left w:val="none" w:sz="0" w:space="0" w:color="auto"/>
        <w:bottom w:val="none" w:sz="0" w:space="0" w:color="auto"/>
        <w:right w:val="none" w:sz="0" w:space="0" w:color="auto"/>
      </w:divBdr>
    </w:div>
    <w:div w:id="1048534321">
      <w:bodyDiv w:val="1"/>
      <w:marLeft w:val="0"/>
      <w:marRight w:val="0"/>
      <w:marTop w:val="0"/>
      <w:marBottom w:val="0"/>
      <w:divBdr>
        <w:top w:val="none" w:sz="0" w:space="0" w:color="auto"/>
        <w:left w:val="none" w:sz="0" w:space="0" w:color="auto"/>
        <w:bottom w:val="none" w:sz="0" w:space="0" w:color="auto"/>
        <w:right w:val="none" w:sz="0" w:space="0" w:color="auto"/>
      </w:divBdr>
    </w:div>
    <w:div w:id="1094399280">
      <w:bodyDiv w:val="1"/>
      <w:marLeft w:val="0"/>
      <w:marRight w:val="0"/>
      <w:marTop w:val="0"/>
      <w:marBottom w:val="0"/>
      <w:divBdr>
        <w:top w:val="none" w:sz="0" w:space="0" w:color="auto"/>
        <w:left w:val="none" w:sz="0" w:space="0" w:color="auto"/>
        <w:bottom w:val="none" w:sz="0" w:space="0" w:color="auto"/>
        <w:right w:val="none" w:sz="0" w:space="0" w:color="auto"/>
      </w:divBdr>
    </w:div>
    <w:div w:id="1230379585">
      <w:bodyDiv w:val="1"/>
      <w:marLeft w:val="0"/>
      <w:marRight w:val="0"/>
      <w:marTop w:val="0"/>
      <w:marBottom w:val="0"/>
      <w:divBdr>
        <w:top w:val="none" w:sz="0" w:space="0" w:color="auto"/>
        <w:left w:val="none" w:sz="0" w:space="0" w:color="auto"/>
        <w:bottom w:val="none" w:sz="0" w:space="0" w:color="auto"/>
        <w:right w:val="none" w:sz="0" w:space="0" w:color="auto"/>
      </w:divBdr>
    </w:div>
    <w:div w:id="1248877866">
      <w:bodyDiv w:val="1"/>
      <w:marLeft w:val="0"/>
      <w:marRight w:val="0"/>
      <w:marTop w:val="0"/>
      <w:marBottom w:val="0"/>
      <w:divBdr>
        <w:top w:val="none" w:sz="0" w:space="0" w:color="auto"/>
        <w:left w:val="none" w:sz="0" w:space="0" w:color="auto"/>
        <w:bottom w:val="none" w:sz="0" w:space="0" w:color="auto"/>
        <w:right w:val="none" w:sz="0" w:space="0" w:color="auto"/>
      </w:divBdr>
      <w:divsChild>
        <w:div w:id="1948805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112543">
      <w:bodyDiv w:val="1"/>
      <w:marLeft w:val="0"/>
      <w:marRight w:val="0"/>
      <w:marTop w:val="0"/>
      <w:marBottom w:val="0"/>
      <w:divBdr>
        <w:top w:val="none" w:sz="0" w:space="0" w:color="auto"/>
        <w:left w:val="none" w:sz="0" w:space="0" w:color="auto"/>
        <w:bottom w:val="none" w:sz="0" w:space="0" w:color="auto"/>
        <w:right w:val="none" w:sz="0" w:space="0" w:color="auto"/>
      </w:divBdr>
    </w:div>
    <w:div w:id="1350910477">
      <w:bodyDiv w:val="1"/>
      <w:marLeft w:val="0"/>
      <w:marRight w:val="0"/>
      <w:marTop w:val="0"/>
      <w:marBottom w:val="0"/>
      <w:divBdr>
        <w:top w:val="none" w:sz="0" w:space="0" w:color="auto"/>
        <w:left w:val="none" w:sz="0" w:space="0" w:color="auto"/>
        <w:bottom w:val="none" w:sz="0" w:space="0" w:color="auto"/>
        <w:right w:val="none" w:sz="0" w:space="0" w:color="auto"/>
      </w:divBdr>
    </w:div>
    <w:div w:id="1383938424">
      <w:bodyDiv w:val="1"/>
      <w:marLeft w:val="0"/>
      <w:marRight w:val="0"/>
      <w:marTop w:val="0"/>
      <w:marBottom w:val="0"/>
      <w:divBdr>
        <w:top w:val="none" w:sz="0" w:space="0" w:color="auto"/>
        <w:left w:val="none" w:sz="0" w:space="0" w:color="auto"/>
        <w:bottom w:val="none" w:sz="0" w:space="0" w:color="auto"/>
        <w:right w:val="none" w:sz="0" w:space="0" w:color="auto"/>
      </w:divBdr>
    </w:div>
    <w:div w:id="1387221628">
      <w:bodyDiv w:val="1"/>
      <w:marLeft w:val="0"/>
      <w:marRight w:val="0"/>
      <w:marTop w:val="0"/>
      <w:marBottom w:val="0"/>
      <w:divBdr>
        <w:top w:val="none" w:sz="0" w:space="0" w:color="auto"/>
        <w:left w:val="none" w:sz="0" w:space="0" w:color="auto"/>
        <w:bottom w:val="none" w:sz="0" w:space="0" w:color="auto"/>
        <w:right w:val="none" w:sz="0" w:space="0" w:color="auto"/>
      </w:divBdr>
    </w:div>
    <w:div w:id="1485312513">
      <w:bodyDiv w:val="1"/>
      <w:marLeft w:val="0"/>
      <w:marRight w:val="0"/>
      <w:marTop w:val="0"/>
      <w:marBottom w:val="0"/>
      <w:divBdr>
        <w:top w:val="none" w:sz="0" w:space="0" w:color="auto"/>
        <w:left w:val="none" w:sz="0" w:space="0" w:color="auto"/>
        <w:bottom w:val="none" w:sz="0" w:space="0" w:color="auto"/>
        <w:right w:val="none" w:sz="0" w:space="0" w:color="auto"/>
      </w:divBdr>
    </w:div>
    <w:div w:id="1524972084">
      <w:bodyDiv w:val="1"/>
      <w:marLeft w:val="0"/>
      <w:marRight w:val="0"/>
      <w:marTop w:val="0"/>
      <w:marBottom w:val="0"/>
      <w:divBdr>
        <w:top w:val="none" w:sz="0" w:space="0" w:color="auto"/>
        <w:left w:val="none" w:sz="0" w:space="0" w:color="auto"/>
        <w:bottom w:val="none" w:sz="0" w:space="0" w:color="auto"/>
        <w:right w:val="none" w:sz="0" w:space="0" w:color="auto"/>
      </w:divBdr>
    </w:div>
    <w:div w:id="1565792773">
      <w:bodyDiv w:val="1"/>
      <w:marLeft w:val="0"/>
      <w:marRight w:val="0"/>
      <w:marTop w:val="0"/>
      <w:marBottom w:val="0"/>
      <w:divBdr>
        <w:top w:val="none" w:sz="0" w:space="0" w:color="auto"/>
        <w:left w:val="none" w:sz="0" w:space="0" w:color="auto"/>
        <w:bottom w:val="none" w:sz="0" w:space="0" w:color="auto"/>
        <w:right w:val="none" w:sz="0" w:space="0" w:color="auto"/>
      </w:divBdr>
      <w:divsChild>
        <w:div w:id="41104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2760258">
      <w:bodyDiv w:val="1"/>
      <w:marLeft w:val="0"/>
      <w:marRight w:val="0"/>
      <w:marTop w:val="0"/>
      <w:marBottom w:val="0"/>
      <w:divBdr>
        <w:top w:val="none" w:sz="0" w:space="0" w:color="auto"/>
        <w:left w:val="none" w:sz="0" w:space="0" w:color="auto"/>
        <w:bottom w:val="none" w:sz="0" w:space="0" w:color="auto"/>
        <w:right w:val="none" w:sz="0" w:space="0" w:color="auto"/>
      </w:divBdr>
    </w:div>
    <w:div w:id="1694766720">
      <w:bodyDiv w:val="1"/>
      <w:marLeft w:val="0"/>
      <w:marRight w:val="0"/>
      <w:marTop w:val="0"/>
      <w:marBottom w:val="0"/>
      <w:divBdr>
        <w:top w:val="none" w:sz="0" w:space="0" w:color="auto"/>
        <w:left w:val="none" w:sz="0" w:space="0" w:color="auto"/>
        <w:bottom w:val="none" w:sz="0" w:space="0" w:color="auto"/>
        <w:right w:val="none" w:sz="0" w:space="0" w:color="auto"/>
      </w:divBdr>
    </w:div>
    <w:div w:id="1806853410">
      <w:bodyDiv w:val="1"/>
      <w:marLeft w:val="0"/>
      <w:marRight w:val="0"/>
      <w:marTop w:val="0"/>
      <w:marBottom w:val="0"/>
      <w:divBdr>
        <w:top w:val="none" w:sz="0" w:space="0" w:color="auto"/>
        <w:left w:val="none" w:sz="0" w:space="0" w:color="auto"/>
        <w:bottom w:val="none" w:sz="0" w:space="0" w:color="auto"/>
        <w:right w:val="none" w:sz="0" w:space="0" w:color="auto"/>
      </w:divBdr>
    </w:div>
    <w:div w:id="1895310511">
      <w:bodyDiv w:val="1"/>
      <w:marLeft w:val="0"/>
      <w:marRight w:val="0"/>
      <w:marTop w:val="0"/>
      <w:marBottom w:val="0"/>
      <w:divBdr>
        <w:top w:val="none" w:sz="0" w:space="0" w:color="auto"/>
        <w:left w:val="none" w:sz="0" w:space="0" w:color="auto"/>
        <w:bottom w:val="none" w:sz="0" w:space="0" w:color="auto"/>
        <w:right w:val="none" w:sz="0" w:space="0" w:color="auto"/>
      </w:divBdr>
    </w:div>
    <w:div w:id="1961380743">
      <w:bodyDiv w:val="1"/>
      <w:marLeft w:val="0"/>
      <w:marRight w:val="0"/>
      <w:marTop w:val="0"/>
      <w:marBottom w:val="0"/>
      <w:divBdr>
        <w:top w:val="none" w:sz="0" w:space="0" w:color="auto"/>
        <w:left w:val="none" w:sz="0" w:space="0" w:color="auto"/>
        <w:bottom w:val="none" w:sz="0" w:space="0" w:color="auto"/>
        <w:right w:val="none" w:sz="0" w:space="0" w:color="auto"/>
      </w:divBdr>
    </w:div>
    <w:div w:id="2032606847">
      <w:bodyDiv w:val="1"/>
      <w:marLeft w:val="0"/>
      <w:marRight w:val="0"/>
      <w:marTop w:val="0"/>
      <w:marBottom w:val="0"/>
      <w:divBdr>
        <w:top w:val="none" w:sz="0" w:space="0" w:color="auto"/>
        <w:left w:val="none" w:sz="0" w:space="0" w:color="auto"/>
        <w:bottom w:val="none" w:sz="0" w:space="0" w:color="auto"/>
        <w:right w:val="none" w:sz="0" w:space="0" w:color="auto"/>
      </w:divBdr>
    </w:div>
    <w:div w:id="2058167477">
      <w:bodyDiv w:val="1"/>
      <w:marLeft w:val="0"/>
      <w:marRight w:val="0"/>
      <w:marTop w:val="0"/>
      <w:marBottom w:val="0"/>
      <w:divBdr>
        <w:top w:val="none" w:sz="0" w:space="0" w:color="auto"/>
        <w:left w:val="none" w:sz="0" w:space="0" w:color="auto"/>
        <w:bottom w:val="none" w:sz="0" w:space="0" w:color="auto"/>
        <w:right w:val="none" w:sz="0" w:space="0" w:color="auto"/>
      </w:divBdr>
    </w:div>
    <w:div w:id="2097286496">
      <w:bodyDiv w:val="1"/>
      <w:marLeft w:val="0"/>
      <w:marRight w:val="0"/>
      <w:marTop w:val="0"/>
      <w:marBottom w:val="0"/>
      <w:divBdr>
        <w:top w:val="none" w:sz="0" w:space="0" w:color="auto"/>
        <w:left w:val="none" w:sz="0" w:space="0" w:color="auto"/>
        <w:bottom w:val="none" w:sz="0" w:space="0" w:color="auto"/>
        <w:right w:val="none" w:sz="0" w:space="0" w:color="auto"/>
      </w:divBdr>
    </w:div>
    <w:div w:id="21131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756A3-9C14-4922-A2AC-A614E8C4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859</Words>
  <Characters>4702</Characters>
  <Application>Microsoft Office Word</Application>
  <DocSecurity>0</DocSecurity>
  <Lines>120</Lines>
  <Paragraphs>66</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5495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Laurence Berthet</cp:lastModifiedBy>
  <cp:revision>5</cp:revision>
  <cp:lastPrinted>2019-09-07T18:25:00Z</cp:lastPrinted>
  <dcterms:created xsi:type="dcterms:W3CDTF">2019-09-04T12:18:00Z</dcterms:created>
  <dcterms:modified xsi:type="dcterms:W3CDTF">2019-09-07T18:27:00Z</dcterms:modified>
</cp:coreProperties>
</file>