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75D8E8AA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300C858" w14:textId="77777777" w:rsidR="00132EA9" w:rsidRPr="00DB58B5" w:rsidRDefault="00132EA9" w:rsidP="001A260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012D493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D71E7DD" w14:textId="77777777" w:rsidR="00132EA9" w:rsidRPr="00DB58B5" w:rsidRDefault="001A260A" w:rsidP="001A260A">
            <w:pPr>
              <w:jc w:val="right"/>
            </w:pPr>
            <w:r w:rsidRPr="001A260A">
              <w:rPr>
                <w:sz w:val="40"/>
              </w:rPr>
              <w:t>ST</w:t>
            </w:r>
            <w:r>
              <w:t>/SG/AC.10/C.3/2019/3</w:t>
            </w:r>
          </w:p>
        </w:tc>
      </w:tr>
      <w:tr w:rsidR="00132EA9" w:rsidRPr="00DB58B5" w14:paraId="5BF80B7C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D62CABB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FE3475B" wp14:editId="5D353F3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081CE8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49DA3B" w14:textId="77777777" w:rsidR="00132EA9" w:rsidRDefault="001A260A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7845DD46" w14:textId="77777777" w:rsidR="001A260A" w:rsidRDefault="001A260A" w:rsidP="001A260A">
            <w:pPr>
              <w:spacing w:line="240" w:lineRule="exact"/>
            </w:pPr>
            <w:r>
              <w:t>25 mars 2019</w:t>
            </w:r>
          </w:p>
          <w:p w14:paraId="2B46D073" w14:textId="77777777" w:rsidR="001A260A" w:rsidRDefault="001A260A" w:rsidP="001A260A">
            <w:pPr>
              <w:spacing w:line="240" w:lineRule="exact"/>
            </w:pPr>
            <w:r>
              <w:t>Français</w:t>
            </w:r>
          </w:p>
          <w:p w14:paraId="56B795BB" w14:textId="77777777" w:rsidR="001A260A" w:rsidRPr="00DB58B5" w:rsidRDefault="001A260A" w:rsidP="001A260A">
            <w:pPr>
              <w:spacing w:line="240" w:lineRule="exact"/>
            </w:pPr>
            <w:r>
              <w:t>Original : anglais</w:t>
            </w:r>
          </w:p>
        </w:tc>
      </w:tr>
    </w:tbl>
    <w:p w14:paraId="55DD8B1B" w14:textId="77777777" w:rsidR="001A260A" w:rsidRPr="00CA0680" w:rsidRDefault="001A260A" w:rsidP="0091438B">
      <w:pPr>
        <w:spacing w:before="60" w:line="220" w:lineRule="atLeast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91438B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91438B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2F2E7CB3" w14:textId="77777777" w:rsidR="001A260A" w:rsidRPr="00CA0680" w:rsidRDefault="001A260A" w:rsidP="0091438B">
      <w:pPr>
        <w:spacing w:before="100" w:line="220" w:lineRule="atLeast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91438B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2572BC77" w14:textId="77777777" w:rsidR="001A260A" w:rsidRDefault="001A260A" w:rsidP="0091438B">
      <w:pPr>
        <w:spacing w:before="100" w:line="220" w:lineRule="atLeast"/>
        <w:rPr>
          <w:b/>
        </w:rPr>
      </w:pPr>
      <w:r>
        <w:rPr>
          <w:b/>
        </w:rPr>
        <w:t>C</w:t>
      </w:r>
      <w:r w:rsidRPr="00A0505A">
        <w:rPr>
          <w:b/>
        </w:rPr>
        <w:t>inquante-</w:t>
      </w:r>
      <w:r>
        <w:rPr>
          <w:b/>
        </w:rPr>
        <w:t>cinqu</w:t>
      </w:r>
      <w:r w:rsidRPr="00A0505A">
        <w:rPr>
          <w:b/>
        </w:rPr>
        <w:t>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3DB4E81D" w14:textId="77777777" w:rsidR="001A260A" w:rsidRDefault="001A260A" w:rsidP="0091438B">
      <w:pPr>
        <w:spacing w:line="220" w:lineRule="atLeast"/>
      </w:pPr>
      <w:r>
        <w:t xml:space="preserve">Genève, </w:t>
      </w:r>
      <w:r w:rsidRPr="007E5A17">
        <w:t>1</w:t>
      </w:r>
      <w:r w:rsidRPr="001A260A">
        <w:rPr>
          <w:vertAlign w:val="superscript"/>
        </w:rPr>
        <w:t>er</w:t>
      </w:r>
      <w:r w:rsidRPr="007E5A17">
        <w:t>-5</w:t>
      </w:r>
      <w:r>
        <w:t> </w:t>
      </w:r>
      <w:r w:rsidRPr="00A0505A">
        <w:t xml:space="preserve">juillet </w:t>
      </w:r>
      <w:r w:rsidRPr="007E5A17">
        <w:t>2019</w:t>
      </w:r>
    </w:p>
    <w:p w14:paraId="603973EE" w14:textId="77777777" w:rsidR="001A260A" w:rsidRDefault="001A260A" w:rsidP="0091438B">
      <w:pPr>
        <w:spacing w:line="220" w:lineRule="atLeast"/>
      </w:pPr>
      <w:r>
        <w:t>Point </w:t>
      </w:r>
      <w:r w:rsidRPr="007E5A17">
        <w:t>6</w:t>
      </w:r>
      <w:r>
        <w:t> </w:t>
      </w:r>
      <w:r w:rsidRPr="007E5A17">
        <w:t>e)</w:t>
      </w:r>
      <w:r>
        <w:t xml:space="preserve"> de l</w:t>
      </w:r>
      <w:r w:rsidR="0091438B">
        <w:t>’</w:t>
      </w:r>
      <w:r>
        <w:t>ordre du jour provisoire</w:t>
      </w:r>
    </w:p>
    <w:p w14:paraId="172151AC" w14:textId="77777777" w:rsidR="001A260A" w:rsidRPr="007E5A17" w:rsidRDefault="001A260A" w:rsidP="0091438B">
      <w:pPr>
        <w:spacing w:line="220" w:lineRule="atLeast"/>
        <w:rPr>
          <w:b/>
        </w:rPr>
      </w:pPr>
      <w:r w:rsidRPr="00A0505A">
        <w:rPr>
          <w:b/>
        </w:rPr>
        <w:t>Propositions diverses d</w:t>
      </w:r>
      <w:r w:rsidR="0091438B">
        <w:rPr>
          <w:b/>
        </w:rPr>
        <w:t>’</w:t>
      </w:r>
      <w:r w:rsidRPr="00A0505A">
        <w:rPr>
          <w:b/>
        </w:rPr>
        <w:t>amendements au Règlement type</w:t>
      </w:r>
      <w:r w:rsidRPr="00A0505A">
        <w:rPr>
          <w:b/>
        </w:rPr>
        <w:br/>
        <w:t>pour le transport des marchandises dangereuses</w:t>
      </w:r>
      <w:r w:rsidR="00DC5029">
        <w:rPr>
          <w:b/>
        </w:rPr>
        <w:t> </w:t>
      </w:r>
      <w:r w:rsidRPr="007E5A17">
        <w:rPr>
          <w:b/>
        </w:rPr>
        <w:t>:</w:t>
      </w:r>
    </w:p>
    <w:p w14:paraId="7446EFA6" w14:textId="77777777" w:rsidR="001A260A" w:rsidRPr="007E5A17" w:rsidRDefault="001A260A" w:rsidP="001A260A">
      <w:pPr>
        <w:rPr>
          <w:b/>
        </w:rPr>
      </w:pPr>
      <w:r w:rsidRPr="00A0505A">
        <w:rPr>
          <w:b/>
        </w:rPr>
        <w:t>Autres propositions diverses</w:t>
      </w:r>
    </w:p>
    <w:p w14:paraId="6064AE09" w14:textId="77777777" w:rsidR="001A260A" w:rsidRPr="007E5A17" w:rsidRDefault="001A260A" w:rsidP="0091438B">
      <w:pPr>
        <w:pStyle w:val="HChG"/>
        <w:spacing w:before="240" w:line="280" w:lineRule="exact"/>
      </w:pPr>
      <w:r w:rsidRPr="007E5A17">
        <w:tab/>
      </w:r>
      <w:r w:rsidRPr="007E5A17">
        <w:tab/>
      </w:r>
      <w:r w:rsidRPr="00D33EFD">
        <w:t>Augmentation de la pression intérieure maximale autorisée pour les générateurs d</w:t>
      </w:r>
      <w:r w:rsidR="0091438B">
        <w:t>’</w:t>
      </w:r>
      <w:r w:rsidRPr="00D33EFD">
        <w:t>aérosols</w:t>
      </w:r>
    </w:p>
    <w:p w14:paraId="11757D7E" w14:textId="77777777" w:rsidR="001A260A" w:rsidRPr="007E5A17" w:rsidRDefault="001A260A" w:rsidP="0091438B">
      <w:pPr>
        <w:pStyle w:val="H1G"/>
        <w:spacing w:before="240" w:line="250" w:lineRule="exact"/>
      </w:pPr>
      <w:r w:rsidRPr="007E5A17">
        <w:tab/>
      </w:r>
      <w:r w:rsidRPr="007E5A17">
        <w:tab/>
      </w:r>
      <w:r w:rsidRPr="00A0505A">
        <w:t xml:space="preserve">Communication de la Fédération européenne des aérosols </w:t>
      </w:r>
      <w:r w:rsidRPr="007E5A17">
        <w:t xml:space="preserve">(FEA) </w:t>
      </w:r>
      <w:r w:rsidR="00E53B9D">
        <w:br/>
      </w:r>
      <w:r>
        <w:t>et de l</w:t>
      </w:r>
      <w:r w:rsidR="0091438B">
        <w:t>’</w:t>
      </w:r>
      <w:r w:rsidRPr="007E5A17">
        <w:t>Household and Commercial Products Association (HCPA)</w:t>
      </w:r>
      <w:r w:rsidR="00E97C8F" w:rsidRPr="00E97C8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35C05AA" w14:textId="77777777" w:rsidR="001A260A" w:rsidRPr="009E6744" w:rsidRDefault="001A260A" w:rsidP="0091438B">
      <w:pPr>
        <w:pStyle w:val="HChG"/>
        <w:spacing w:before="240" w:after="200" w:line="280" w:lineRule="exact"/>
      </w:pPr>
      <w:r w:rsidRPr="007E5A17">
        <w:tab/>
      </w:r>
      <w:r w:rsidRPr="007E5A17">
        <w:tab/>
      </w:r>
      <w:r w:rsidRPr="009E6744">
        <w:t>Introduction</w:t>
      </w:r>
    </w:p>
    <w:p w14:paraId="5C52421E" w14:textId="77777777" w:rsidR="001A260A" w:rsidRDefault="001A260A" w:rsidP="0091438B">
      <w:pPr>
        <w:pStyle w:val="SingleTxtG"/>
      </w:pPr>
      <w:r w:rsidRPr="007E5A17">
        <w:t>1.</w:t>
      </w:r>
      <w:r w:rsidRPr="007E5A17">
        <w:tab/>
      </w:r>
      <w:r w:rsidRPr="005A6596">
        <w:t>E</w:t>
      </w:r>
      <w:r w:rsidRPr="007E5A17">
        <w:t>n 2010</w:t>
      </w:r>
      <w:r w:rsidR="00E53B9D">
        <w:t>,</w:t>
      </w:r>
      <w:r w:rsidRPr="007E5A17">
        <w:t xml:space="preserve"> </w:t>
      </w:r>
      <w:r w:rsidRPr="005A6596">
        <w:t xml:space="preserve">la </w:t>
      </w:r>
      <w:r w:rsidRPr="007E5A17">
        <w:t xml:space="preserve">FEA </w:t>
      </w:r>
      <w:r w:rsidRPr="005A6596">
        <w:t xml:space="preserve">a fait savoir au Sous-Comité </w:t>
      </w:r>
      <w:r>
        <w:t>qu</w:t>
      </w:r>
      <w:r w:rsidR="0091438B">
        <w:t>’</w:t>
      </w:r>
      <w:r>
        <w:t>elle avait proposé à la Commission européenne d</w:t>
      </w:r>
      <w:r w:rsidR="0091438B">
        <w:t>’</w:t>
      </w:r>
      <w:r>
        <w:t xml:space="preserve">adapter au progrès technique la </w:t>
      </w:r>
      <w:r w:rsidRPr="005A6596">
        <w:t>Directive</w:t>
      </w:r>
      <w:r w:rsidR="0091438B">
        <w:t> </w:t>
      </w:r>
      <w:r w:rsidRPr="005A6596">
        <w:t>75/324/CEE relative aux générateurs d</w:t>
      </w:r>
      <w:r w:rsidR="0091438B">
        <w:t>’</w:t>
      </w:r>
      <w:r w:rsidRPr="005A6596">
        <w:t>aérosols</w:t>
      </w:r>
      <w:r>
        <w:t xml:space="preserve"> pour</w:t>
      </w:r>
      <w:r w:rsidRPr="005A6596">
        <w:t xml:space="preserve"> </w:t>
      </w:r>
      <w:r>
        <w:t>porter à 15 </w:t>
      </w:r>
      <w:proofErr w:type="gramStart"/>
      <w:r>
        <w:t>bar</w:t>
      </w:r>
      <w:proofErr w:type="gramEnd"/>
      <w:r>
        <w:t xml:space="preserve"> </w:t>
      </w:r>
      <w:r w:rsidRPr="005A6596">
        <w:t>la pression intérieure maximale autorisée à 50 °C</w:t>
      </w:r>
      <w:r w:rsidRPr="007E5A17">
        <w:t xml:space="preserve"> (</w:t>
      </w:r>
      <w:r w:rsidRPr="005A6596">
        <w:t xml:space="preserve">voir le document </w:t>
      </w:r>
      <w:r w:rsidRPr="007E5A17">
        <w:t>inform</w:t>
      </w:r>
      <w:r w:rsidRPr="005A6596">
        <w:t>e</w:t>
      </w:r>
      <w:r w:rsidRPr="007E5A17">
        <w:t>l</w:t>
      </w:r>
      <w:r w:rsidR="0091438B">
        <w:t> </w:t>
      </w:r>
      <w:r w:rsidRPr="007E5A17">
        <w:t>INF.19 (</w:t>
      </w:r>
      <w:r w:rsidRPr="005A6596">
        <w:t>trente-septième session</w:t>
      </w:r>
      <w:r w:rsidRPr="007E5A17">
        <w:t>).</w:t>
      </w:r>
    </w:p>
    <w:p w14:paraId="5ABF604C" w14:textId="77777777" w:rsidR="0091438B" w:rsidRPr="007E5A17" w:rsidRDefault="0091438B" w:rsidP="0091438B">
      <w:pPr>
        <w:pStyle w:val="SingleTxtG"/>
      </w:pPr>
      <w:r w:rsidRPr="007E5A17">
        <w:t>2.</w:t>
      </w:r>
      <w:r w:rsidRPr="007E5A17">
        <w:tab/>
      </w:r>
      <w:r w:rsidRPr="00542612">
        <w:t>Cette proposition a été mi</w:t>
      </w:r>
      <w:r>
        <w:t>s</w:t>
      </w:r>
      <w:r w:rsidRPr="00542612">
        <w:t>e en œuvre dans la Directive (UE) 2016/</w:t>
      </w:r>
      <w:r w:rsidR="00120DBC">
        <w:t>20</w:t>
      </w:r>
      <w:r w:rsidRPr="00542612">
        <w:t xml:space="preserve">37 de la Commission </w:t>
      </w:r>
      <w:r w:rsidRPr="007E5A17">
        <w:t>comme</w:t>
      </w:r>
      <w:r>
        <w:t xml:space="preserve"> suit </w:t>
      </w:r>
      <w:r w:rsidRPr="007E5A17">
        <w:t>:</w:t>
      </w:r>
    </w:p>
    <w:p w14:paraId="7ADE36EC" w14:textId="77777777" w:rsidR="001A260A" w:rsidRDefault="001A260A" w:rsidP="0091438B">
      <w:pPr>
        <w:pStyle w:val="SingleTxtG"/>
        <w:ind w:left="1701"/>
        <w:rPr>
          <w:lang w:eastAsia="en-GB"/>
        </w:rPr>
      </w:pPr>
      <w:r>
        <w:rPr>
          <w:lang w:eastAsia="en-GB"/>
        </w:rPr>
        <w:t>« </w:t>
      </w:r>
      <w:r w:rsidRPr="00C7608C">
        <w:rPr>
          <w:i/>
          <w:lang w:eastAsia="en-GB"/>
        </w:rPr>
        <w:t>La pression dans le générateur aérosol à 50 °C ne doit pas dépasser les valeurs indiquées dans le tableau suivant, en fonction de la teneur des gaz dans le générateur d</w:t>
      </w:r>
      <w:r w:rsidR="0091438B" w:rsidRPr="00C7608C">
        <w:rPr>
          <w:i/>
          <w:lang w:eastAsia="en-GB"/>
        </w:rPr>
        <w:t>’</w:t>
      </w:r>
      <w:r w:rsidRPr="00C7608C">
        <w:rPr>
          <w:i/>
          <w:lang w:eastAsia="en-GB"/>
        </w:rPr>
        <w:t>aérosol :</w:t>
      </w:r>
    </w:p>
    <w:tbl>
      <w:tblPr>
        <w:tblW w:w="680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2106"/>
      </w:tblGrid>
      <w:tr w:rsidR="001A260A" w:rsidRPr="004651FF" w14:paraId="4EAEEB87" w14:textId="77777777" w:rsidTr="00347DA3">
        <w:trPr>
          <w:cantSplit/>
        </w:trPr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EA7B" w14:textId="77777777" w:rsidR="001A260A" w:rsidRPr="004651FF" w:rsidRDefault="00BE32F3" w:rsidP="0091438B">
            <w:pPr>
              <w:keepLines/>
              <w:spacing w:before="60" w:after="60" w:line="240" w:lineRule="auto"/>
              <w:ind w:left="164"/>
              <w:rPr>
                <w:rFonts w:ascii="Calibri" w:eastAsia="Calibri" w:hAnsi="Calibri" w:cs="Calibri"/>
                <w:i/>
                <w:lang w:eastAsia="en-GB"/>
              </w:rPr>
            </w:pPr>
            <w:r w:rsidRPr="001A260A">
              <w:rPr>
                <w:i/>
                <w:iCs/>
                <w:color w:val="000000"/>
                <w:lang w:val="en-GB" w:eastAsia="en-GB"/>
              </w:rPr>
              <w:t>Teneur des gaz</w:t>
            </w:r>
          </w:p>
        </w:tc>
        <w:tc>
          <w:tcPr>
            <w:tcW w:w="2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3624" w14:textId="77777777" w:rsidR="001A260A" w:rsidRPr="004651FF" w:rsidRDefault="00BE32F3" w:rsidP="0091438B">
            <w:pPr>
              <w:spacing w:before="60" w:after="60" w:line="240" w:lineRule="auto"/>
              <w:ind w:left="175" w:right="43"/>
              <w:jc w:val="center"/>
              <w:rPr>
                <w:rFonts w:ascii="Calibri" w:eastAsia="Calibri" w:hAnsi="Calibri" w:cs="Calibri"/>
                <w:i/>
                <w:lang w:eastAsia="en-GB"/>
              </w:rPr>
            </w:pPr>
            <w:r w:rsidRPr="001A260A">
              <w:rPr>
                <w:i/>
                <w:iCs/>
                <w:color w:val="000000"/>
                <w:lang w:val="en-GB" w:eastAsia="en-GB"/>
              </w:rPr>
              <w:t>Pression à 50 °C</w:t>
            </w:r>
          </w:p>
        </w:tc>
      </w:tr>
      <w:tr w:rsidR="001A260A" w:rsidRPr="004651FF" w14:paraId="758E0F82" w14:textId="77777777" w:rsidTr="00347DA3">
        <w:trPr>
          <w:cantSplit/>
        </w:trPr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7BFA" w14:textId="77777777" w:rsidR="001A260A" w:rsidRPr="001A260A" w:rsidRDefault="00BE32F3" w:rsidP="0091438B">
            <w:pPr>
              <w:keepLines/>
              <w:spacing w:before="40" w:after="40" w:line="240" w:lineRule="auto"/>
              <w:ind w:left="164"/>
              <w:rPr>
                <w:rFonts w:ascii="Calibri" w:eastAsia="Calibri" w:hAnsi="Calibri" w:cs="Calibri"/>
                <w:i/>
                <w:lang w:eastAsia="en-GB"/>
              </w:rPr>
            </w:pPr>
            <w:r w:rsidRPr="001A260A">
              <w:rPr>
                <w:i/>
                <w:iCs/>
                <w:color w:val="000000"/>
                <w:lang w:eastAsia="en-GB"/>
              </w:rPr>
              <w:t>Gaz liquéfié ou mélange de gaz ayant un domaine d</w:t>
            </w:r>
            <w:r w:rsidR="0091438B">
              <w:rPr>
                <w:i/>
                <w:iCs/>
                <w:color w:val="000000"/>
                <w:lang w:eastAsia="en-GB"/>
              </w:rPr>
              <w:t>’</w:t>
            </w:r>
            <w:r w:rsidRPr="001A260A">
              <w:rPr>
                <w:i/>
                <w:iCs/>
                <w:color w:val="000000"/>
                <w:lang w:eastAsia="en-GB"/>
              </w:rPr>
              <w:t>inflammabilité en mélange avec l</w:t>
            </w:r>
            <w:r w:rsidR="0091438B">
              <w:rPr>
                <w:i/>
                <w:iCs/>
                <w:color w:val="000000"/>
                <w:lang w:eastAsia="en-GB"/>
              </w:rPr>
              <w:t>’</w:t>
            </w:r>
            <w:r w:rsidRPr="001A260A">
              <w:rPr>
                <w:i/>
                <w:iCs/>
                <w:color w:val="000000"/>
                <w:lang w:eastAsia="en-GB"/>
              </w:rPr>
              <w:t>air à 20 °C</w:t>
            </w:r>
            <w:r w:rsidR="001A260A">
              <w:rPr>
                <w:i/>
                <w:iCs/>
                <w:color w:val="000000"/>
                <w:lang w:eastAsia="en-GB"/>
              </w:rPr>
              <w:t xml:space="preserve"> </w:t>
            </w:r>
            <w:r w:rsidRPr="001A260A">
              <w:rPr>
                <w:i/>
                <w:iCs/>
                <w:color w:val="000000"/>
                <w:lang w:eastAsia="en-GB"/>
              </w:rPr>
              <w:t>et</w:t>
            </w:r>
            <w:r w:rsidR="001A260A">
              <w:rPr>
                <w:i/>
                <w:iCs/>
                <w:color w:val="000000"/>
                <w:lang w:eastAsia="en-GB"/>
              </w:rPr>
              <w:t> </w:t>
            </w:r>
            <w:r w:rsidRPr="001A260A">
              <w:rPr>
                <w:i/>
                <w:iCs/>
                <w:color w:val="000000"/>
                <w:lang w:eastAsia="en-GB"/>
              </w:rPr>
              <w:t>une</w:t>
            </w:r>
            <w:r w:rsidR="001A260A">
              <w:rPr>
                <w:i/>
                <w:iCs/>
                <w:color w:val="000000"/>
                <w:lang w:eastAsia="en-GB"/>
              </w:rPr>
              <w:t> </w:t>
            </w:r>
            <w:r w:rsidRPr="001A260A">
              <w:rPr>
                <w:i/>
                <w:iCs/>
                <w:color w:val="000000"/>
                <w:lang w:eastAsia="en-GB"/>
              </w:rPr>
              <w:t>pression normale de 1</w:t>
            </w:r>
            <w:r w:rsidR="00C7608C">
              <w:rPr>
                <w:i/>
                <w:iCs/>
                <w:color w:val="000000"/>
                <w:lang w:eastAsia="en-GB"/>
              </w:rPr>
              <w:t> </w:t>
            </w:r>
            <w:r w:rsidRPr="001A260A">
              <w:rPr>
                <w:i/>
                <w:iCs/>
                <w:color w:val="000000"/>
                <w:lang w:eastAsia="en-GB"/>
              </w:rPr>
              <w:t xml:space="preserve">013 </w:t>
            </w:r>
            <w:proofErr w:type="gramStart"/>
            <w:r w:rsidRPr="001A260A">
              <w:rPr>
                <w:i/>
                <w:iCs/>
                <w:color w:val="000000"/>
                <w:lang w:eastAsia="en-GB"/>
              </w:rPr>
              <w:t>bar</w:t>
            </w:r>
            <w:proofErr w:type="gramEnd"/>
          </w:p>
        </w:tc>
        <w:tc>
          <w:tcPr>
            <w:tcW w:w="2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6E8CF" w14:textId="77777777" w:rsidR="001A260A" w:rsidRPr="004651FF" w:rsidRDefault="001A260A" w:rsidP="0091438B">
            <w:pPr>
              <w:spacing w:before="40" w:after="40" w:line="240" w:lineRule="auto"/>
              <w:ind w:left="175" w:right="43"/>
              <w:jc w:val="center"/>
              <w:rPr>
                <w:rFonts w:ascii="Calibri" w:eastAsia="Calibri" w:hAnsi="Calibri" w:cs="Calibri"/>
                <w:i/>
                <w:lang w:eastAsia="en-GB"/>
              </w:rPr>
            </w:pPr>
            <w:r w:rsidRPr="004651FF">
              <w:rPr>
                <w:i/>
                <w:iCs/>
                <w:color w:val="000000"/>
                <w:lang w:eastAsia="en-GB"/>
              </w:rPr>
              <w:t xml:space="preserve">12 </w:t>
            </w:r>
            <w:proofErr w:type="gramStart"/>
            <w:r w:rsidRPr="004651FF">
              <w:rPr>
                <w:i/>
                <w:iCs/>
                <w:color w:val="000000"/>
                <w:lang w:eastAsia="en-GB"/>
              </w:rPr>
              <w:t>bar</w:t>
            </w:r>
            <w:proofErr w:type="gramEnd"/>
          </w:p>
        </w:tc>
      </w:tr>
      <w:tr w:rsidR="001A260A" w:rsidRPr="004651FF" w14:paraId="4A176F20" w14:textId="77777777" w:rsidTr="00347DA3">
        <w:trPr>
          <w:cantSplit/>
        </w:trPr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5E4E9" w14:textId="77777777" w:rsidR="001A260A" w:rsidRPr="001A260A" w:rsidRDefault="00BE32F3" w:rsidP="0091438B">
            <w:pPr>
              <w:keepLines/>
              <w:spacing w:before="40" w:after="40" w:line="240" w:lineRule="auto"/>
              <w:ind w:left="164"/>
              <w:rPr>
                <w:rFonts w:ascii="Calibri" w:eastAsia="Calibri" w:hAnsi="Calibri" w:cs="Calibri"/>
                <w:i/>
                <w:lang w:eastAsia="en-GB"/>
              </w:rPr>
            </w:pPr>
            <w:r w:rsidRPr="001A260A">
              <w:rPr>
                <w:i/>
                <w:iCs/>
                <w:color w:val="000000"/>
                <w:lang w:eastAsia="en-GB"/>
              </w:rPr>
              <w:t>Gaz liquéfié ou mélange de gaz n</w:t>
            </w:r>
            <w:r w:rsidR="0091438B">
              <w:rPr>
                <w:i/>
                <w:iCs/>
                <w:color w:val="000000"/>
                <w:lang w:eastAsia="en-GB"/>
              </w:rPr>
              <w:t>’</w:t>
            </w:r>
            <w:r w:rsidRPr="001A260A">
              <w:rPr>
                <w:i/>
                <w:iCs/>
                <w:color w:val="000000"/>
                <w:lang w:eastAsia="en-GB"/>
              </w:rPr>
              <w:t>ayant pas un domaine d</w:t>
            </w:r>
            <w:r w:rsidR="0091438B">
              <w:rPr>
                <w:i/>
                <w:iCs/>
                <w:color w:val="000000"/>
                <w:lang w:eastAsia="en-GB"/>
              </w:rPr>
              <w:t>’</w:t>
            </w:r>
            <w:r w:rsidRPr="001A260A">
              <w:rPr>
                <w:i/>
                <w:iCs/>
                <w:color w:val="000000"/>
                <w:lang w:eastAsia="en-GB"/>
              </w:rPr>
              <w:t>inflammabilité en mélange avec l</w:t>
            </w:r>
            <w:r w:rsidR="0091438B">
              <w:rPr>
                <w:i/>
                <w:iCs/>
                <w:color w:val="000000"/>
                <w:lang w:eastAsia="en-GB"/>
              </w:rPr>
              <w:t>’</w:t>
            </w:r>
            <w:r w:rsidRPr="001A260A">
              <w:rPr>
                <w:i/>
                <w:iCs/>
                <w:color w:val="000000"/>
                <w:lang w:eastAsia="en-GB"/>
              </w:rPr>
              <w:t>air à</w:t>
            </w:r>
            <w:r w:rsidR="00281511">
              <w:rPr>
                <w:i/>
                <w:iCs/>
                <w:color w:val="000000"/>
                <w:lang w:eastAsia="en-GB"/>
              </w:rPr>
              <w:t> </w:t>
            </w:r>
            <w:r w:rsidRPr="001A260A">
              <w:rPr>
                <w:i/>
                <w:iCs/>
                <w:color w:val="000000"/>
                <w:lang w:eastAsia="en-GB"/>
              </w:rPr>
              <w:t>20</w:t>
            </w:r>
            <w:r w:rsidR="00281511">
              <w:rPr>
                <w:i/>
                <w:iCs/>
                <w:color w:val="000000"/>
                <w:lang w:eastAsia="en-GB"/>
              </w:rPr>
              <w:t> </w:t>
            </w:r>
            <w:r w:rsidRPr="001A260A">
              <w:rPr>
                <w:i/>
                <w:iCs/>
                <w:color w:val="000000"/>
                <w:lang w:eastAsia="en-GB"/>
              </w:rPr>
              <w:t>°C et</w:t>
            </w:r>
            <w:r w:rsidR="001A260A">
              <w:rPr>
                <w:i/>
                <w:iCs/>
                <w:color w:val="000000"/>
                <w:lang w:eastAsia="en-GB"/>
              </w:rPr>
              <w:t> </w:t>
            </w:r>
            <w:r w:rsidRPr="001A260A">
              <w:rPr>
                <w:i/>
                <w:iCs/>
                <w:color w:val="000000"/>
                <w:lang w:eastAsia="en-GB"/>
              </w:rPr>
              <w:t>une</w:t>
            </w:r>
            <w:r w:rsidR="001A260A">
              <w:rPr>
                <w:i/>
                <w:iCs/>
                <w:color w:val="000000"/>
                <w:lang w:eastAsia="en-GB"/>
              </w:rPr>
              <w:t> </w:t>
            </w:r>
            <w:r w:rsidRPr="001A260A">
              <w:rPr>
                <w:i/>
                <w:iCs/>
                <w:color w:val="000000"/>
                <w:lang w:eastAsia="en-GB"/>
              </w:rPr>
              <w:t>pression normale de 1</w:t>
            </w:r>
            <w:r w:rsidR="00C7608C">
              <w:rPr>
                <w:i/>
                <w:iCs/>
                <w:color w:val="000000"/>
                <w:lang w:eastAsia="en-GB"/>
              </w:rPr>
              <w:t> </w:t>
            </w:r>
            <w:r w:rsidRPr="001A260A">
              <w:rPr>
                <w:i/>
                <w:iCs/>
                <w:color w:val="000000"/>
                <w:lang w:eastAsia="en-GB"/>
              </w:rPr>
              <w:t xml:space="preserve">013 </w:t>
            </w:r>
            <w:proofErr w:type="gramStart"/>
            <w:r w:rsidRPr="001A260A">
              <w:rPr>
                <w:i/>
                <w:iCs/>
                <w:color w:val="000000"/>
                <w:lang w:eastAsia="en-GB"/>
              </w:rPr>
              <w:t>bar</w:t>
            </w:r>
            <w:proofErr w:type="gramEnd"/>
          </w:p>
        </w:tc>
        <w:tc>
          <w:tcPr>
            <w:tcW w:w="2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B40F" w14:textId="77777777" w:rsidR="001A260A" w:rsidRPr="004651FF" w:rsidRDefault="001A260A" w:rsidP="0091438B">
            <w:pPr>
              <w:spacing w:before="40" w:after="40" w:line="240" w:lineRule="auto"/>
              <w:ind w:left="175" w:right="43"/>
              <w:jc w:val="center"/>
              <w:rPr>
                <w:rFonts w:ascii="Calibri" w:eastAsia="Calibri" w:hAnsi="Calibri" w:cs="Calibri"/>
                <w:i/>
                <w:lang w:eastAsia="en-GB"/>
              </w:rPr>
            </w:pPr>
            <w:r w:rsidRPr="004651FF">
              <w:rPr>
                <w:i/>
                <w:iCs/>
                <w:color w:val="000000"/>
                <w:lang w:eastAsia="en-GB"/>
              </w:rPr>
              <w:t xml:space="preserve">13,2 </w:t>
            </w:r>
            <w:proofErr w:type="gramStart"/>
            <w:r w:rsidRPr="004651FF">
              <w:rPr>
                <w:i/>
                <w:iCs/>
                <w:color w:val="000000"/>
                <w:lang w:eastAsia="en-GB"/>
              </w:rPr>
              <w:t>bar</w:t>
            </w:r>
            <w:proofErr w:type="gramEnd"/>
          </w:p>
        </w:tc>
      </w:tr>
      <w:tr w:rsidR="001A260A" w:rsidRPr="004651FF" w14:paraId="6F2B47B9" w14:textId="77777777" w:rsidTr="00347DA3">
        <w:trPr>
          <w:cantSplit/>
        </w:trPr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0A00" w14:textId="77777777" w:rsidR="001A260A" w:rsidRPr="001A260A" w:rsidRDefault="00BE32F3" w:rsidP="0091438B">
            <w:pPr>
              <w:keepLines/>
              <w:spacing w:before="40" w:after="40" w:line="240" w:lineRule="auto"/>
              <w:ind w:left="164"/>
              <w:rPr>
                <w:rFonts w:ascii="Calibri" w:eastAsia="Calibri" w:hAnsi="Calibri" w:cs="Calibri"/>
                <w:i/>
                <w:lang w:eastAsia="en-GB"/>
              </w:rPr>
            </w:pPr>
            <w:r w:rsidRPr="001A260A">
              <w:rPr>
                <w:i/>
                <w:iCs/>
                <w:color w:val="000000"/>
                <w:lang w:eastAsia="en-GB"/>
              </w:rPr>
              <w:t>Gaz comprimés ou gaz dissous sous pression n</w:t>
            </w:r>
            <w:r w:rsidR="0091438B">
              <w:rPr>
                <w:i/>
                <w:iCs/>
                <w:color w:val="000000"/>
                <w:lang w:eastAsia="en-GB"/>
              </w:rPr>
              <w:t>’</w:t>
            </w:r>
            <w:r w:rsidRPr="001A260A">
              <w:rPr>
                <w:i/>
                <w:iCs/>
                <w:color w:val="000000"/>
                <w:lang w:eastAsia="en-GB"/>
              </w:rPr>
              <w:t>ayant pas un</w:t>
            </w:r>
            <w:r w:rsidR="00C7608C">
              <w:rPr>
                <w:i/>
                <w:iCs/>
                <w:color w:val="000000"/>
                <w:lang w:eastAsia="en-GB"/>
              </w:rPr>
              <w:t> </w:t>
            </w:r>
            <w:r w:rsidRPr="001A260A">
              <w:rPr>
                <w:i/>
                <w:iCs/>
                <w:color w:val="000000"/>
                <w:lang w:eastAsia="en-GB"/>
              </w:rPr>
              <w:t>domaine d</w:t>
            </w:r>
            <w:r w:rsidR="0091438B">
              <w:rPr>
                <w:i/>
                <w:iCs/>
                <w:color w:val="000000"/>
                <w:lang w:eastAsia="en-GB"/>
              </w:rPr>
              <w:t>’</w:t>
            </w:r>
            <w:r w:rsidRPr="001A260A">
              <w:rPr>
                <w:i/>
                <w:iCs/>
                <w:color w:val="000000"/>
                <w:lang w:eastAsia="en-GB"/>
              </w:rPr>
              <w:t>inflammabilité en mélange avec l</w:t>
            </w:r>
            <w:r w:rsidR="0091438B">
              <w:rPr>
                <w:i/>
                <w:iCs/>
                <w:color w:val="000000"/>
                <w:lang w:eastAsia="en-GB"/>
              </w:rPr>
              <w:t>’</w:t>
            </w:r>
            <w:r w:rsidRPr="001A260A">
              <w:rPr>
                <w:i/>
                <w:iCs/>
                <w:color w:val="000000"/>
                <w:lang w:eastAsia="en-GB"/>
              </w:rPr>
              <w:t>air à 20</w:t>
            </w:r>
            <w:r w:rsidR="00C7608C">
              <w:rPr>
                <w:i/>
                <w:iCs/>
                <w:color w:val="000000"/>
                <w:lang w:eastAsia="en-GB"/>
              </w:rPr>
              <w:t> </w:t>
            </w:r>
            <w:r w:rsidRPr="001A260A">
              <w:rPr>
                <w:i/>
                <w:iCs/>
                <w:color w:val="000000"/>
                <w:lang w:eastAsia="en-GB"/>
              </w:rPr>
              <w:t>°C</w:t>
            </w:r>
            <w:r w:rsidR="00C7608C">
              <w:rPr>
                <w:i/>
                <w:iCs/>
                <w:color w:val="000000"/>
                <w:lang w:eastAsia="en-GB"/>
              </w:rPr>
              <w:t xml:space="preserve"> </w:t>
            </w:r>
            <w:r w:rsidRPr="001A260A">
              <w:rPr>
                <w:i/>
                <w:iCs/>
                <w:color w:val="000000"/>
                <w:lang w:eastAsia="en-GB"/>
              </w:rPr>
              <w:t>et</w:t>
            </w:r>
            <w:r w:rsidR="00C7608C">
              <w:rPr>
                <w:i/>
                <w:iCs/>
                <w:color w:val="000000"/>
                <w:lang w:eastAsia="en-GB"/>
              </w:rPr>
              <w:t> </w:t>
            </w:r>
            <w:r w:rsidRPr="001A260A">
              <w:rPr>
                <w:i/>
                <w:iCs/>
                <w:color w:val="000000"/>
                <w:lang w:eastAsia="en-GB"/>
              </w:rPr>
              <w:t>une pression normale de 1</w:t>
            </w:r>
            <w:r w:rsidR="00C7608C">
              <w:rPr>
                <w:i/>
                <w:iCs/>
                <w:color w:val="000000"/>
                <w:lang w:eastAsia="en-GB"/>
              </w:rPr>
              <w:t> </w:t>
            </w:r>
            <w:r w:rsidRPr="001A260A">
              <w:rPr>
                <w:i/>
                <w:iCs/>
                <w:color w:val="000000"/>
                <w:lang w:eastAsia="en-GB"/>
              </w:rPr>
              <w:t xml:space="preserve">013 </w:t>
            </w:r>
            <w:proofErr w:type="gramStart"/>
            <w:r w:rsidRPr="001A260A">
              <w:rPr>
                <w:i/>
                <w:iCs/>
                <w:color w:val="000000"/>
                <w:lang w:eastAsia="en-GB"/>
              </w:rPr>
              <w:t>bar</w:t>
            </w:r>
            <w:proofErr w:type="gramEnd"/>
          </w:p>
        </w:tc>
        <w:tc>
          <w:tcPr>
            <w:tcW w:w="2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60A4" w14:textId="77777777" w:rsidR="001A260A" w:rsidRPr="004651FF" w:rsidRDefault="001A260A" w:rsidP="0091438B">
            <w:pPr>
              <w:spacing w:before="40" w:after="40" w:line="240" w:lineRule="auto"/>
              <w:ind w:left="175" w:right="43"/>
              <w:jc w:val="center"/>
              <w:rPr>
                <w:rFonts w:ascii="Calibri" w:eastAsia="Calibri" w:hAnsi="Calibri" w:cs="Calibri"/>
                <w:i/>
                <w:lang w:eastAsia="en-GB"/>
              </w:rPr>
            </w:pPr>
            <w:r w:rsidRPr="004651FF">
              <w:rPr>
                <w:i/>
                <w:iCs/>
                <w:color w:val="000000"/>
                <w:lang w:eastAsia="en-GB"/>
              </w:rPr>
              <w:t xml:space="preserve">15 </w:t>
            </w:r>
            <w:proofErr w:type="gramStart"/>
            <w:r w:rsidRPr="004651FF">
              <w:rPr>
                <w:i/>
                <w:iCs/>
                <w:color w:val="000000"/>
                <w:lang w:eastAsia="en-GB"/>
              </w:rPr>
              <w:t>bar</w:t>
            </w:r>
            <w:proofErr w:type="gramEnd"/>
          </w:p>
        </w:tc>
      </w:tr>
    </w:tbl>
    <w:p w14:paraId="6A6B6B02" w14:textId="77777777" w:rsidR="001A260A" w:rsidRPr="001A260A" w:rsidRDefault="001A260A" w:rsidP="001A260A">
      <w:pPr>
        <w:pStyle w:val="SingleTxtG"/>
        <w:jc w:val="right"/>
      </w:pPr>
      <w:r>
        <w:t>».</w:t>
      </w:r>
    </w:p>
    <w:p w14:paraId="35F50DA9" w14:textId="77777777" w:rsidR="001A260A" w:rsidRPr="007E5A17" w:rsidRDefault="001A260A" w:rsidP="001A260A">
      <w:pPr>
        <w:pStyle w:val="SingleTxtG"/>
      </w:pPr>
      <w:r w:rsidRPr="007E5A17">
        <w:lastRenderedPageBreak/>
        <w:t>3.</w:t>
      </w:r>
      <w:r w:rsidRPr="007E5A17">
        <w:tab/>
      </w:r>
      <w:r w:rsidR="00DC5029" w:rsidRPr="001153A1">
        <w:t>À</w:t>
      </w:r>
      <w:r w:rsidRPr="001153A1">
        <w:t xml:space="preserve"> la suite de cette </w:t>
      </w:r>
      <w:r w:rsidRPr="007E5A17">
        <w:t xml:space="preserve">publication, </w:t>
      </w:r>
      <w:r w:rsidRPr="001153A1">
        <w:t xml:space="preserve">la </w:t>
      </w:r>
      <w:r w:rsidRPr="007E5A17">
        <w:t>FEA</w:t>
      </w:r>
      <w:r w:rsidRPr="001153A1">
        <w:t xml:space="preserve"> a proposé une Réunion commune de la Commission d</w:t>
      </w:r>
      <w:r w:rsidR="0091438B">
        <w:t>’</w:t>
      </w:r>
      <w:r w:rsidRPr="001153A1">
        <w:t xml:space="preserve">experts du RID et du Groupe de travail des transports de marchandises dangereuses </w:t>
      </w:r>
      <w:r>
        <w:t>(ci-après la Réunion commune) pour aligner les prescriptions du RID, de l</w:t>
      </w:r>
      <w:r w:rsidR="0091438B">
        <w:t>’</w:t>
      </w:r>
      <w:r>
        <w:t>ADR et de l</w:t>
      </w:r>
      <w:r w:rsidR="0091438B">
        <w:t>’</w:t>
      </w:r>
      <w:r>
        <w:t xml:space="preserve">ADN (voir les documents </w:t>
      </w:r>
      <w:r w:rsidRPr="007E5A17">
        <w:t xml:space="preserve">INF.5 </w:t>
      </w:r>
      <w:r w:rsidRPr="001153A1">
        <w:t xml:space="preserve">pour la session du printemps </w:t>
      </w:r>
      <w:r w:rsidRPr="007E5A17">
        <w:t xml:space="preserve">2018 </w:t>
      </w:r>
      <w:r w:rsidRPr="001153A1">
        <w:t xml:space="preserve">et </w:t>
      </w:r>
      <w:r w:rsidRPr="007E5A17">
        <w:t xml:space="preserve">ECE/TRANS/WP.15/AC.1/2018/17 </w:t>
      </w:r>
      <w:r>
        <w:t>pour la session de l</w:t>
      </w:r>
      <w:r w:rsidR="0091438B">
        <w:t>’</w:t>
      </w:r>
      <w:r>
        <w:t xml:space="preserve">automne </w:t>
      </w:r>
      <w:r w:rsidRPr="007E5A17">
        <w:t>2018).</w:t>
      </w:r>
    </w:p>
    <w:p w14:paraId="1519CF62" w14:textId="77777777" w:rsidR="001A260A" w:rsidRPr="007E5A17" w:rsidRDefault="001A260A" w:rsidP="001A260A">
      <w:pPr>
        <w:pStyle w:val="SingleTxtG"/>
      </w:pPr>
      <w:r w:rsidRPr="007E5A17">
        <w:t>4.</w:t>
      </w:r>
      <w:r w:rsidRPr="007E5A17">
        <w:tab/>
      </w:r>
      <w:r w:rsidRPr="00B23ABD">
        <w:t xml:space="preserve">Lors de </w:t>
      </w:r>
      <w:r w:rsidR="002357FA">
        <w:t xml:space="preserve">la </w:t>
      </w:r>
      <w:r w:rsidRPr="00B23ABD">
        <w:t>session d</w:t>
      </w:r>
      <w:r>
        <w:t>e l</w:t>
      </w:r>
      <w:r w:rsidR="0091438B">
        <w:t>’</w:t>
      </w:r>
      <w:r w:rsidRPr="00B23ABD">
        <w:t xml:space="preserve">automne </w:t>
      </w:r>
      <w:r w:rsidRPr="007E5A17">
        <w:t xml:space="preserve">2018, </w:t>
      </w:r>
      <w:r w:rsidRPr="00B23ABD">
        <w:t>la Réunion commune a</w:t>
      </w:r>
      <w:r>
        <w:t xml:space="preserve"> accepté, pour augmenter </w:t>
      </w:r>
      <w:r w:rsidRPr="00B23ABD">
        <w:t>la pression intérieure maximale autorisée pour les générateurs d</w:t>
      </w:r>
      <w:r w:rsidR="0091438B">
        <w:t>’</w:t>
      </w:r>
      <w:r w:rsidRPr="00B23ABD">
        <w:t>aérosols</w:t>
      </w:r>
      <w:r>
        <w:t xml:space="preserve">, de modifier la première </w:t>
      </w:r>
      <w:r w:rsidRPr="00B23ABD">
        <w:t>phrase du paragraphe 6.2.6.1.5</w:t>
      </w:r>
      <w:r>
        <w:t xml:space="preserve"> comme suit</w:t>
      </w:r>
      <w:r w:rsidR="00DC5029">
        <w:t> </w:t>
      </w:r>
      <w:r w:rsidRPr="007E5A17">
        <w:t>:</w:t>
      </w:r>
    </w:p>
    <w:p w14:paraId="1A35A4EA" w14:textId="77777777" w:rsidR="001A260A" w:rsidRPr="007E5A17" w:rsidRDefault="001A260A" w:rsidP="001A260A">
      <w:pPr>
        <w:pStyle w:val="SingleTxtG"/>
        <w:ind w:left="1701"/>
      </w:pPr>
      <w:r>
        <w:rPr>
          <w:color w:val="000000"/>
          <w:lang w:eastAsia="en-GB"/>
        </w:rPr>
        <w:t>« </w:t>
      </w:r>
      <w:r w:rsidRPr="00C7608C">
        <w:rPr>
          <w:i/>
          <w:color w:val="000000"/>
          <w:lang w:eastAsia="en-GB"/>
        </w:rPr>
        <w:t>La pression intérieure des générateurs d</w:t>
      </w:r>
      <w:r w:rsidR="0091438B" w:rsidRPr="00C7608C">
        <w:rPr>
          <w:i/>
          <w:color w:val="000000"/>
          <w:lang w:eastAsia="en-GB"/>
        </w:rPr>
        <w:t>’</w:t>
      </w:r>
      <w:r w:rsidRPr="00C7608C">
        <w:rPr>
          <w:i/>
          <w:color w:val="000000"/>
          <w:lang w:eastAsia="en-GB"/>
        </w:rPr>
        <w:t>aérosols à 50 °C ne doit dépasser ni les deux tiers de la pression d</w:t>
      </w:r>
      <w:r w:rsidR="0091438B" w:rsidRPr="00C7608C">
        <w:rPr>
          <w:i/>
          <w:color w:val="000000"/>
          <w:lang w:eastAsia="en-GB"/>
        </w:rPr>
        <w:t>’</w:t>
      </w:r>
      <w:r w:rsidRPr="00C7608C">
        <w:rPr>
          <w:i/>
          <w:color w:val="000000"/>
          <w:lang w:eastAsia="en-GB"/>
        </w:rPr>
        <w:t xml:space="preserve">épreuve ni 1,2 MPa (12 </w:t>
      </w:r>
      <w:proofErr w:type="gramStart"/>
      <w:r w:rsidRPr="00C7608C">
        <w:rPr>
          <w:i/>
          <w:color w:val="000000"/>
          <w:lang w:eastAsia="en-GB"/>
        </w:rPr>
        <w:t>bar</w:t>
      </w:r>
      <w:proofErr w:type="gramEnd"/>
      <w:r w:rsidRPr="00C7608C">
        <w:rPr>
          <w:i/>
          <w:color w:val="000000"/>
          <w:lang w:eastAsia="en-GB"/>
        </w:rPr>
        <w:t xml:space="preserve">) en cas </w:t>
      </w:r>
      <w:r w:rsidRPr="00C7608C">
        <w:rPr>
          <w:i/>
          <w:lang w:eastAsia="en-GB"/>
        </w:rPr>
        <w:t>d</w:t>
      </w:r>
      <w:r w:rsidR="0091438B" w:rsidRPr="00C7608C">
        <w:rPr>
          <w:i/>
          <w:lang w:eastAsia="en-GB"/>
        </w:rPr>
        <w:t>’</w:t>
      </w:r>
      <w:r w:rsidRPr="00C7608C">
        <w:rPr>
          <w:i/>
          <w:lang w:eastAsia="en-GB"/>
        </w:rPr>
        <w:t>utilisation</w:t>
      </w:r>
      <w:r w:rsidRPr="00C7608C">
        <w:rPr>
          <w:i/>
          <w:color w:val="000000"/>
          <w:lang w:eastAsia="en-GB"/>
        </w:rPr>
        <w:t xml:space="preserve"> de gaz liquéfié inflammable, 1,32 MPa (13,2 bar) en cas d</w:t>
      </w:r>
      <w:r w:rsidR="0091438B" w:rsidRPr="00C7608C">
        <w:rPr>
          <w:i/>
          <w:color w:val="000000"/>
          <w:lang w:eastAsia="en-GB"/>
        </w:rPr>
        <w:t>’</w:t>
      </w:r>
      <w:r w:rsidRPr="00C7608C">
        <w:rPr>
          <w:i/>
          <w:color w:val="000000"/>
          <w:lang w:eastAsia="en-GB"/>
        </w:rPr>
        <w:t>utilisation de gaz liquéfié non inflammable et 1,5 MPa (15 bar) en cas d</w:t>
      </w:r>
      <w:r w:rsidR="0091438B" w:rsidRPr="00C7608C">
        <w:rPr>
          <w:i/>
          <w:color w:val="000000"/>
          <w:lang w:eastAsia="en-GB"/>
        </w:rPr>
        <w:t>’</w:t>
      </w:r>
      <w:r w:rsidRPr="00C7608C">
        <w:rPr>
          <w:i/>
          <w:color w:val="000000"/>
          <w:lang w:eastAsia="en-GB"/>
        </w:rPr>
        <w:t>utilisation de gaz comprimé ou dissous non inflammable.</w:t>
      </w:r>
      <w:r>
        <w:rPr>
          <w:color w:val="000000"/>
          <w:lang w:eastAsia="en-GB"/>
        </w:rPr>
        <w:t> »</w:t>
      </w:r>
      <w:r w:rsidRPr="00B23ABD">
        <w:rPr>
          <w:color w:val="000000"/>
          <w:lang w:eastAsia="en-GB"/>
        </w:rPr>
        <w:t>.</w:t>
      </w:r>
    </w:p>
    <w:p w14:paraId="17047555" w14:textId="74191A38" w:rsidR="001A260A" w:rsidRDefault="001A260A" w:rsidP="001A260A">
      <w:pPr>
        <w:pStyle w:val="SingleTxtG"/>
      </w:pPr>
      <w:r w:rsidRPr="007E5A17">
        <w:t>5.</w:t>
      </w:r>
      <w:r w:rsidRPr="007E5A17">
        <w:tab/>
      </w:r>
      <w:r w:rsidRPr="00B23ABD">
        <w:t>La Réunion commune a en outre invit</w:t>
      </w:r>
      <w:r>
        <w:t>é</w:t>
      </w:r>
      <w:r w:rsidRPr="00B23ABD">
        <w:t xml:space="preserve"> le représentant de</w:t>
      </w:r>
      <w:r>
        <w:t xml:space="preserve"> la FEA à s</w:t>
      </w:r>
      <w:r w:rsidR="0091438B">
        <w:t>’</w:t>
      </w:r>
      <w:r>
        <w:t>interroger sur la nécessité d</w:t>
      </w:r>
      <w:r w:rsidR="0091438B">
        <w:t>’</w:t>
      </w:r>
      <w:r>
        <w:t>aborder la question dans une perspective multimodale et l</w:t>
      </w:r>
      <w:r w:rsidR="0091438B">
        <w:t>’</w:t>
      </w:r>
      <w:r>
        <w:t>a invité à soumettre au Sous-</w:t>
      </w:r>
      <w:r w:rsidR="00D662C9">
        <w:t>C</w:t>
      </w:r>
      <w:r>
        <w:t>omité une proposition visant à permettre aux mêmes dispositions de s</w:t>
      </w:r>
      <w:r w:rsidR="0091438B">
        <w:t>’</w:t>
      </w:r>
      <w:r>
        <w:t>appliquer partout dans le monde.</w:t>
      </w:r>
    </w:p>
    <w:p w14:paraId="21160CEE" w14:textId="77777777" w:rsidR="001A260A" w:rsidRPr="009E6744" w:rsidRDefault="001A260A" w:rsidP="001A260A">
      <w:pPr>
        <w:pStyle w:val="HChG"/>
      </w:pPr>
      <w:r w:rsidRPr="007E5A17">
        <w:tab/>
      </w:r>
      <w:r w:rsidRPr="007E5A17">
        <w:tab/>
      </w:r>
      <w:r w:rsidRPr="009E6744">
        <w:t>Proposition</w:t>
      </w:r>
    </w:p>
    <w:p w14:paraId="65FAD223" w14:textId="77777777" w:rsidR="001A260A" w:rsidRDefault="001A260A" w:rsidP="001A260A">
      <w:pPr>
        <w:pStyle w:val="SingleTxtG"/>
      </w:pPr>
      <w:r w:rsidRPr="007E5A17">
        <w:t>6.</w:t>
      </w:r>
      <w:r w:rsidRPr="007E5A17">
        <w:tab/>
      </w:r>
      <w:r w:rsidRPr="00760642">
        <w:t xml:space="preserve">La </w:t>
      </w:r>
      <w:r w:rsidRPr="007E5A17">
        <w:t xml:space="preserve">FEA </w:t>
      </w:r>
      <w:r w:rsidRPr="00760642">
        <w:t>et l</w:t>
      </w:r>
      <w:r w:rsidR="0091438B">
        <w:t>’</w:t>
      </w:r>
      <w:r w:rsidRPr="007E5A17">
        <w:t>HCPA (</w:t>
      </w:r>
      <w:r w:rsidRPr="00760642">
        <w:t xml:space="preserve">anciennement </w:t>
      </w:r>
      <w:r w:rsidR="002357FA">
        <w:t>« </w:t>
      </w:r>
      <w:r w:rsidRPr="007E5A17">
        <w:t>Consumer Specialty Products Association (CSPA)</w:t>
      </w:r>
      <w:r w:rsidR="002357FA">
        <w:t> »</w:t>
      </w:r>
      <w:r w:rsidRPr="007E5A17">
        <w:t xml:space="preserve">) </w:t>
      </w:r>
      <w:r w:rsidRPr="00760642">
        <w:t>ont donc proposé de modifier la disposition spéciale</w:t>
      </w:r>
      <w:r>
        <w:t xml:space="preserve"> 63, qui s</w:t>
      </w:r>
      <w:r w:rsidR="0091438B">
        <w:t>’</w:t>
      </w:r>
      <w:r>
        <w:t xml:space="preserve">applique </w:t>
      </w:r>
      <w:r w:rsidRPr="007B0350">
        <w:t>à tous</w:t>
      </w:r>
      <w:r>
        <w:t xml:space="preserve"> les </w:t>
      </w:r>
      <w:r w:rsidRPr="007B0350">
        <w:t>générateur</w:t>
      </w:r>
      <w:r>
        <w:t>s d</w:t>
      </w:r>
      <w:r w:rsidR="0091438B">
        <w:t>’</w:t>
      </w:r>
      <w:r w:rsidRPr="007B0350">
        <w:t>aérosol</w:t>
      </w:r>
      <w:r>
        <w:t>, en lui ajoutant un nouvel alinéa h) (en caractères gras) ainsi conçu</w:t>
      </w:r>
      <w:r w:rsidR="00DC5029">
        <w:t> </w:t>
      </w:r>
      <w:r w:rsidRPr="007E5A17">
        <w:t xml:space="preserve">: </w:t>
      </w:r>
    </w:p>
    <w:p w14:paraId="625C7416" w14:textId="77777777" w:rsidR="001A260A" w:rsidRPr="001A260A" w:rsidRDefault="001A260A" w:rsidP="001A260A">
      <w:pPr>
        <w:pStyle w:val="SingleTxtG"/>
        <w:ind w:left="1701"/>
        <w:rPr>
          <w:u w:val="single"/>
        </w:rPr>
      </w:pPr>
      <w:r w:rsidRPr="001A260A">
        <w:rPr>
          <w:u w:val="single"/>
        </w:rPr>
        <w:t>Option 1 (simplifiée)</w:t>
      </w:r>
    </w:p>
    <w:p w14:paraId="0FDE5500" w14:textId="77777777" w:rsidR="001A260A" w:rsidRPr="00F75C87" w:rsidRDefault="001A260A" w:rsidP="001A260A">
      <w:pPr>
        <w:pStyle w:val="SingleTxtG"/>
        <w:ind w:left="1701"/>
      </w:pPr>
      <w:r>
        <w:t>« </w:t>
      </w:r>
      <w:r w:rsidRPr="009E6744">
        <w:t>La division de la classe</w:t>
      </w:r>
      <w:r w:rsidR="00DC5029">
        <w:t> </w:t>
      </w:r>
      <w:r w:rsidRPr="009E6744">
        <w:t>2 et les risques subsidiaires dépendent de la nature du contenu du générateur d</w:t>
      </w:r>
      <w:r w:rsidR="0091438B">
        <w:t>’</w:t>
      </w:r>
      <w:r w:rsidRPr="009E6744">
        <w:t xml:space="preserve">aérosol. </w:t>
      </w:r>
      <w:r w:rsidRPr="00F75C87">
        <w:t xml:space="preserve">Les dispositions suivantes doivent </w:t>
      </w:r>
      <w:r>
        <w:t xml:space="preserve">être </w:t>
      </w:r>
      <w:r w:rsidRPr="00F75C87">
        <w:t>appliqu</w:t>
      </w:r>
      <w:r>
        <w:t>é</w:t>
      </w:r>
      <w:r w:rsidRPr="00F75C87">
        <w:t>e</w:t>
      </w:r>
      <w:r>
        <w:t>s</w:t>
      </w:r>
      <w:r w:rsidR="00DC5029">
        <w:t> </w:t>
      </w:r>
      <w:r w:rsidRPr="00F75C87">
        <w:t>:</w:t>
      </w:r>
    </w:p>
    <w:p w14:paraId="5F6F8EC8" w14:textId="77777777" w:rsidR="001A260A" w:rsidRPr="007E5A17" w:rsidRDefault="001A260A" w:rsidP="001A260A">
      <w:pPr>
        <w:pStyle w:val="SingleTxtG"/>
        <w:ind w:left="1701"/>
      </w:pPr>
      <w:r w:rsidRPr="007E5A17">
        <w:t>[</w:t>
      </w:r>
      <w:r>
        <w:rPr>
          <w:i/>
        </w:rPr>
        <w:t>L</w:t>
      </w:r>
      <w:r w:rsidRPr="001A260A">
        <w:rPr>
          <w:i/>
        </w:rPr>
        <w:t>es alinéas a) à g) restent inchangés</w:t>
      </w:r>
      <w:r>
        <w:rPr>
          <w:i/>
        </w:rPr>
        <w:t>.</w:t>
      </w:r>
      <w:r w:rsidRPr="007E5A17">
        <w:t>]</w:t>
      </w:r>
    </w:p>
    <w:p w14:paraId="55C567D2" w14:textId="35281422" w:rsidR="001A260A" w:rsidRPr="001A260A" w:rsidRDefault="00347DA3" w:rsidP="001A260A">
      <w:pPr>
        <w:pStyle w:val="SingleTxtG"/>
        <w:ind w:left="1701"/>
        <w:rPr>
          <w:b/>
          <w:color w:val="000000"/>
          <w:lang w:eastAsia="en-GB"/>
        </w:rPr>
      </w:pPr>
      <w:r>
        <w:rPr>
          <w:b/>
        </w:rPr>
        <w:tab/>
      </w:r>
      <w:r w:rsidR="001A260A" w:rsidRPr="001A260A">
        <w:rPr>
          <w:b/>
        </w:rPr>
        <w:t>h)</w:t>
      </w:r>
      <w:r w:rsidR="001A260A" w:rsidRPr="001A260A">
        <w:rPr>
          <w:b/>
        </w:rPr>
        <w:tab/>
        <w:t>La pression intérieure des générateurs d</w:t>
      </w:r>
      <w:r w:rsidR="0091438B">
        <w:rPr>
          <w:b/>
        </w:rPr>
        <w:t>’</w:t>
      </w:r>
      <w:r w:rsidR="001A260A" w:rsidRPr="001A260A">
        <w:rPr>
          <w:b/>
        </w:rPr>
        <w:t xml:space="preserve">aérosols à 50 °C ne doit pas dépasser </w:t>
      </w:r>
      <w:r w:rsidR="001A260A" w:rsidRPr="001A260A">
        <w:rPr>
          <w:b/>
          <w:bCs/>
          <w:color w:val="000000"/>
          <w:lang w:eastAsia="en-GB"/>
        </w:rPr>
        <w:t xml:space="preserve">1,5 MPa (15 </w:t>
      </w:r>
      <w:proofErr w:type="gramStart"/>
      <w:r w:rsidR="001A260A" w:rsidRPr="001A260A">
        <w:rPr>
          <w:b/>
          <w:bCs/>
          <w:color w:val="000000"/>
          <w:lang w:eastAsia="en-GB"/>
        </w:rPr>
        <w:t>bar</w:t>
      </w:r>
      <w:proofErr w:type="gramEnd"/>
      <w:r w:rsidR="001A260A" w:rsidRPr="001A260A">
        <w:rPr>
          <w:b/>
          <w:bCs/>
          <w:color w:val="000000"/>
          <w:lang w:eastAsia="en-GB"/>
        </w:rPr>
        <w:t>)</w:t>
      </w:r>
      <w:r w:rsidR="001A260A" w:rsidRPr="001A260A">
        <w:rPr>
          <w:b/>
          <w:color w:val="000000"/>
          <w:lang w:eastAsia="en-GB"/>
        </w:rPr>
        <w:t>.</w:t>
      </w:r>
    </w:p>
    <w:p w14:paraId="112CC2FA" w14:textId="6564A7E6" w:rsidR="001A260A" w:rsidRDefault="001A260A" w:rsidP="001A260A">
      <w:pPr>
        <w:pStyle w:val="SingleTxtG"/>
        <w:ind w:left="1701"/>
      </w:pPr>
      <w:r w:rsidRPr="00852D47">
        <w:t xml:space="preserve">Les composants inflammables </w:t>
      </w:r>
      <w:r w:rsidRPr="007E5A17">
        <w:t>…</w:t>
      </w:r>
      <w:r w:rsidR="008F2631">
        <w:t xml:space="preserve"> </w:t>
      </w:r>
      <w:r w:rsidRPr="007E5A17">
        <w:t>o</w:t>
      </w:r>
      <w:r w:rsidRPr="00852D47">
        <w:t>u</w:t>
      </w:r>
      <w:r w:rsidRPr="007E5A17">
        <w:t xml:space="preserve"> NFPA 30 B. [</w:t>
      </w:r>
      <w:r w:rsidRPr="00C7608C">
        <w:rPr>
          <w:i/>
        </w:rPr>
        <w:t>inchangé</w:t>
      </w:r>
      <w:r w:rsidRPr="007E5A17">
        <w:t>]</w:t>
      </w:r>
      <w:r>
        <w:t> ».</w:t>
      </w:r>
    </w:p>
    <w:p w14:paraId="7D40A292" w14:textId="77777777" w:rsidR="001A260A" w:rsidRPr="007E5A17" w:rsidRDefault="001A260A" w:rsidP="001A260A">
      <w:pPr>
        <w:pStyle w:val="SingleTxtG"/>
        <w:ind w:left="1701"/>
      </w:pPr>
      <w:r w:rsidRPr="009E6744">
        <w:rPr>
          <w:bCs/>
          <w:u w:val="single"/>
        </w:rPr>
        <w:t>Option 2 (</w:t>
      </w:r>
      <w:r w:rsidRPr="001A260A">
        <w:rPr>
          <w:u w:val="single"/>
        </w:rPr>
        <w:t>détaillée</w:t>
      </w:r>
      <w:r w:rsidRPr="009E6744">
        <w:rPr>
          <w:bCs/>
          <w:u w:val="single"/>
        </w:rPr>
        <w:t>)</w:t>
      </w:r>
    </w:p>
    <w:p w14:paraId="33A9AC42" w14:textId="77777777" w:rsidR="001A260A" w:rsidRPr="007E5A17" w:rsidRDefault="00C7608C" w:rsidP="001A260A">
      <w:pPr>
        <w:pStyle w:val="SingleTxtG"/>
        <w:ind w:left="1701"/>
      </w:pPr>
      <w:r>
        <w:t>« </w:t>
      </w:r>
      <w:r w:rsidR="001A260A" w:rsidRPr="00F75C87">
        <w:t>La division de la classe 2 et les risques subsidiaires dépendent de la nature du contenu du générateur d</w:t>
      </w:r>
      <w:r w:rsidR="0091438B">
        <w:t>’</w:t>
      </w:r>
      <w:r w:rsidR="001A260A" w:rsidRPr="00F75C87">
        <w:t xml:space="preserve">aérosol. Les dispositions suivantes doivent </w:t>
      </w:r>
      <w:r w:rsidR="001A260A">
        <w:t>être a</w:t>
      </w:r>
      <w:r w:rsidR="001A260A" w:rsidRPr="00F75C87">
        <w:t>ppliqu</w:t>
      </w:r>
      <w:r w:rsidR="001A260A">
        <w:t>é</w:t>
      </w:r>
      <w:r w:rsidR="001A260A" w:rsidRPr="00F75C87">
        <w:t>e</w:t>
      </w:r>
      <w:r w:rsidR="001A260A">
        <w:t>s</w:t>
      </w:r>
      <w:r w:rsidR="00DC5029">
        <w:t> </w:t>
      </w:r>
      <w:r w:rsidR="001A260A" w:rsidRPr="007E5A17">
        <w:t>:</w:t>
      </w:r>
    </w:p>
    <w:p w14:paraId="0F422524" w14:textId="77777777" w:rsidR="001A260A" w:rsidRPr="007E5A17" w:rsidRDefault="001A260A" w:rsidP="001A260A">
      <w:pPr>
        <w:pStyle w:val="SingleTxtG"/>
        <w:ind w:left="1701"/>
      </w:pPr>
      <w:r w:rsidRPr="007E5A17">
        <w:t>[</w:t>
      </w:r>
      <w:r>
        <w:rPr>
          <w:i/>
        </w:rPr>
        <w:t>L</w:t>
      </w:r>
      <w:r w:rsidRPr="001A260A">
        <w:rPr>
          <w:i/>
        </w:rPr>
        <w:t>es alinéas a) à g) restent inchangés</w:t>
      </w:r>
      <w:r>
        <w:rPr>
          <w:i/>
        </w:rPr>
        <w:t>.</w:t>
      </w:r>
      <w:r w:rsidRPr="007E5A17">
        <w:t>]</w:t>
      </w:r>
    </w:p>
    <w:p w14:paraId="77977C4A" w14:textId="5D992DCC" w:rsidR="001A260A" w:rsidRDefault="00347DA3" w:rsidP="001A260A">
      <w:pPr>
        <w:pStyle w:val="SingleTxtG"/>
        <w:ind w:left="1701"/>
        <w:rPr>
          <w:b/>
        </w:rPr>
      </w:pPr>
      <w:r>
        <w:rPr>
          <w:b/>
        </w:rPr>
        <w:tab/>
      </w:r>
      <w:r w:rsidR="001A260A" w:rsidRPr="007E5A17">
        <w:rPr>
          <w:b/>
        </w:rPr>
        <w:t>h)</w:t>
      </w:r>
      <w:r w:rsidR="001A260A" w:rsidRPr="007E5A17">
        <w:rPr>
          <w:b/>
        </w:rPr>
        <w:tab/>
      </w:r>
      <w:r w:rsidR="001A260A" w:rsidRPr="00F75C87">
        <w:rPr>
          <w:b/>
        </w:rPr>
        <w:t xml:space="preserve">La pression intérieure des </w:t>
      </w:r>
      <w:r w:rsidR="001A260A" w:rsidRPr="001A260A">
        <w:rPr>
          <w:b/>
          <w:bCs/>
          <w:color w:val="000000"/>
          <w:lang w:eastAsia="en-GB"/>
        </w:rPr>
        <w:t>générateurs</w:t>
      </w:r>
      <w:r w:rsidR="001A260A" w:rsidRPr="00F75C87">
        <w:rPr>
          <w:b/>
        </w:rPr>
        <w:t xml:space="preserve"> d</w:t>
      </w:r>
      <w:r w:rsidR="0091438B">
        <w:rPr>
          <w:b/>
        </w:rPr>
        <w:t>’</w:t>
      </w:r>
      <w:r w:rsidR="001A260A" w:rsidRPr="00F75C87">
        <w:rPr>
          <w:b/>
        </w:rPr>
        <w:t xml:space="preserve">aérosols à 50 °C ne doit </w:t>
      </w:r>
      <w:r w:rsidR="001A260A">
        <w:rPr>
          <w:b/>
        </w:rPr>
        <w:t xml:space="preserve">pas </w:t>
      </w:r>
      <w:r w:rsidR="001A260A" w:rsidRPr="00F75C87">
        <w:rPr>
          <w:b/>
        </w:rPr>
        <w:t xml:space="preserve">dépasser 1,2 MPa (12 </w:t>
      </w:r>
      <w:proofErr w:type="gramStart"/>
      <w:r w:rsidR="001A260A" w:rsidRPr="00F75C87">
        <w:rPr>
          <w:b/>
        </w:rPr>
        <w:t>bar</w:t>
      </w:r>
      <w:proofErr w:type="gramEnd"/>
      <w:r w:rsidR="001A260A" w:rsidRPr="00F75C87">
        <w:rPr>
          <w:b/>
        </w:rPr>
        <w:t>) en cas d</w:t>
      </w:r>
      <w:r w:rsidR="0091438B">
        <w:rPr>
          <w:b/>
        </w:rPr>
        <w:t>’</w:t>
      </w:r>
      <w:r w:rsidR="001A260A" w:rsidRPr="00F75C87">
        <w:rPr>
          <w:b/>
        </w:rPr>
        <w:t>utilisation de gaz liquéfié inflammable, 1,32</w:t>
      </w:r>
      <w:r w:rsidR="002357FA">
        <w:rPr>
          <w:b/>
        </w:rPr>
        <w:t> </w:t>
      </w:r>
      <w:r w:rsidR="001A260A" w:rsidRPr="00F75C87">
        <w:rPr>
          <w:b/>
        </w:rPr>
        <w:t>MPa (13,2 bar) en cas d</w:t>
      </w:r>
      <w:r w:rsidR="0091438B">
        <w:rPr>
          <w:b/>
        </w:rPr>
        <w:t>’</w:t>
      </w:r>
      <w:r w:rsidR="001A260A" w:rsidRPr="00F75C87">
        <w:rPr>
          <w:b/>
        </w:rPr>
        <w:t>utilisation de gaz liquéfié non inflammable et 1,5</w:t>
      </w:r>
      <w:r w:rsidR="002357FA">
        <w:rPr>
          <w:b/>
        </w:rPr>
        <w:t> </w:t>
      </w:r>
      <w:r w:rsidR="001A260A" w:rsidRPr="00F75C87">
        <w:rPr>
          <w:b/>
        </w:rPr>
        <w:t>MPa (15 bar) en cas d</w:t>
      </w:r>
      <w:r w:rsidR="0091438B">
        <w:rPr>
          <w:b/>
        </w:rPr>
        <w:t>’</w:t>
      </w:r>
      <w:r w:rsidR="001A260A" w:rsidRPr="00F75C87">
        <w:rPr>
          <w:b/>
        </w:rPr>
        <w:t>utilisation de gaz comprimé ou dissous non</w:t>
      </w:r>
      <w:r w:rsidR="002357FA">
        <w:rPr>
          <w:b/>
        </w:rPr>
        <w:t> </w:t>
      </w:r>
      <w:r w:rsidR="001A260A" w:rsidRPr="00F75C87">
        <w:rPr>
          <w:b/>
        </w:rPr>
        <w:t>inflammable</w:t>
      </w:r>
      <w:r w:rsidR="001A260A">
        <w:rPr>
          <w:b/>
        </w:rPr>
        <w:t>.</w:t>
      </w:r>
    </w:p>
    <w:p w14:paraId="09881527" w14:textId="6189FE7D" w:rsidR="001A260A" w:rsidRDefault="001A260A" w:rsidP="001A260A">
      <w:pPr>
        <w:pStyle w:val="SingleTxtG"/>
        <w:ind w:left="1701"/>
      </w:pPr>
      <w:r w:rsidRPr="00852D47">
        <w:t>Les composants inflammables …</w:t>
      </w:r>
      <w:r w:rsidR="008F2631">
        <w:t xml:space="preserve"> </w:t>
      </w:r>
      <w:r w:rsidRPr="00852D47">
        <w:t>ou NFPA 30 B. [</w:t>
      </w:r>
      <w:r w:rsidRPr="00C7608C">
        <w:rPr>
          <w:i/>
        </w:rPr>
        <w:t>inchangé</w:t>
      </w:r>
      <w:r w:rsidRPr="00852D47">
        <w:t>]</w:t>
      </w:r>
      <w:r w:rsidR="00C7608C">
        <w:t> »</w:t>
      </w:r>
      <w:r>
        <w:t>.</w:t>
      </w:r>
    </w:p>
    <w:p w14:paraId="44A02CCB" w14:textId="77777777" w:rsidR="00446FE5" w:rsidRPr="001A260A" w:rsidRDefault="001A260A" w:rsidP="001A260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1A260A" w:rsidSect="001A260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044D8" w14:textId="77777777" w:rsidR="00724913" w:rsidRDefault="00724913" w:rsidP="00F95C08">
      <w:pPr>
        <w:spacing w:line="240" w:lineRule="auto"/>
      </w:pPr>
    </w:p>
  </w:endnote>
  <w:endnote w:type="continuationSeparator" w:id="0">
    <w:p w14:paraId="0C4FD046" w14:textId="77777777" w:rsidR="00724913" w:rsidRPr="00AC3823" w:rsidRDefault="00724913" w:rsidP="00AC3823">
      <w:pPr>
        <w:pStyle w:val="Footer"/>
      </w:pPr>
    </w:p>
  </w:endnote>
  <w:endnote w:type="continuationNotice" w:id="1">
    <w:p w14:paraId="2D54DAAB" w14:textId="77777777" w:rsidR="00724913" w:rsidRDefault="007249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6231" w14:textId="77777777" w:rsidR="001A260A" w:rsidRPr="001A260A" w:rsidRDefault="001A260A" w:rsidP="001A260A">
    <w:pPr>
      <w:pStyle w:val="Footer"/>
      <w:tabs>
        <w:tab w:val="right" w:pos="9638"/>
      </w:tabs>
    </w:pPr>
    <w:r w:rsidRPr="001A260A">
      <w:rPr>
        <w:b/>
        <w:sz w:val="18"/>
      </w:rPr>
      <w:fldChar w:fldCharType="begin"/>
    </w:r>
    <w:r w:rsidRPr="001A260A">
      <w:rPr>
        <w:b/>
        <w:sz w:val="18"/>
      </w:rPr>
      <w:instrText xml:space="preserve"> PAGE  \* MERGEFORMAT </w:instrText>
    </w:r>
    <w:r w:rsidRPr="001A260A">
      <w:rPr>
        <w:b/>
        <w:sz w:val="18"/>
      </w:rPr>
      <w:fldChar w:fldCharType="separate"/>
    </w:r>
    <w:r w:rsidRPr="001A260A">
      <w:rPr>
        <w:b/>
        <w:noProof/>
        <w:sz w:val="18"/>
      </w:rPr>
      <w:t>2</w:t>
    </w:r>
    <w:r w:rsidRPr="001A260A">
      <w:rPr>
        <w:b/>
        <w:sz w:val="18"/>
      </w:rPr>
      <w:fldChar w:fldCharType="end"/>
    </w:r>
    <w:r>
      <w:rPr>
        <w:b/>
        <w:sz w:val="18"/>
      </w:rPr>
      <w:tab/>
    </w:r>
    <w:r>
      <w:t>GE.19-04922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E515" w14:textId="77777777" w:rsidR="001A260A" w:rsidRPr="001A260A" w:rsidRDefault="001A260A" w:rsidP="001A260A">
    <w:pPr>
      <w:pStyle w:val="Footer"/>
      <w:tabs>
        <w:tab w:val="right" w:pos="9638"/>
      </w:tabs>
      <w:rPr>
        <w:b/>
        <w:sz w:val="18"/>
      </w:rPr>
    </w:pPr>
    <w:r>
      <w:t>GE.19-04922</w:t>
    </w:r>
    <w:r>
      <w:tab/>
    </w:r>
    <w:r w:rsidRPr="001A260A">
      <w:rPr>
        <w:b/>
        <w:sz w:val="18"/>
      </w:rPr>
      <w:fldChar w:fldCharType="begin"/>
    </w:r>
    <w:r w:rsidRPr="001A260A">
      <w:rPr>
        <w:b/>
        <w:sz w:val="18"/>
      </w:rPr>
      <w:instrText xml:space="preserve"> PAGE  \* MERGEFORMAT </w:instrText>
    </w:r>
    <w:r w:rsidRPr="001A260A">
      <w:rPr>
        <w:b/>
        <w:sz w:val="18"/>
      </w:rPr>
      <w:fldChar w:fldCharType="separate"/>
    </w:r>
    <w:r w:rsidRPr="001A260A">
      <w:rPr>
        <w:b/>
        <w:noProof/>
        <w:sz w:val="18"/>
      </w:rPr>
      <w:t>3</w:t>
    </w:r>
    <w:r w:rsidRPr="001A26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D6AB" w14:textId="77777777" w:rsidR="0068456F" w:rsidRPr="001A260A" w:rsidRDefault="001A260A" w:rsidP="001A260A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6A7BDDF" wp14:editId="5C2BE2E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04922  (</w:t>
    </w:r>
    <w:proofErr w:type="gramEnd"/>
    <w:r>
      <w:rPr>
        <w:sz w:val="20"/>
      </w:rPr>
      <w:t>F)    030419    090519</w:t>
    </w:r>
    <w:r>
      <w:rPr>
        <w:sz w:val="20"/>
      </w:rPr>
      <w:br/>
    </w:r>
    <w:r w:rsidRPr="001A260A">
      <w:rPr>
        <w:rFonts w:ascii="C39T30Lfz" w:hAnsi="C39T30Lfz"/>
        <w:sz w:val="56"/>
      </w:rPr>
      <w:t></w:t>
    </w:r>
    <w:r w:rsidRPr="001A260A">
      <w:rPr>
        <w:rFonts w:ascii="C39T30Lfz" w:hAnsi="C39T30Lfz"/>
        <w:sz w:val="56"/>
      </w:rPr>
      <w:t></w:t>
    </w:r>
    <w:r w:rsidRPr="001A260A">
      <w:rPr>
        <w:rFonts w:ascii="C39T30Lfz" w:hAnsi="C39T30Lfz"/>
        <w:sz w:val="56"/>
      </w:rPr>
      <w:t></w:t>
    </w:r>
    <w:r w:rsidRPr="001A260A">
      <w:rPr>
        <w:rFonts w:ascii="C39T30Lfz" w:hAnsi="C39T30Lfz"/>
        <w:sz w:val="56"/>
      </w:rPr>
      <w:t></w:t>
    </w:r>
    <w:r w:rsidRPr="001A260A">
      <w:rPr>
        <w:rFonts w:ascii="C39T30Lfz" w:hAnsi="C39T30Lfz"/>
        <w:sz w:val="56"/>
      </w:rPr>
      <w:t></w:t>
    </w:r>
    <w:r w:rsidRPr="001A260A">
      <w:rPr>
        <w:rFonts w:ascii="C39T30Lfz" w:hAnsi="C39T30Lfz"/>
        <w:sz w:val="56"/>
      </w:rPr>
      <w:t></w:t>
    </w:r>
    <w:r w:rsidRPr="001A260A">
      <w:rPr>
        <w:rFonts w:ascii="C39T30Lfz" w:hAnsi="C39T30Lfz"/>
        <w:sz w:val="56"/>
      </w:rPr>
      <w:t></w:t>
    </w:r>
    <w:r w:rsidRPr="001A260A">
      <w:rPr>
        <w:rFonts w:ascii="C39T30Lfz" w:hAnsi="C39T30Lfz"/>
        <w:sz w:val="56"/>
      </w:rPr>
      <w:t></w:t>
    </w:r>
    <w:r w:rsidRPr="001A260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DA28BEA" wp14:editId="5FDE823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9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9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74A5" w14:textId="77777777" w:rsidR="00724913" w:rsidRPr="00AC3823" w:rsidRDefault="0072491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3787A8" w14:textId="77777777" w:rsidR="00724913" w:rsidRPr="00AC3823" w:rsidRDefault="0072491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B36EDC" w14:textId="77777777" w:rsidR="00724913" w:rsidRPr="00AC3823" w:rsidRDefault="00724913">
      <w:pPr>
        <w:spacing w:line="240" w:lineRule="auto"/>
        <w:rPr>
          <w:sz w:val="2"/>
          <w:szCs w:val="2"/>
        </w:rPr>
      </w:pPr>
    </w:p>
  </w:footnote>
  <w:footnote w:id="2">
    <w:p w14:paraId="7635B178" w14:textId="77777777" w:rsidR="00E97C8F" w:rsidRPr="00E97C8F" w:rsidRDefault="00E97C8F">
      <w:pPr>
        <w:pStyle w:val="FootnoteText"/>
      </w:pPr>
      <w:r>
        <w:rPr>
          <w:rStyle w:val="FootnoteReference"/>
        </w:rPr>
        <w:tab/>
      </w:r>
      <w:r w:rsidRPr="00E97C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A6596">
        <w:t>Conformément au programme de travail du Sous-Comité pour la période 201</w:t>
      </w:r>
      <w:r>
        <w:t>9</w:t>
      </w:r>
      <w:r w:rsidRPr="005A6596">
        <w:t>-20</w:t>
      </w:r>
      <w:r>
        <w:t>20</w:t>
      </w:r>
      <w:r w:rsidRPr="005A6596">
        <w:t xml:space="preserve">, approuvé par le Comité à sa </w:t>
      </w:r>
      <w:r>
        <w:t>neuv</w:t>
      </w:r>
      <w:r w:rsidRPr="005A6596">
        <w:t>ième session (voir ST/SG/AC.10/C.3/10</w:t>
      </w:r>
      <w:r>
        <w:t>8</w:t>
      </w:r>
      <w:r w:rsidRPr="005A6596">
        <w:t>, par. </w:t>
      </w:r>
      <w:r>
        <w:t>141</w:t>
      </w:r>
      <w:r w:rsidRPr="005A6596">
        <w:t xml:space="preserve"> et ST/SG/AC.10/4</w:t>
      </w:r>
      <w:r>
        <w:t>6</w:t>
      </w:r>
      <w:r w:rsidRPr="005A6596">
        <w:t>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03ACA" w14:textId="7D2E215D" w:rsidR="001A260A" w:rsidRPr="001A260A" w:rsidRDefault="00095CBF">
    <w:pPr>
      <w:pStyle w:val="Header"/>
    </w:pPr>
    <w:fldSimple w:instr=" TITLE  \* MERGEFORMAT ">
      <w:r w:rsidR="00985B5B">
        <w:t>ST/SG/AC.10/C.3/2019/3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613F" w14:textId="6ACDEEDC" w:rsidR="001A260A" w:rsidRPr="001A260A" w:rsidRDefault="00095CBF" w:rsidP="001A260A">
    <w:pPr>
      <w:pStyle w:val="Header"/>
      <w:jc w:val="right"/>
    </w:pPr>
    <w:fldSimple w:instr=" TITLE  \* MERGEFORMAT ">
      <w:r w:rsidR="00985B5B">
        <w:t>ST/SG/AC.10/C.3/2019/3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13"/>
    <w:rsid w:val="00017F94"/>
    <w:rsid w:val="00023842"/>
    <w:rsid w:val="000305D3"/>
    <w:rsid w:val="000334F9"/>
    <w:rsid w:val="0007796D"/>
    <w:rsid w:val="00095CBF"/>
    <w:rsid w:val="000B7790"/>
    <w:rsid w:val="000E0A7A"/>
    <w:rsid w:val="00111F2F"/>
    <w:rsid w:val="00120DBC"/>
    <w:rsid w:val="00132EA9"/>
    <w:rsid w:val="0014365E"/>
    <w:rsid w:val="00176178"/>
    <w:rsid w:val="001A260A"/>
    <w:rsid w:val="001F525A"/>
    <w:rsid w:val="00223272"/>
    <w:rsid w:val="002357FA"/>
    <w:rsid w:val="0024779E"/>
    <w:rsid w:val="00281511"/>
    <w:rsid w:val="00283190"/>
    <w:rsid w:val="002832AC"/>
    <w:rsid w:val="002D7C93"/>
    <w:rsid w:val="00347DA3"/>
    <w:rsid w:val="00441C3B"/>
    <w:rsid w:val="00446FE5"/>
    <w:rsid w:val="00452396"/>
    <w:rsid w:val="0049621B"/>
    <w:rsid w:val="004E468C"/>
    <w:rsid w:val="005505B7"/>
    <w:rsid w:val="005543DD"/>
    <w:rsid w:val="00573BE5"/>
    <w:rsid w:val="00584DC4"/>
    <w:rsid w:val="00586ED3"/>
    <w:rsid w:val="00596AA9"/>
    <w:rsid w:val="0068456F"/>
    <w:rsid w:val="0071601D"/>
    <w:rsid w:val="00724913"/>
    <w:rsid w:val="007A62E6"/>
    <w:rsid w:val="00803F78"/>
    <w:rsid w:val="0080684C"/>
    <w:rsid w:val="00871C75"/>
    <w:rsid w:val="008776DC"/>
    <w:rsid w:val="008B40CD"/>
    <w:rsid w:val="008F2631"/>
    <w:rsid w:val="0091438B"/>
    <w:rsid w:val="009705C8"/>
    <w:rsid w:val="00985B5B"/>
    <w:rsid w:val="009C1CF4"/>
    <w:rsid w:val="00A30353"/>
    <w:rsid w:val="00A5373F"/>
    <w:rsid w:val="00AC3823"/>
    <w:rsid w:val="00AE323C"/>
    <w:rsid w:val="00B00181"/>
    <w:rsid w:val="00B00B0D"/>
    <w:rsid w:val="00B765F7"/>
    <w:rsid w:val="00BA0CA9"/>
    <w:rsid w:val="00BE32F3"/>
    <w:rsid w:val="00C02897"/>
    <w:rsid w:val="00C7608C"/>
    <w:rsid w:val="00D3439C"/>
    <w:rsid w:val="00D662C9"/>
    <w:rsid w:val="00DB1831"/>
    <w:rsid w:val="00DC5029"/>
    <w:rsid w:val="00DD3BFD"/>
    <w:rsid w:val="00DF6678"/>
    <w:rsid w:val="00E53B9D"/>
    <w:rsid w:val="00E9756F"/>
    <w:rsid w:val="00E97C8F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1AD087"/>
  <w15:docId w15:val="{8DEC1D24-BDEE-43BF-84E2-AE2D05B2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ST/SG/AC.10/C.3/2019/3</vt:lpstr>
      <vt:lpstr>ST/SG/AC.10/C.3/2019/3</vt:lpstr>
    </vt:vector>
  </TitlesOfParts>
  <Company>DCM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ST/SG/AC.10/C.3/2019/3</dc:title>
  <dc:subject/>
  <dc:creator>Julien OKRZESIK</dc:creator>
  <cp:keywords/>
  <cp:lastModifiedBy>Laurence Berthet</cp:lastModifiedBy>
  <cp:revision>3</cp:revision>
  <cp:lastPrinted>2019-05-09T08:28:00Z</cp:lastPrinted>
  <dcterms:created xsi:type="dcterms:W3CDTF">2019-05-09T08:28:00Z</dcterms:created>
  <dcterms:modified xsi:type="dcterms:W3CDTF">2019-05-09T08:28:00Z</dcterms:modified>
</cp:coreProperties>
</file>