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24247D" w14:paraId="17C43985" w14:textId="77777777" w:rsidTr="00F01738">
        <w:trPr>
          <w:trHeight w:hRule="exact" w:val="851"/>
        </w:trPr>
        <w:tc>
          <w:tcPr>
            <w:tcW w:w="1276" w:type="dxa"/>
            <w:tcBorders>
              <w:bottom w:val="single" w:sz="4" w:space="0" w:color="auto"/>
            </w:tcBorders>
          </w:tcPr>
          <w:p w14:paraId="151B1352" w14:textId="77777777" w:rsidR="00132EA9" w:rsidRPr="00DB58B5" w:rsidRDefault="00132EA9" w:rsidP="002B60ED">
            <w:bookmarkStart w:id="0" w:name="_GoBack"/>
            <w:bookmarkEnd w:id="0"/>
          </w:p>
        </w:tc>
        <w:tc>
          <w:tcPr>
            <w:tcW w:w="2268" w:type="dxa"/>
            <w:tcBorders>
              <w:bottom w:val="single" w:sz="4" w:space="0" w:color="auto"/>
            </w:tcBorders>
            <w:vAlign w:val="bottom"/>
          </w:tcPr>
          <w:p w14:paraId="4AC0EBD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244050" w14:textId="77777777" w:rsidR="002B60ED" w:rsidRPr="002B60ED" w:rsidRDefault="002B60ED" w:rsidP="002B60ED">
            <w:pPr>
              <w:jc w:val="right"/>
              <w:rPr>
                <w:lang w:val="en-US"/>
              </w:rPr>
            </w:pPr>
            <w:r w:rsidRPr="002B60ED">
              <w:rPr>
                <w:sz w:val="40"/>
                <w:lang w:val="en-US"/>
              </w:rPr>
              <w:t>ST</w:t>
            </w:r>
            <w:r w:rsidRPr="002B60ED">
              <w:rPr>
                <w:lang w:val="en-US"/>
              </w:rPr>
              <w:t>/SG/AC.10/C.3/2019/32−</w:t>
            </w:r>
            <w:r w:rsidRPr="002B60ED">
              <w:rPr>
                <w:sz w:val="40"/>
                <w:lang w:val="en-US"/>
              </w:rPr>
              <w:t>ST</w:t>
            </w:r>
            <w:r w:rsidRPr="002B60ED">
              <w:rPr>
                <w:lang w:val="en-US"/>
              </w:rPr>
              <w:t>/SG/AC.10/C.4/2019/5</w:t>
            </w:r>
          </w:p>
        </w:tc>
      </w:tr>
      <w:tr w:rsidR="00132EA9" w:rsidRPr="00DB58B5" w14:paraId="38E169D4" w14:textId="77777777" w:rsidTr="00F01738">
        <w:trPr>
          <w:trHeight w:hRule="exact" w:val="2835"/>
        </w:trPr>
        <w:tc>
          <w:tcPr>
            <w:tcW w:w="1276" w:type="dxa"/>
            <w:tcBorders>
              <w:top w:val="single" w:sz="4" w:space="0" w:color="auto"/>
              <w:bottom w:val="single" w:sz="12" w:space="0" w:color="auto"/>
            </w:tcBorders>
          </w:tcPr>
          <w:p w14:paraId="5DDF71D7" w14:textId="77777777" w:rsidR="00132EA9" w:rsidRPr="00DB58B5" w:rsidRDefault="00132EA9" w:rsidP="00F01738">
            <w:pPr>
              <w:spacing w:before="120"/>
              <w:jc w:val="center"/>
            </w:pPr>
            <w:r>
              <w:rPr>
                <w:noProof/>
                <w:lang w:eastAsia="fr-CH"/>
              </w:rPr>
              <w:drawing>
                <wp:inline distT="0" distB="0" distL="0" distR="0" wp14:anchorId="619D23F6" wp14:editId="64797E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1F2CB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703E3CB" w14:textId="77777777" w:rsidR="00132EA9" w:rsidRDefault="002B60ED" w:rsidP="00F01738">
            <w:pPr>
              <w:spacing w:before="240"/>
            </w:pPr>
            <w:r>
              <w:t>Distr. générale</w:t>
            </w:r>
          </w:p>
          <w:p w14:paraId="5B469EC3" w14:textId="77777777" w:rsidR="002B60ED" w:rsidRDefault="002B60ED" w:rsidP="002B60ED">
            <w:pPr>
              <w:spacing w:line="240" w:lineRule="exact"/>
            </w:pPr>
            <w:r>
              <w:t>9 avril 2019</w:t>
            </w:r>
          </w:p>
          <w:p w14:paraId="3F458BA3" w14:textId="77777777" w:rsidR="002B60ED" w:rsidRDefault="002B60ED" w:rsidP="002B60ED">
            <w:pPr>
              <w:spacing w:line="240" w:lineRule="exact"/>
            </w:pPr>
            <w:r>
              <w:t>Français</w:t>
            </w:r>
          </w:p>
          <w:p w14:paraId="6A0ABC29" w14:textId="77777777" w:rsidR="002B60ED" w:rsidRPr="00DB58B5" w:rsidRDefault="002B60ED" w:rsidP="002B60ED">
            <w:pPr>
              <w:spacing w:line="240" w:lineRule="exact"/>
            </w:pPr>
            <w:r>
              <w:t>Original : anglais</w:t>
            </w:r>
          </w:p>
        </w:tc>
      </w:tr>
    </w:tbl>
    <w:p w14:paraId="3AA5CA4D" w14:textId="77777777" w:rsidR="002B60ED" w:rsidRPr="00CA0680" w:rsidRDefault="002B60ED" w:rsidP="000305D3">
      <w:pPr>
        <w:spacing w:before="120"/>
        <w:rPr>
          <w:b/>
          <w:sz w:val="24"/>
          <w:szCs w:val="24"/>
        </w:rPr>
      </w:pPr>
      <w:r w:rsidRPr="00CA0680">
        <w:rPr>
          <w:b/>
          <w:sz w:val="24"/>
          <w:szCs w:val="24"/>
        </w:rPr>
        <w:t>Comité d</w:t>
      </w:r>
      <w:r w:rsidR="006259F8">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6259F8">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2B60ED" w14:paraId="49911851" w14:textId="77777777" w:rsidTr="009C3129">
        <w:tc>
          <w:tcPr>
            <w:tcW w:w="4820" w:type="dxa"/>
          </w:tcPr>
          <w:p w14:paraId="054EAF1D" w14:textId="77777777" w:rsidR="002B60ED" w:rsidRDefault="002B60ED" w:rsidP="009C3129">
            <w:pPr>
              <w:spacing w:before="120"/>
              <w:rPr>
                <w:b/>
              </w:rPr>
            </w:pPr>
            <w:r w:rsidRPr="00CA0680">
              <w:rPr>
                <w:b/>
              </w:rPr>
              <w:t>Sous</w:t>
            </w:r>
            <w:r>
              <w:rPr>
                <w:b/>
              </w:rPr>
              <w:t>-</w:t>
            </w:r>
            <w:r w:rsidRPr="00CA0680">
              <w:rPr>
                <w:b/>
              </w:rPr>
              <w:t>Comité d</w:t>
            </w:r>
            <w:r w:rsidR="006259F8">
              <w:rPr>
                <w:b/>
              </w:rPr>
              <w:t>’</w:t>
            </w:r>
            <w:r w:rsidRPr="00CA0680">
              <w:rPr>
                <w:b/>
              </w:rPr>
              <w:t>experts du transport</w:t>
            </w:r>
            <w:r>
              <w:rPr>
                <w:b/>
              </w:rPr>
              <w:br/>
            </w:r>
            <w:r w:rsidRPr="00CA0680">
              <w:rPr>
                <w:b/>
              </w:rPr>
              <w:t>des marchandises dangereuses</w:t>
            </w:r>
          </w:p>
        </w:tc>
        <w:tc>
          <w:tcPr>
            <w:tcW w:w="4820" w:type="dxa"/>
          </w:tcPr>
          <w:p w14:paraId="36A0956C" w14:textId="77777777" w:rsidR="002B60ED" w:rsidRDefault="002B60ED" w:rsidP="009C3129">
            <w:pPr>
              <w:spacing w:before="120"/>
              <w:rPr>
                <w:b/>
              </w:rPr>
            </w:pPr>
            <w:r>
              <w:rPr>
                <w:b/>
              </w:rPr>
              <w:t>Sous-Comité d</w:t>
            </w:r>
            <w:r w:rsidR="006259F8">
              <w:rPr>
                <w:b/>
              </w:rPr>
              <w:t>’</w:t>
            </w:r>
            <w:r>
              <w:rPr>
                <w:b/>
              </w:rPr>
              <w:t>experts du Système général harmonisé de classification et d</w:t>
            </w:r>
            <w:r w:rsidR="006259F8">
              <w:rPr>
                <w:b/>
              </w:rPr>
              <w:t>’</w:t>
            </w:r>
            <w:r>
              <w:rPr>
                <w:b/>
              </w:rPr>
              <w:t>étiquetage des produits chimiques</w:t>
            </w:r>
          </w:p>
        </w:tc>
      </w:tr>
      <w:tr w:rsidR="002B60ED" w14:paraId="32E4A5EB" w14:textId="77777777" w:rsidTr="009C3129">
        <w:tc>
          <w:tcPr>
            <w:tcW w:w="4820" w:type="dxa"/>
          </w:tcPr>
          <w:p w14:paraId="5E5EAB39" w14:textId="77777777" w:rsidR="002B60ED" w:rsidRPr="00CA0680" w:rsidRDefault="002B60ED" w:rsidP="009C3129">
            <w:pPr>
              <w:spacing w:before="120"/>
              <w:rPr>
                <w:b/>
              </w:rPr>
            </w:pPr>
            <w:r w:rsidRPr="006E32D5">
              <w:rPr>
                <w:b/>
              </w:rPr>
              <w:t>Cinquante-cinquième</w:t>
            </w:r>
            <w:r>
              <w:rPr>
                <w:b/>
              </w:rPr>
              <w:t xml:space="preserve"> </w:t>
            </w:r>
            <w:r w:rsidRPr="00CA0680">
              <w:rPr>
                <w:b/>
              </w:rPr>
              <w:t>session</w:t>
            </w:r>
          </w:p>
        </w:tc>
        <w:tc>
          <w:tcPr>
            <w:tcW w:w="4820" w:type="dxa"/>
          </w:tcPr>
          <w:p w14:paraId="70DB94B4" w14:textId="77777777" w:rsidR="002B60ED" w:rsidRDefault="002B60ED" w:rsidP="009C3129">
            <w:pPr>
              <w:spacing w:before="120"/>
              <w:rPr>
                <w:b/>
              </w:rPr>
            </w:pPr>
            <w:r w:rsidRPr="006E32D5">
              <w:rPr>
                <w:b/>
              </w:rPr>
              <w:t>Trente-septième</w:t>
            </w:r>
            <w:r>
              <w:rPr>
                <w:b/>
              </w:rPr>
              <w:t xml:space="preserve"> session</w:t>
            </w:r>
          </w:p>
        </w:tc>
      </w:tr>
      <w:tr w:rsidR="002B60ED" w14:paraId="00BB1D33" w14:textId="77777777" w:rsidTr="009C3129">
        <w:tc>
          <w:tcPr>
            <w:tcW w:w="4820" w:type="dxa"/>
          </w:tcPr>
          <w:p w14:paraId="08BDEAD6" w14:textId="77777777" w:rsidR="002B60ED" w:rsidRDefault="002B60ED" w:rsidP="009C3129">
            <w:r>
              <w:t xml:space="preserve">Genève, </w:t>
            </w:r>
            <w:r w:rsidRPr="006E32D5">
              <w:t>1</w:t>
            </w:r>
            <w:r w:rsidRPr="006E32D5">
              <w:rPr>
                <w:vertAlign w:val="superscript"/>
              </w:rPr>
              <w:t>er</w:t>
            </w:r>
            <w:r>
              <w:t>-</w:t>
            </w:r>
            <w:r w:rsidRPr="006E32D5">
              <w:t>5 juillet 2019</w:t>
            </w:r>
          </w:p>
          <w:p w14:paraId="78E6CBA3" w14:textId="77777777" w:rsidR="002B60ED" w:rsidRDefault="002B60ED" w:rsidP="009C3129">
            <w:r>
              <w:t>Point </w:t>
            </w:r>
            <w:r w:rsidRPr="006E32D5">
              <w:t xml:space="preserve">2 h) </w:t>
            </w:r>
            <w:r>
              <w:t>de l</w:t>
            </w:r>
            <w:r w:rsidR="006259F8">
              <w:t>’</w:t>
            </w:r>
            <w:r>
              <w:t>ordre du jour provisoire</w:t>
            </w:r>
          </w:p>
          <w:p w14:paraId="491F1963" w14:textId="77777777" w:rsidR="002B60ED" w:rsidRPr="006E32D5" w:rsidRDefault="002B60ED" w:rsidP="002B60ED">
            <w:pPr>
              <w:rPr>
                <w:b/>
                <w:bCs/>
              </w:rPr>
            </w:pPr>
            <w:r w:rsidRPr="006E32D5">
              <w:rPr>
                <w:b/>
                <w:bCs/>
              </w:rPr>
              <w:t>Explosifs et questions connexes :</w:t>
            </w:r>
          </w:p>
          <w:p w14:paraId="491DB777" w14:textId="77777777" w:rsidR="002B60ED" w:rsidRPr="003B79D9" w:rsidRDefault="00C2533B" w:rsidP="002B60ED">
            <w:pPr>
              <w:rPr>
                <w:b/>
              </w:rPr>
            </w:pPr>
            <w:r>
              <w:rPr>
                <w:b/>
              </w:rPr>
              <w:t>R</w:t>
            </w:r>
            <w:r w:rsidR="002B60ED">
              <w:rPr>
                <w:b/>
              </w:rPr>
              <w:t>évision</w:t>
            </w:r>
            <w:r w:rsidR="002B60ED" w:rsidRPr="006E32D5">
              <w:rPr>
                <w:b/>
              </w:rPr>
              <w:t xml:space="preserve"> du chapitre</w:t>
            </w:r>
            <w:r w:rsidR="00F93AD6">
              <w:rPr>
                <w:b/>
              </w:rPr>
              <w:t> </w:t>
            </w:r>
            <w:r w:rsidR="002B60ED" w:rsidRPr="006E32D5">
              <w:rPr>
                <w:b/>
              </w:rPr>
              <w:t>2.1 du SGH</w:t>
            </w:r>
          </w:p>
        </w:tc>
        <w:tc>
          <w:tcPr>
            <w:tcW w:w="4820" w:type="dxa"/>
          </w:tcPr>
          <w:p w14:paraId="14143B88" w14:textId="77777777" w:rsidR="002B60ED" w:rsidRDefault="002B60ED" w:rsidP="009C3129">
            <w:r>
              <w:t>Genève, 8-10</w:t>
            </w:r>
            <w:r w:rsidRPr="006E32D5">
              <w:t> </w:t>
            </w:r>
            <w:r>
              <w:t>juillet 2019</w:t>
            </w:r>
          </w:p>
          <w:p w14:paraId="673C8813" w14:textId="77777777" w:rsidR="002B60ED" w:rsidRDefault="002B60ED" w:rsidP="009C3129">
            <w:r>
              <w:t>Point 2</w:t>
            </w:r>
            <w:r w:rsidRPr="006E32D5">
              <w:t xml:space="preserve"> b) </w:t>
            </w:r>
            <w:r>
              <w:t>de l</w:t>
            </w:r>
            <w:r w:rsidR="006259F8">
              <w:t>’</w:t>
            </w:r>
            <w:r>
              <w:t>ordre du jour provisoire</w:t>
            </w:r>
          </w:p>
          <w:p w14:paraId="183D3F89" w14:textId="77777777" w:rsidR="002B60ED" w:rsidRPr="003B79D9" w:rsidRDefault="002B60ED" w:rsidP="009C3129">
            <w:pPr>
              <w:rPr>
                <w:b/>
              </w:rPr>
            </w:pPr>
            <w:r w:rsidRPr="006E32D5">
              <w:rPr>
                <w:b/>
                <w:bCs/>
              </w:rPr>
              <w:t xml:space="preserve">Critères de classification et communication </w:t>
            </w:r>
            <w:r w:rsidRPr="006E32D5">
              <w:rPr>
                <w:b/>
                <w:bCs/>
              </w:rPr>
              <w:br/>
              <w:t>des dangers y relatifs : Révision du chapitre</w:t>
            </w:r>
            <w:r w:rsidR="00F93AD6">
              <w:rPr>
                <w:b/>
                <w:bCs/>
              </w:rPr>
              <w:t> </w:t>
            </w:r>
            <w:r w:rsidRPr="006E32D5">
              <w:rPr>
                <w:b/>
                <w:bCs/>
              </w:rPr>
              <w:t>2.1</w:t>
            </w:r>
          </w:p>
        </w:tc>
      </w:tr>
    </w:tbl>
    <w:p w14:paraId="255BEA5F" w14:textId="77777777" w:rsidR="002D3C0D" w:rsidRPr="006E32D5" w:rsidRDefault="00D92221" w:rsidP="00D92221">
      <w:pPr>
        <w:pStyle w:val="HChG"/>
      </w:pPr>
      <w:r>
        <w:tab/>
      </w:r>
      <w:r>
        <w:tab/>
      </w:r>
      <w:r w:rsidR="002D3C0D" w:rsidRPr="006E32D5">
        <w:t>Élaboration d</w:t>
      </w:r>
      <w:r w:rsidR="006259F8">
        <w:t>’</w:t>
      </w:r>
      <w:r w:rsidR="002D3C0D" w:rsidRPr="006E32D5">
        <w:t xml:space="preserve">un nouveau chapitre 2.1 </w:t>
      </w:r>
      <w:r w:rsidR="002D3C0D" w:rsidRPr="006E32D5">
        <w:rPr>
          <w:spacing w:val="-3"/>
        </w:rPr>
        <w:t>du SGH (</w:t>
      </w:r>
      <w:r w:rsidR="002D3C0D">
        <w:rPr>
          <w:spacing w:val="-3"/>
        </w:rPr>
        <w:t>explosifs</w:t>
      </w:r>
      <w:r w:rsidR="002D3C0D" w:rsidRPr="006E32D5">
        <w:rPr>
          <w:spacing w:val="-3"/>
        </w:rPr>
        <w:t>)</w:t>
      </w:r>
    </w:p>
    <w:p w14:paraId="523B04DF" w14:textId="77777777" w:rsidR="002D3C0D" w:rsidRPr="006E32D5" w:rsidRDefault="002D3C0D" w:rsidP="00D92221">
      <w:pPr>
        <w:pStyle w:val="H1G"/>
      </w:pPr>
      <w:r w:rsidRPr="006E32D5">
        <w:tab/>
      </w:r>
      <w:r w:rsidRPr="006E32D5">
        <w:tab/>
        <w:t>Communication de l</w:t>
      </w:r>
      <w:r w:rsidR="006259F8">
        <w:t>’</w:t>
      </w:r>
      <w:r w:rsidRPr="006E32D5">
        <w:t>expert de la Suède</w:t>
      </w:r>
      <w:r w:rsidR="00D92221" w:rsidRPr="00D92221">
        <w:rPr>
          <w:rStyle w:val="FootnoteReference"/>
          <w:b w:val="0"/>
          <w:sz w:val="20"/>
          <w:vertAlign w:val="baseline"/>
        </w:rPr>
        <w:footnoteReference w:customMarkFollows="1" w:id="2"/>
        <w:t>*</w:t>
      </w:r>
    </w:p>
    <w:p w14:paraId="3D36B37E" w14:textId="77777777" w:rsidR="002D3C0D" w:rsidRPr="006E32D5" w:rsidRDefault="00D92221" w:rsidP="00D92221">
      <w:pPr>
        <w:pStyle w:val="HChG"/>
      </w:pPr>
      <w:r>
        <w:tab/>
      </w:r>
      <w:r>
        <w:tab/>
      </w:r>
      <w:r w:rsidR="002D3C0D" w:rsidRPr="006E32D5">
        <w:t>Historique</w:t>
      </w:r>
    </w:p>
    <w:p w14:paraId="7690CE13" w14:textId="77777777" w:rsidR="002D3C0D" w:rsidRPr="006E32D5" w:rsidRDefault="00D92221" w:rsidP="00D92221">
      <w:pPr>
        <w:pStyle w:val="SingleTxtG"/>
        <w:rPr>
          <w:b/>
        </w:rPr>
      </w:pPr>
      <w:r>
        <w:t>1.</w:t>
      </w:r>
      <w:r w:rsidR="002D3C0D">
        <w:tab/>
      </w:r>
      <w:r w:rsidR="002D3C0D" w:rsidRPr="006E32D5">
        <w:t>L</w:t>
      </w:r>
      <w:r w:rsidR="002D3C0D">
        <w:t xml:space="preserve">a </w:t>
      </w:r>
      <w:r w:rsidR="002D3C0D" w:rsidRPr="006E32D5">
        <w:t>révision du chapitre</w:t>
      </w:r>
      <w:r>
        <w:t> </w:t>
      </w:r>
      <w:r w:rsidR="002D3C0D" w:rsidRPr="006E32D5">
        <w:t>2.1 du SGH (explosi</w:t>
      </w:r>
      <w:r w:rsidR="002D3C0D">
        <w:t>f</w:t>
      </w:r>
      <w:r w:rsidR="002D3C0D" w:rsidRPr="006E32D5">
        <w:t xml:space="preserve">s), qui </w:t>
      </w:r>
      <w:r w:rsidR="002D3C0D">
        <w:t>a</w:t>
      </w:r>
      <w:r w:rsidR="002D3C0D" w:rsidRPr="006E32D5">
        <w:t xml:space="preserve"> été lancé</w:t>
      </w:r>
      <w:r w:rsidR="002D3C0D">
        <w:t>e</w:t>
      </w:r>
      <w:r w:rsidR="002D3C0D" w:rsidRPr="006E32D5">
        <w:t xml:space="preserve"> par la vingt</w:t>
      </w:r>
      <w:r w:rsidR="00C2533B">
        <w:noBreakHyphen/>
      </w:r>
      <w:r w:rsidR="002D3C0D" w:rsidRPr="006E32D5">
        <w:t>neuvième session du Sous-Comité d</w:t>
      </w:r>
      <w:r w:rsidR="006259F8">
        <w:t>’</w:t>
      </w:r>
      <w:r w:rsidR="002D3C0D" w:rsidRPr="006E32D5">
        <w:t xml:space="preserve">experts du Système général harmonisé </w:t>
      </w:r>
      <w:r w:rsidR="002D3C0D">
        <w:t>a été confiée à</w:t>
      </w:r>
      <w:r w:rsidR="002D3C0D" w:rsidRPr="006E32D5">
        <w:t xml:space="preserve"> un groupe</w:t>
      </w:r>
      <w:r w:rsidR="002D3C0D">
        <w:t xml:space="preserve"> de travail</w:t>
      </w:r>
      <w:r w:rsidR="002D3C0D" w:rsidRPr="006E32D5">
        <w:t xml:space="preserve"> informel par correspondance, </w:t>
      </w:r>
      <w:r w:rsidR="002D3C0D">
        <w:t>dirigé par</w:t>
      </w:r>
      <w:r w:rsidR="002D3C0D" w:rsidRPr="006E32D5">
        <w:t xml:space="preserve"> l</w:t>
      </w:r>
      <w:r w:rsidR="006259F8">
        <w:t>’</w:t>
      </w:r>
      <w:r w:rsidR="002D3C0D" w:rsidRPr="006E32D5">
        <w:t>expert de la Suède</w:t>
      </w:r>
      <w:r w:rsidR="002D3C0D">
        <w:t>, dont l</w:t>
      </w:r>
      <w:r w:rsidR="002D3C0D" w:rsidRPr="006E32D5">
        <w:t>es travaux font l</w:t>
      </w:r>
      <w:r w:rsidR="006259F8">
        <w:t>’</w:t>
      </w:r>
      <w:r w:rsidR="002D3C0D" w:rsidRPr="006E32D5">
        <w:t>objet de rapports de situation depuis la trentième session du Sous</w:t>
      </w:r>
      <w:r w:rsidR="00C2533B">
        <w:noBreakHyphen/>
      </w:r>
      <w:r w:rsidR="002D3C0D" w:rsidRPr="006E32D5">
        <w:t>Comité</w:t>
      </w:r>
      <w:r w:rsidR="002D3C0D">
        <w:t xml:space="preserve"> du SGH</w:t>
      </w:r>
      <w:r>
        <w:rPr>
          <w:rStyle w:val="FootnoteReference"/>
        </w:rPr>
        <w:footnoteReference w:id="3"/>
      </w:r>
      <w:r w:rsidR="002D3C0D" w:rsidRPr="006E32D5">
        <w:t>.</w:t>
      </w:r>
    </w:p>
    <w:p w14:paraId="2C3E9EEC" w14:textId="77777777" w:rsidR="002D3C0D" w:rsidRPr="006E32D5" w:rsidRDefault="00D92221" w:rsidP="00D92221">
      <w:pPr>
        <w:pStyle w:val="SingleTxtG"/>
      </w:pPr>
      <w:r>
        <w:t>2.</w:t>
      </w:r>
      <w:r w:rsidR="002D3C0D">
        <w:tab/>
      </w:r>
      <w:r w:rsidR="002D3C0D" w:rsidRPr="006E32D5">
        <w:t xml:space="preserve">Au fil du temps, </w:t>
      </w:r>
      <w:r w:rsidR="002D3C0D">
        <w:t>l</w:t>
      </w:r>
      <w:r w:rsidR="002D3C0D" w:rsidRPr="006E32D5">
        <w:t xml:space="preserve">e travail </w:t>
      </w:r>
      <w:r w:rsidR="002D3C0D">
        <w:t xml:space="preserve">de révision </w:t>
      </w:r>
      <w:r w:rsidR="002D3C0D" w:rsidRPr="006E32D5">
        <w:t>s</w:t>
      </w:r>
      <w:r w:rsidR="006259F8">
        <w:t>’</w:t>
      </w:r>
      <w:r w:rsidR="002D3C0D" w:rsidRPr="006E32D5">
        <w:t>est peu-à-peu transformé en travail d</w:t>
      </w:r>
      <w:r w:rsidR="006259F8">
        <w:t>’</w:t>
      </w:r>
      <w:r w:rsidR="002D3C0D" w:rsidRPr="006E32D5">
        <w:t>élaboration d</w:t>
      </w:r>
      <w:r w:rsidR="006259F8">
        <w:t>’</w:t>
      </w:r>
      <w:r w:rsidR="002D3C0D" w:rsidRPr="006E32D5">
        <w:t>un nouveau système de classification du SGH, capable de résoudre les difficultés liées au système actuel, qui considère les explosifs dans une configuration particulière (configuration de transport). Lorsque cette configuration est rompue ou n</w:t>
      </w:r>
      <w:r w:rsidR="006259F8">
        <w:t>’</w:t>
      </w:r>
      <w:r w:rsidR="002D3C0D" w:rsidRPr="006E32D5">
        <w:t>existe plus, par exemple lors de la fourniture</w:t>
      </w:r>
      <w:r w:rsidR="002D3C0D">
        <w:t>,</w:t>
      </w:r>
      <w:r w:rsidR="002D3C0D" w:rsidRPr="006E32D5">
        <w:t xml:space="preserve"> de l</w:t>
      </w:r>
      <w:r w:rsidR="006259F8">
        <w:t>’</w:t>
      </w:r>
      <w:r w:rsidR="002D3C0D" w:rsidRPr="006E32D5">
        <w:t>utilisation</w:t>
      </w:r>
      <w:r w:rsidR="002D3C0D">
        <w:t>,</w:t>
      </w:r>
      <w:r w:rsidR="002D3C0D" w:rsidRPr="006E32D5">
        <w:t xml:space="preserve"> de la fabrication ou du traitement, le système actuel de communication des dangers du SGH sous-estime souvent le danger réel parce qu</w:t>
      </w:r>
      <w:r w:rsidR="006259F8">
        <w:t>’</w:t>
      </w:r>
      <w:r w:rsidR="002D3C0D" w:rsidRPr="006E32D5">
        <w:t>il reflète l</w:t>
      </w:r>
      <w:r w:rsidR="006259F8">
        <w:t>’</w:t>
      </w:r>
      <w:r w:rsidR="002D3C0D" w:rsidRPr="006E32D5">
        <w:t xml:space="preserve">explosibilité </w:t>
      </w:r>
      <w:r w:rsidR="002D3C0D">
        <w:t xml:space="preserve">uniquement </w:t>
      </w:r>
      <w:r w:rsidR="002D3C0D" w:rsidRPr="006E32D5">
        <w:t xml:space="preserve">dans </w:t>
      </w:r>
      <w:r w:rsidR="002D3C0D">
        <w:t xml:space="preserve">la </w:t>
      </w:r>
      <w:r w:rsidR="002D3C0D" w:rsidRPr="006E32D5">
        <w:t xml:space="preserve">configuration </w:t>
      </w:r>
      <w:r w:rsidR="002D3C0D">
        <w:t>de transport</w:t>
      </w:r>
      <w:r w:rsidR="002D3C0D" w:rsidRPr="006E32D5">
        <w:t>. De plus, l</w:t>
      </w:r>
      <w:r w:rsidR="006259F8">
        <w:t>’</w:t>
      </w:r>
      <w:r w:rsidR="002D3C0D" w:rsidRPr="006E32D5">
        <w:t>actuel système est incapable de classer un explosif sauf s</w:t>
      </w:r>
      <w:r w:rsidR="006259F8">
        <w:t>’</w:t>
      </w:r>
      <w:r w:rsidR="002D3C0D" w:rsidRPr="006E32D5">
        <w:t>il se trouve dans une configuration propice à l</w:t>
      </w:r>
      <w:r w:rsidR="006259F8">
        <w:t>’</w:t>
      </w:r>
      <w:r w:rsidR="002D3C0D" w:rsidRPr="006E32D5">
        <w:t>exécution de l</w:t>
      </w:r>
      <w:r w:rsidR="006259F8">
        <w:t>’</w:t>
      </w:r>
      <w:r w:rsidR="002D3C0D" w:rsidRPr="006E32D5">
        <w:t>épreuve de classification, c</w:t>
      </w:r>
      <w:r w:rsidR="006259F8">
        <w:t>’</w:t>
      </w:r>
      <w:r w:rsidR="002D3C0D" w:rsidRPr="006E32D5">
        <w:t>est-à-dire normalement la configuration de transport pour laquelle ces épreuves ont été initialement conçues</w:t>
      </w:r>
      <w:r>
        <w:rPr>
          <w:rStyle w:val="FootnoteReference"/>
        </w:rPr>
        <w:footnoteReference w:id="4"/>
      </w:r>
      <w:r w:rsidR="002D3C0D" w:rsidRPr="006E32D5">
        <w:t>.</w:t>
      </w:r>
    </w:p>
    <w:p w14:paraId="79638C7D" w14:textId="77777777" w:rsidR="002D3C0D" w:rsidRPr="006E32D5" w:rsidRDefault="00D92221" w:rsidP="00D92221">
      <w:pPr>
        <w:pStyle w:val="SingleTxtG"/>
      </w:pPr>
      <w:r>
        <w:lastRenderedPageBreak/>
        <w:t>3.</w:t>
      </w:r>
      <w:r w:rsidR="002D3C0D">
        <w:tab/>
      </w:r>
      <w:r w:rsidR="002D3C0D" w:rsidRPr="006E32D5">
        <w:t>L</w:t>
      </w:r>
      <w:r w:rsidR="006259F8">
        <w:t>’</w:t>
      </w:r>
      <w:r w:rsidR="002D3C0D">
        <w:t>éventu</w:t>
      </w:r>
      <w:r w:rsidR="002D3C0D" w:rsidRPr="006E32D5">
        <w:t>e</w:t>
      </w:r>
      <w:r w:rsidR="002D3C0D">
        <w:t>l</w:t>
      </w:r>
      <w:r w:rsidR="002D3C0D" w:rsidRPr="006E32D5">
        <w:t xml:space="preserve"> nouveau système de classification élaboré par le groupe de travail informel par correspondance prévoit deux grandes catégories d</w:t>
      </w:r>
      <w:r w:rsidR="006259F8">
        <w:t>’</w:t>
      </w:r>
      <w:r w:rsidR="002D3C0D" w:rsidRPr="006E32D5">
        <w:t xml:space="preserve">explosifs, </w:t>
      </w:r>
      <w:r w:rsidR="002D3C0D">
        <w:t xml:space="preserve">à savoir </w:t>
      </w:r>
      <w:r w:rsidR="002D3C0D" w:rsidRPr="006E32D5">
        <w:t>la catégorie</w:t>
      </w:r>
      <w:r w:rsidR="006259F8">
        <w:t> </w:t>
      </w:r>
      <w:r w:rsidR="002D3C0D" w:rsidRPr="006E32D5">
        <w:t xml:space="preserve">2 pour les explosifs qui ont été </w:t>
      </w:r>
      <w:r w:rsidR="002D3C0D">
        <w:t>affect</w:t>
      </w:r>
      <w:r w:rsidR="002D3C0D" w:rsidRPr="006E32D5">
        <w:t xml:space="preserve">és à une division dans une certaine configuration (de transport) et la catégorie 1 </w:t>
      </w:r>
      <w:r w:rsidR="002D3C0D">
        <w:t>pour les autres</w:t>
      </w:r>
      <w:r w:rsidR="002D3C0D" w:rsidRPr="006E32D5">
        <w:t>. La catégorie</w:t>
      </w:r>
      <w:r w:rsidR="006259F8">
        <w:t> </w:t>
      </w:r>
      <w:r w:rsidR="002D3C0D" w:rsidRPr="006E32D5">
        <w:t>2 est subdivisée en trois sous-catégories : 2A, 2B et 2C, qui correspondent au degré de danger (respectivement élevé, intermédiaire et faible), indépendamment de la configuration dans laquelle l</w:t>
      </w:r>
      <w:r w:rsidR="006259F8">
        <w:t>’</w:t>
      </w:r>
      <w:r w:rsidR="002D3C0D" w:rsidRPr="006E32D5">
        <w:t>explosif était assigné à une division</w:t>
      </w:r>
      <w:r>
        <w:rPr>
          <w:rStyle w:val="FootnoteReference"/>
        </w:rPr>
        <w:footnoteReference w:id="5"/>
      </w:r>
      <w:r w:rsidR="002D3C0D" w:rsidRPr="006E32D5">
        <w:t>. En ce qui concerne le champ d</w:t>
      </w:r>
      <w:r w:rsidR="006259F8">
        <w:t>’</w:t>
      </w:r>
      <w:r w:rsidR="002D3C0D" w:rsidRPr="006E32D5">
        <w:t>application, les explosifs de la catégorie</w:t>
      </w:r>
      <w:r w:rsidR="00477E73">
        <w:t> </w:t>
      </w:r>
      <w:r w:rsidR="002D3C0D" w:rsidRPr="006E32D5">
        <w:t>2 seraient dans l</w:t>
      </w:r>
      <w:r w:rsidR="006259F8">
        <w:t>’</w:t>
      </w:r>
      <w:r w:rsidR="002D3C0D" w:rsidRPr="006E32D5">
        <w:t>ensemble identiques à ceux de la classe</w:t>
      </w:r>
      <w:r w:rsidR="0048461A">
        <w:t> </w:t>
      </w:r>
      <w:r w:rsidR="002D3C0D" w:rsidRPr="006E32D5">
        <w:t>1 du Règlement type relatif au transport des marchandises dangereuses (Règlement type) :</w:t>
      </w:r>
    </w:p>
    <w:p w14:paraId="7B117F8F" w14:textId="77777777" w:rsidR="002D3C0D" w:rsidRPr="006E32D5" w:rsidRDefault="00D92221" w:rsidP="00D92221">
      <w:pPr>
        <w:pStyle w:val="SingleTxtG"/>
      </w:pPr>
      <w:r>
        <w:t>4.</w:t>
      </w:r>
      <w:r w:rsidR="002D3C0D">
        <w:tab/>
      </w:r>
      <w:r w:rsidR="002D3C0D" w:rsidRPr="006E32D5">
        <w:t>Il faut souligner que le nouveau système de classification conserve</w:t>
      </w:r>
      <w:r w:rsidR="002D3C0D">
        <w:t>rait</w:t>
      </w:r>
      <w:r w:rsidR="002D3C0D" w:rsidRPr="006E32D5">
        <w:t xml:space="preserve"> les divisions </w:t>
      </w:r>
      <w:r w:rsidR="002D3C0D">
        <w:t>concernant</w:t>
      </w:r>
      <w:r w:rsidR="002D3C0D" w:rsidRPr="006E32D5">
        <w:t xml:space="preserve"> tous les explosifs sauf </w:t>
      </w:r>
      <w:r w:rsidR="002D3C0D">
        <w:t>les</w:t>
      </w:r>
      <w:r w:rsidR="002D3C0D" w:rsidRPr="006E32D5">
        <w:t xml:space="preserve"> « explosifs instables »</w:t>
      </w:r>
      <w:r w:rsidR="002D3C0D">
        <w:t>,</w:t>
      </w:r>
      <w:r w:rsidR="002D3C0D" w:rsidRPr="006E32D5">
        <w:t xml:space="preserve"> étant donné qu</w:t>
      </w:r>
      <w:r w:rsidR="006259F8">
        <w:t>’</w:t>
      </w:r>
      <w:r w:rsidR="002D3C0D" w:rsidRPr="006E32D5">
        <w:t>il s</w:t>
      </w:r>
      <w:r w:rsidR="006259F8">
        <w:t>’</w:t>
      </w:r>
      <w:r w:rsidR="002D3C0D" w:rsidRPr="006E32D5">
        <w:t>agit du niveau approprié de classification, par exemple pour l</w:t>
      </w:r>
      <w:r w:rsidR="006259F8">
        <w:t>’</w:t>
      </w:r>
      <w:r w:rsidR="002D3C0D" w:rsidRPr="006E32D5">
        <w:t>entreposage dans la configuration de transport</w:t>
      </w:r>
      <w:r w:rsidR="0048461A">
        <w:rPr>
          <w:rStyle w:val="FootnoteReference"/>
        </w:rPr>
        <w:footnoteReference w:id="6"/>
      </w:r>
      <w:r w:rsidR="002D3C0D" w:rsidRPr="006E32D5">
        <w:t>. De plus, le système de classification des explosifs (classe</w:t>
      </w:r>
      <w:r w:rsidR="006259F8">
        <w:t> </w:t>
      </w:r>
      <w:r w:rsidR="002D3C0D" w:rsidRPr="006E32D5">
        <w:t>1) ne devrait pas subir de modifications à cause de la révision du SGH. L</w:t>
      </w:r>
      <w:r w:rsidR="006259F8">
        <w:t>’</w:t>
      </w:r>
      <w:r w:rsidR="002D3C0D" w:rsidRPr="006E32D5">
        <w:t>annexe du présent document donne un aperçu du nouveau système de classification et le compare à l</w:t>
      </w:r>
      <w:r w:rsidR="006259F8">
        <w:t>’</w:t>
      </w:r>
      <w:r w:rsidR="002D3C0D" w:rsidRPr="006E32D5">
        <w:t>actuel système de classification.</w:t>
      </w:r>
    </w:p>
    <w:p w14:paraId="69577D5E" w14:textId="77777777" w:rsidR="002D3C0D" w:rsidRPr="006E32D5" w:rsidRDefault="00C93A53" w:rsidP="00C93A53">
      <w:pPr>
        <w:pStyle w:val="HChG"/>
      </w:pPr>
      <w:r>
        <w:tab/>
      </w:r>
      <w:r>
        <w:tab/>
      </w:r>
      <w:r w:rsidR="002D3C0D" w:rsidRPr="006E32D5">
        <w:t xml:space="preserve">Travaux à entreprendre pendant </w:t>
      </w:r>
      <w:r>
        <w:br/>
      </w:r>
      <w:r w:rsidR="002D3C0D" w:rsidRPr="006E32D5">
        <w:t>la période biennale 2019</w:t>
      </w:r>
      <w:r>
        <w:t>-</w:t>
      </w:r>
      <w:r w:rsidR="002D3C0D" w:rsidRPr="006E32D5">
        <w:t>2020</w:t>
      </w:r>
    </w:p>
    <w:p w14:paraId="5C71790E" w14:textId="77777777" w:rsidR="002D3C0D" w:rsidRPr="006E32D5" w:rsidRDefault="00C93A53" w:rsidP="00C93A53">
      <w:pPr>
        <w:pStyle w:val="SingleTxtG"/>
      </w:pPr>
      <w:r>
        <w:t>5.</w:t>
      </w:r>
      <w:r w:rsidR="002D3C0D">
        <w:tab/>
      </w:r>
      <w:r w:rsidR="006259F8" w:rsidRPr="006E32D5">
        <w:t>À</w:t>
      </w:r>
      <w:r w:rsidR="002D3C0D" w:rsidRPr="006E32D5">
        <w:t xml:space="preserve"> sa trente-sixième session</w:t>
      </w:r>
      <w:r w:rsidR="002D3C0D">
        <w:t>,</w:t>
      </w:r>
      <w:r w:rsidR="002D3C0D" w:rsidRPr="006E32D5">
        <w:t xml:space="preserve"> le Sous-Comité du SGH a adopté un nouveau mandat et un nouveau programme de travail pour la suite, qui sont reproduits dans le document INF.43/Rev.1 (trente-sixième session). Le programme de travail prévoit q</w:t>
      </w:r>
      <w:r w:rsidR="002D3C0D">
        <w:t>ue le</w:t>
      </w:r>
      <w:r w:rsidR="002D3C0D" w:rsidRPr="006E32D5">
        <w:t xml:space="preserve"> nouveau chapitre</w:t>
      </w:r>
      <w:r w:rsidR="002D3C0D">
        <w:t xml:space="preserve"> 2.1</w:t>
      </w:r>
      <w:r w:rsidR="002D3C0D" w:rsidRPr="006E32D5">
        <w:t xml:space="preserve"> devrait être achevé pendant la période biennale 2019-2020</w:t>
      </w:r>
      <w:r w:rsidR="002D3C0D">
        <w:t>, en s</w:t>
      </w:r>
      <w:r w:rsidR="006259F8">
        <w:t>’</w:t>
      </w:r>
      <w:r w:rsidR="002D3C0D">
        <w:t>articulant autour des quatre points</w:t>
      </w:r>
      <w:r w:rsidR="002D3C0D" w:rsidRPr="006E32D5">
        <w:t xml:space="preserve"> ci-après. </w:t>
      </w:r>
    </w:p>
    <w:p w14:paraId="083DFC3C" w14:textId="101375D9" w:rsidR="002D3C0D" w:rsidRPr="00A37B12" w:rsidRDefault="002D3C0D" w:rsidP="00A37B12">
      <w:pPr>
        <w:pStyle w:val="SingleTxtG"/>
        <w:rPr>
          <w:b/>
        </w:rPr>
      </w:pPr>
      <w:r w:rsidRPr="00A37B12">
        <w:rPr>
          <w:b/>
        </w:rPr>
        <w:t xml:space="preserve">Point 1 </w:t>
      </w:r>
      <w:r w:rsidR="0024247D">
        <w:rPr>
          <w:b/>
        </w:rPr>
        <w:t>−</w:t>
      </w:r>
      <w:r w:rsidRPr="00A37B12">
        <w:rPr>
          <w:b/>
        </w:rPr>
        <w:t xml:space="preserve"> Finaliser les critères du nouveau système</w:t>
      </w:r>
    </w:p>
    <w:p w14:paraId="4D023DB9" w14:textId="77777777" w:rsidR="002D3C0D" w:rsidRPr="006E32D5" w:rsidRDefault="00C93A53" w:rsidP="00C93A53">
      <w:pPr>
        <w:pStyle w:val="SingleTxtG"/>
      </w:pPr>
      <w:r>
        <w:t>6.</w:t>
      </w:r>
      <w:r w:rsidR="002D3C0D">
        <w:tab/>
      </w:r>
      <w:r w:rsidR="002D3C0D" w:rsidRPr="006E32D5">
        <w:t>Les critères de classification du nouveau système ont été provisoirement adoptés par le Sous-Comité du SGH à sa trente-sixième session, à l</w:t>
      </w:r>
      <w:r w:rsidR="006259F8">
        <w:t>’</w:t>
      </w:r>
      <w:r w:rsidR="002D3C0D" w:rsidRPr="006E32D5">
        <w:t>issue de discussions au sein du Groupe de travail des explosifs lors de la réunion qu</w:t>
      </w:r>
      <w:r w:rsidR="006259F8">
        <w:t>’</w:t>
      </w:r>
      <w:r w:rsidR="002D3C0D" w:rsidRPr="006E32D5">
        <w:t>ils ont tenue à l</w:t>
      </w:r>
      <w:r w:rsidR="006259F8">
        <w:t>’</w:t>
      </w:r>
      <w:r w:rsidR="002D3C0D" w:rsidRPr="006E32D5">
        <w:t>occasion de la cinquante-quatrième session du Sous-Comité d</w:t>
      </w:r>
      <w:r w:rsidR="006259F8">
        <w:t>’</w:t>
      </w:r>
      <w:r w:rsidR="002D3C0D" w:rsidRPr="006E32D5">
        <w:t xml:space="preserve">experts du </w:t>
      </w:r>
      <w:r w:rsidR="002D3C0D">
        <w:t>TMD</w:t>
      </w:r>
      <w:r w:rsidR="002D3C0D" w:rsidRPr="006E32D5">
        <w:t> ; ils sont reproduits dans le document INF.46</w:t>
      </w:r>
      <w:r w:rsidR="002D3C0D">
        <w:t>, soumis à la</w:t>
      </w:r>
      <w:r w:rsidR="002D3C0D" w:rsidRPr="006E32D5">
        <w:t xml:space="preserve"> trente-sixième session du Sous-Comité du SGH. Ils doivent être quelque peu </w:t>
      </w:r>
      <w:r w:rsidR="002D3C0D">
        <w:t>affin</w:t>
      </w:r>
      <w:r w:rsidR="002D3C0D" w:rsidRPr="006E32D5">
        <w:t>és et un certain nombre de questions sont encore en suspens, comme l</w:t>
      </w:r>
      <w:r w:rsidR="006259F8">
        <w:t>’</w:t>
      </w:r>
      <w:r w:rsidR="002D3C0D" w:rsidRPr="006E32D5">
        <w:t>indique le rapport de la réunion du Groupe de travail sur les explosifs</w:t>
      </w:r>
      <w:r w:rsidR="002D3C0D">
        <w:t xml:space="preserve"> (</w:t>
      </w:r>
      <w:r w:rsidR="002D3C0D" w:rsidRPr="006E32D5">
        <w:t>document INF.50</w:t>
      </w:r>
      <w:r w:rsidR="002D3C0D">
        <w:t>,</w:t>
      </w:r>
      <w:r w:rsidR="002D3C0D" w:rsidRPr="006E32D5">
        <w:t xml:space="preserve"> </w:t>
      </w:r>
      <w:r w:rsidR="002D3C0D">
        <w:t xml:space="preserve">soumis à la </w:t>
      </w:r>
      <w:r w:rsidR="002D3C0D" w:rsidRPr="006E32D5">
        <w:t>cinquante</w:t>
      </w:r>
      <w:r w:rsidR="002D3C0D">
        <w:t>-</w:t>
      </w:r>
      <w:r w:rsidR="002D3C0D" w:rsidRPr="006E32D5">
        <w:t>quatrième session du Sous-Comité du TMD</w:t>
      </w:r>
      <w:r w:rsidR="002D3C0D">
        <w:t>,</w:t>
      </w:r>
      <w:r w:rsidR="002D3C0D" w:rsidRPr="006E32D5">
        <w:t xml:space="preserve"> qui est reproduit dans le document INF</w:t>
      </w:r>
      <w:r w:rsidR="002D3C0D">
        <w:t>.</w:t>
      </w:r>
      <w:r w:rsidR="002D3C0D" w:rsidRPr="006E32D5">
        <w:t>34</w:t>
      </w:r>
      <w:r w:rsidR="002D3C0D">
        <w:t>, lui-même</w:t>
      </w:r>
      <w:r w:rsidR="002D3C0D" w:rsidRPr="006E32D5">
        <w:t xml:space="preserve"> </w:t>
      </w:r>
      <w:r w:rsidR="002D3C0D">
        <w:t xml:space="preserve">soumis à la </w:t>
      </w:r>
      <w:r w:rsidR="002D3C0D" w:rsidRPr="006E32D5">
        <w:t>trente-sixième session du Sous-Comité du SGH</w:t>
      </w:r>
      <w:r w:rsidR="002D3C0D">
        <w:t>)</w:t>
      </w:r>
      <w:r w:rsidR="002D3C0D" w:rsidRPr="006E32D5">
        <w:t>. Dans le</w:t>
      </w:r>
      <w:r w:rsidR="002D3C0D">
        <w:t>s</w:t>
      </w:r>
      <w:r w:rsidR="002D3C0D" w:rsidRPr="006E32D5">
        <w:t xml:space="preserve"> document</w:t>
      </w:r>
      <w:r w:rsidR="006259F8">
        <w:t>s</w:t>
      </w:r>
      <w:r w:rsidR="002D3C0D" w:rsidRPr="006E32D5">
        <w:t xml:space="preserve"> INF</w:t>
      </w:r>
      <w:r w:rsidR="002D3C0D">
        <w:t>.</w:t>
      </w:r>
      <w:r w:rsidR="002D3C0D" w:rsidRPr="006E32D5">
        <w:t xml:space="preserve">18 (trente-sixième session du Sous-Comité du SGH) et INF.24 (cinquante-quatrième session du Sous-Comité </w:t>
      </w:r>
      <w:r w:rsidR="002D3C0D">
        <w:t xml:space="preserve">du </w:t>
      </w:r>
      <w:r w:rsidR="002D3C0D" w:rsidRPr="006E32D5">
        <w:t>TMD), on trouvera la classification de nombreux explosifs, sur la base des critères provisoirement adoptés.</w:t>
      </w:r>
    </w:p>
    <w:p w14:paraId="6A06B753" w14:textId="77777777" w:rsidR="002D3C0D" w:rsidRPr="006E32D5" w:rsidRDefault="00C93A53" w:rsidP="00C93A53">
      <w:pPr>
        <w:pStyle w:val="SingleTxtG"/>
      </w:pPr>
      <w:r>
        <w:t>7.</w:t>
      </w:r>
      <w:r w:rsidR="002D3C0D">
        <w:tab/>
      </w:r>
      <w:r w:rsidR="002D3C0D" w:rsidRPr="006E32D5">
        <w:t>Depuis les sessions en question, le groupe de travail informel par correspondance a affiné les critères en question. En outre, le groupe de travail des explosifs, de</w:t>
      </w:r>
      <w:r w:rsidR="002D3C0D">
        <w:t xml:space="preserve"> la poudre</w:t>
      </w:r>
      <w:r w:rsidR="002D3C0D" w:rsidRPr="006E32D5">
        <w:t xml:space="preserve"> et des </w:t>
      </w:r>
      <w:r w:rsidR="002D3C0D">
        <w:t>composition</w:t>
      </w:r>
      <w:r w:rsidR="002D3C0D" w:rsidRPr="006E32D5">
        <w:t>s pyrotechniques (EPP) qui relève du Groupe d</w:t>
      </w:r>
      <w:r w:rsidR="006259F8">
        <w:t>’</w:t>
      </w:r>
      <w:r w:rsidR="002D3C0D" w:rsidRPr="006E32D5">
        <w:t>experts international sur les risques d</w:t>
      </w:r>
      <w:r w:rsidR="006259F8">
        <w:t>’</w:t>
      </w:r>
      <w:r w:rsidR="002D3C0D" w:rsidRPr="006E32D5">
        <w:t>explosion des matières instables (IGUS)</w:t>
      </w:r>
      <w:r>
        <w:rPr>
          <w:rStyle w:val="FootnoteReference"/>
        </w:rPr>
        <w:footnoteReference w:id="7"/>
      </w:r>
      <w:r w:rsidR="002D3C0D" w:rsidRPr="006E32D5">
        <w:t xml:space="preserve"> a examiné les derniers détails concernant les critères mis au point lors de sa réunion annuelle, tenue en mars 2019. Il reste donc encore un peu de travail pour finaliser les critères du nouveau système de classement.</w:t>
      </w:r>
    </w:p>
    <w:p w14:paraId="1EB3D22E" w14:textId="7BE4D62F" w:rsidR="002D3C0D" w:rsidRPr="00A37B12" w:rsidRDefault="002D3C0D" w:rsidP="00A37B12">
      <w:pPr>
        <w:pStyle w:val="SingleTxtG"/>
        <w:keepNext/>
        <w:keepLines/>
        <w:rPr>
          <w:b/>
          <w:spacing w:val="-3"/>
        </w:rPr>
      </w:pPr>
      <w:r w:rsidRPr="00A37B12">
        <w:rPr>
          <w:b/>
          <w:spacing w:val="-3"/>
        </w:rPr>
        <w:lastRenderedPageBreak/>
        <w:t xml:space="preserve">Point 2 </w:t>
      </w:r>
      <w:r w:rsidR="0024247D">
        <w:rPr>
          <w:b/>
          <w:spacing w:val="-3"/>
        </w:rPr>
        <w:t>−</w:t>
      </w:r>
      <w:r w:rsidRPr="00A37B12">
        <w:rPr>
          <w:b/>
          <w:spacing w:val="-3"/>
        </w:rPr>
        <w:t xml:space="preserve"> Définir des éléments de communication des dangers et des conseils de prudence appropriés</w:t>
      </w:r>
    </w:p>
    <w:p w14:paraId="7392FF2E" w14:textId="172373BD" w:rsidR="002D3C0D" w:rsidRPr="006E32D5" w:rsidRDefault="00C93A53" w:rsidP="00A37B12">
      <w:pPr>
        <w:pStyle w:val="SingleTxtG"/>
        <w:keepNext/>
        <w:keepLines/>
        <w:rPr>
          <w:b/>
        </w:rPr>
      </w:pPr>
      <w:r>
        <w:t>8.</w:t>
      </w:r>
      <w:r w:rsidR="002D3C0D">
        <w:tab/>
      </w:r>
      <w:r w:rsidR="003A3166">
        <w:t>À</w:t>
      </w:r>
      <w:r w:rsidR="002D3C0D" w:rsidRPr="006E32D5">
        <w:t xml:space="preserve"> l</w:t>
      </w:r>
      <w:r w:rsidR="006259F8">
        <w:t>’</w:t>
      </w:r>
      <w:r w:rsidR="002D3C0D" w:rsidRPr="006E32D5">
        <w:t>instar de tous les autres chapitres du SGH, le nouveau chapitre 2.1 contiendra des éléments de communication des dangers, c</w:t>
      </w:r>
      <w:r w:rsidR="006259F8">
        <w:t>’</w:t>
      </w:r>
      <w:r w:rsidR="002D3C0D" w:rsidRPr="006E32D5">
        <w:t>est-à-dire des symboles (le cas échéant), des mentions d</w:t>
      </w:r>
      <w:r w:rsidR="006259F8">
        <w:t>’</w:t>
      </w:r>
      <w:r w:rsidR="002D3C0D" w:rsidRPr="006E32D5">
        <w:t>avertissement et des mentions de danger. Les éléments de communication de danger sont examinés depuis un certain temps déjà mais comme les critères sont quasiment finalisés, on connaît mieux les dangers liés aux différentes classifications</w:t>
      </w:r>
      <w:r w:rsidR="002D3C0D">
        <w:t>,</w:t>
      </w:r>
      <w:r w:rsidR="002D3C0D" w:rsidRPr="006E32D5">
        <w:t xml:space="preserve"> ce qui devrait faciliter l</w:t>
      </w:r>
      <w:r w:rsidR="006259F8">
        <w:t>’</w:t>
      </w:r>
      <w:r w:rsidR="002D3C0D" w:rsidRPr="006E32D5">
        <w:t xml:space="preserve">affectation des éléments appropriés de la communication des dangers. </w:t>
      </w:r>
    </w:p>
    <w:p w14:paraId="69548B0F" w14:textId="77777777" w:rsidR="002D3C0D" w:rsidRPr="006E32D5" w:rsidRDefault="00C93A53" w:rsidP="00C93A53">
      <w:pPr>
        <w:pStyle w:val="SingleTxtG"/>
        <w:rPr>
          <w:b/>
        </w:rPr>
      </w:pPr>
      <w:r>
        <w:t>9.</w:t>
      </w:r>
      <w:r w:rsidR="002D3C0D">
        <w:tab/>
      </w:r>
      <w:r w:rsidR="002D3C0D" w:rsidRPr="006E32D5">
        <w:t>Compte tenu des</w:t>
      </w:r>
      <w:r w:rsidR="002D3C0D" w:rsidRPr="006E32D5">
        <w:rPr>
          <w:b/>
        </w:rPr>
        <w:t xml:space="preserve"> </w:t>
      </w:r>
      <w:r w:rsidR="002D3C0D" w:rsidRPr="006E32D5">
        <w:t>discussions qui ont précédemment eu lieu au sein du groupe de travail informel par correspondance, il semblerait qu</w:t>
      </w:r>
      <w:r w:rsidR="006259F8">
        <w:t>’</w:t>
      </w:r>
      <w:r w:rsidR="002D3C0D" w:rsidRPr="006E32D5">
        <w:t>il ne devrait pas être trop difficile de trouver des éléments acceptables de communication des dangers pour les sous-catégories de la catégorie 2. Cependant, il s</w:t>
      </w:r>
      <w:r w:rsidR="006259F8">
        <w:t>’</w:t>
      </w:r>
      <w:r w:rsidR="002D3C0D" w:rsidRPr="006E32D5">
        <w:t>est avéré beaucoup plus difficile de trouver une mention de danger appropriée pour la catégorie 1, essentiellement parce que cette catégorie comprend des explosifs aux propriétés très diverses (voir le document INF.30 distribué lors de la trente-cinquième session du Sous-Comité du SGH pour plus de détails)</w:t>
      </w:r>
      <w:r w:rsidR="00755F82">
        <w:rPr>
          <w:rStyle w:val="FootnoteReference"/>
        </w:rPr>
        <w:footnoteReference w:id="8"/>
      </w:r>
      <w:r w:rsidR="002D3C0D" w:rsidRPr="006E32D5">
        <w:t>.</w:t>
      </w:r>
    </w:p>
    <w:p w14:paraId="6B67A852" w14:textId="77777777" w:rsidR="002D3C0D" w:rsidRPr="006E32D5" w:rsidRDefault="00C93A53" w:rsidP="00C93A53">
      <w:pPr>
        <w:pStyle w:val="SingleTxtG"/>
        <w:rPr>
          <w:b/>
        </w:rPr>
      </w:pPr>
      <w:r>
        <w:t>10.</w:t>
      </w:r>
      <w:r w:rsidR="002D3C0D">
        <w:tab/>
      </w:r>
      <w:r w:rsidR="002D3C0D" w:rsidRPr="006E32D5">
        <w:t>Les experts du groupe de travail informel par correspondance sont convenus qu</w:t>
      </w:r>
      <w:r w:rsidR="006259F8">
        <w:t>’</w:t>
      </w:r>
      <w:r w:rsidR="002D3C0D" w:rsidRPr="006E32D5">
        <w:t>il faudrait trouver le moyen d</w:t>
      </w:r>
      <w:r w:rsidR="006259F8">
        <w:t>’</w:t>
      </w:r>
      <w:r w:rsidR="002D3C0D" w:rsidRPr="006E32D5">
        <w:t>indiquer sur l</w:t>
      </w:r>
      <w:r w:rsidR="006259F8">
        <w:t>’</w:t>
      </w:r>
      <w:r w:rsidR="002D3C0D" w:rsidRPr="006E32D5">
        <w:t>étiquette SGH à quelle division l</w:t>
      </w:r>
      <w:r w:rsidR="006259F8">
        <w:t>’</w:t>
      </w:r>
      <w:r w:rsidR="002D3C0D" w:rsidRPr="006E32D5">
        <w:t>explosif est assigné (ou était assigné) dans une configuration de transport. Plusieurs solutions ont été envisagées et examinées mais aucune n</w:t>
      </w:r>
      <w:r w:rsidR="006259F8">
        <w:t>’</w:t>
      </w:r>
      <w:r w:rsidR="002D3C0D" w:rsidRPr="006E32D5">
        <w:t>a encore été retenue (voir le document INF.30 soumis à la trente-cinquième session du Sous-Comité du SGH). En ce qui concerne l</w:t>
      </w:r>
      <w:r w:rsidR="006259F8">
        <w:t>’</w:t>
      </w:r>
      <w:r w:rsidR="002D3C0D">
        <w:t>affecta</w:t>
      </w:r>
      <w:r w:rsidR="002D3C0D" w:rsidRPr="006E32D5">
        <w:t>tion de conseils de prudence aux diverses classifications, le groupe de travail informel par correspondance n</w:t>
      </w:r>
      <w:r w:rsidR="006259F8">
        <w:t>’</w:t>
      </w:r>
      <w:r w:rsidR="002D3C0D" w:rsidRPr="006E32D5">
        <w:t>a pas encore examiné cette question.</w:t>
      </w:r>
    </w:p>
    <w:p w14:paraId="02B144E2" w14:textId="39F507AA" w:rsidR="002D3C0D" w:rsidRPr="00A37B12" w:rsidRDefault="002D3C0D" w:rsidP="00A37B12">
      <w:pPr>
        <w:pStyle w:val="SingleTxtG"/>
        <w:rPr>
          <w:b/>
          <w:spacing w:val="-2"/>
        </w:rPr>
      </w:pPr>
      <w:r w:rsidRPr="00A37B12">
        <w:rPr>
          <w:b/>
          <w:spacing w:val="-2"/>
        </w:rPr>
        <w:t xml:space="preserve">Point 3 </w:t>
      </w:r>
      <w:r w:rsidR="0024247D">
        <w:rPr>
          <w:b/>
          <w:spacing w:val="-2"/>
        </w:rPr>
        <w:t>−</w:t>
      </w:r>
      <w:r w:rsidRPr="00A37B12">
        <w:rPr>
          <w:b/>
          <w:spacing w:val="-2"/>
        </w:rPr>
        <w:t xml:space="preserve"> Projet de nouveau chapitre</w:t>
      </w:r>
      <w:r w:rsidR="00C93A53" w:rsidRPr="00A37B12">
        <w:rPr>
          <w:b/>
          <w:spacing w:val="-2"/>
        </w:rPr>
        <w:t> </w:t>
      </w:r>
      <w:r w:rsidRPr="00A37B12">
        <w:rPr>
          <w:b/>
          <w:spacing w:val="-2"/>
        </w:rPr>
        <w:t>2.1 SGH et examen du Manuel d</w:t>
      </w:r>
      <w:r w:rsidR="006259F8">
        <w:rPr>
          <w:b/>
          <w:spacing w:val="-2"/>
        </w:rPr>
        <w:t>’</w:t>
      </w:r>
      <w:r w:rsidRPr="00A37B12">
        <w:rPr>
          <w:b/>
          <w:spacing w:val="-2"/>
        </w:rPr>
        <w:t>épreuves et de critères pour déterminer les amendements qui devraient y être apportés en conséquence</w:t>
      </w:r>
    </w:p>
    <w:p w14:paraId="65AC4593" w14:textId="7ADAB6B7" w:rsidR="002D3C0D" w:rsidRPr="0024247D" w:rsidRDefault="00A37B12" w:rsidP="0024247D">
      <w:pPr>
        <w:pStyle w:val="SingleTxtG"/>
      </w:pPr>
      <w:r w:rsidRPr="0024247D">
        <w:t>11.</w:t>
      </w:r>
      <w:r w:rsidR="002D3C0D" w:rsidRPr="0024247D">
        <w:tab/>
        <w:t>Bien qu</w:t>
      </w:r>
      <w:r w:rsidR="006259F8" w:rsidRPr="0024247D">
        <w:t>’</w:t>
      </w:r>
      <w:r w:rsidR="002D3C0D" w:rsidRPr="0024247D">
        <w:t>il soit encore trop tôt pour commencer à rédiger le nouveau chapitre, les experts du groupe de travail informel par correspondance ont déjà procédé à des travaux préparatoires. L</w:t>
      </w:r>
      <w:r w:rsidR="006259F8" w:rsidRPr="0024247D">
        <w:t>’</w:t>
      </w:r>
      <w:r w:rsidR="002D3C0D" w:rsidRPr="0024247D">
        <w:t>expert de la Suède estime qu</w:t>
      </w:r>
      <w:r w:rsidR="006259F8" w:rsidRPr="0024247D">
        <w:t>’</w:t>
      </w:r>
      <w:r w:rsidR="002D3C0D" w:rsidRPr="0024247D">
        <w:t>il serait utile de commencer à examiner les modalités de cette rédaction, afin de jeter les bases d</w:t>
      </w:r>
      <w:r w:rsidR="006259F8" w:rsidRPr="0024247D">
        <w:t>’</w:t>
      </w:r>
      <w:r w:rsidR="002D3C0D" w:rsidRPr="0024247D">
        <w:t>un éventuel nouveau chapitre</w:t>
      </w:r>
      <w:r w:rsidR="00755F82" w:rsidRPr="0024247D">
        <w:t> </w:t>
      </w:r>
      <w:r w:rsidR="002D3C0D" w:rsidRPr="0024247D">
        <w:t>2.1. Par exemple, le degré d</w:t>
      </w:r>
      <w:r w:rsidR="006259F8" w:rsidRPr="0024247D">
        <w:t>’</w:t>
      </w:r>
      <w:r w:rsidR="002D3C0D" w:rsidRPr="0024247D">
        <w:t>alignement avec les textes correspondants de la classe</w:t>
      </w:r>
      <w:r w:rsidR="00755F82" w:rsidRPr="0024247D">
        <w:t> </w:t>
      </w:r>
      <w:r w:rsidR="002D3C0D" w:rsidRPr="0024247D">
        <w:t>1 du Règlement type (chap</w:t>
      </w:r>
      <w:r w:rsidR="00DD05E5">
        <w:t>.</w:t>
      </w:r>
      <w:r w:rsidR="00755F82" w:rsidRPr="0024247D">
        <w:t> </w:t>
      </w:r>
      <w:r w:rsidR="002D3C0D" w:rsidRPr="0024247D">
        <w:t>2.1 de la partie</w:t>
      </w:r>
      <w:r w:rsidR="00755F82" w:rsidRPr="0024247D">
        <w:t> </w:t>
      </w:r>
      <w:r w:rsidR="002D3C0D" w:rsidRPr="0024247D">
        <w:t>2) et du Manuel d</w:t>
      </w:r>
      <w:r w:rsidR="006259F8" w:rsidRPr="0024247D">
        <w:t>’</w:t>
      </w:r>
      <w:r w:rsidR="002D3C0D" w:rsidRPr="0024247D">
        <w:t>épreuves et de critères (Première partie) est une question fondamentale, tout comme le choix de la terminologie appropriée à utiliser. En outre, le nouveau chapitre nécessitera peut-être l</w:t>
      </w:r>
      <w:r w:rsidR="006259F8" w:rsidRPr="0024247D">
        <w:t>’</w:t>
      </w:r>
      <w:r w:rsidR="002D3C0D" w:rsidRPr="0024247D">
        <w:t>introduction de nouveaux termes et/ou de nouvelles définitions dans le SGH, qui devront faire l</w:t>
      </w:r>
      <w:r w:rsidR="006259F8" w:rsidRPr="0024247D">
        <w:t>’</w:t>
      </w:r>
      <w:r w:rsidR="002D3C0D" w:rsidRPr="0024247D">
        <w:t>objet d</w:t>
      </w:r>
      <w:r w:rsidR="006259F8" w:rsidRPr="0024247D">
        <w:t>’</w:t>
      </w:r>
      <w:r w:rsidR="002D3C0D" w:rsidRPr="0024247D">
        <w:t xml:space="preserve">un examen, lequel pourrait commencer dès maintenant. </w:t>
      </w:r>
    </w:p>
    <w:p w14:paraId="1CF61071" w14:textId="4A22F76A" w:rsidR="002D3C0D" w:rsidRPr="00A37B12" w:rsidRDefault="002D3C0D" w:rsidP="00A37B12">
      <w:pPr>
        <w:pStyle w:val="SingleTxtG"/>
        <w:rPr>
          <w:b/>
        </w:rPr>
      </w:pPr>
      <w:r w:rsidRPr="00A37B12">
        <w:rPr>
          <w:b/>
        </w:rPr>
        <w:t xml:space="preserve">Point 4 </w:t>
      </w:r>
      <w:r w:rsidR="0024247D">
        <w:rPr>
          <w:b/>
        </w:rPr>
        <w:t>−</w:t>
      </w:r>
      <w:r w:rsidRPr="00A37B12">
        <w:rPr>
          <w:b/>
        </w:rPr>
        <w:t xml:space="preserve"> Proposer l</w:t>
      </w:r>
      <w:r w:rsidR="006259F8">
        <w:rPr>
          <w:b/>
        </w:rPr>
        <w:t>’</w:t>
      </w:r>
      <w:r w:rsidRPr="00A37B12">
        <w:rPr>
          <w:b/>
        </w:rPr>
        <w:t>inclusion d</w:t>
      </w:r>
      <w:r w:rsidR="006259F8">
        <w:rPr>
          <w:b/>
        </w:rPr>
        <w:t>’</w:t>
      </w:r>
      <w:r w:rsidRPr="00A37B12">
        <w:rPr>
          <w:b/>
        </w:rPr>
        <w:t>un nouveau chapitre</w:t>
      </w:r>
      <w:r w:rsidR="00755F82">
        <w:rPr>
          <w:b/>
        </w:rPr>
        <w:t> </w:t>
      </w:r>
      <w:r w:rsidRPr="00A37B12">
        <w:rPr>
          <w:b/>
        </w:rPr>
        <w:t>2.1 dans la neuvième version révisée du SGH et les changements qui en découlent pour le Manuel d</w:t>
      </w:r>
      <w:r w:rsidR="006259F8">
        <w:rPr>
          <w:b/>
        </w:rPr>
        <w:t>’</w:t>
      </w:r>
      <w:r w:rsidRPr="00A37B12">
        <w:rPr>
          <w:b/>
        </w:rPr>
        <w:t>épreuves et de critères</w:t>
      </w:r>
    </w:p>
    <w:p w14:paraId="26E18915" w14:textId="77777777" w:rsidR="002D3C0D" w:rsidRPr="006E32D5" w:rsidRDefault="00A37B12" w:rsidP="00C93A53">
      <w:pPr>
        <w:pStyle w:val="SingleTxtG"/>
      </w:pPr>
      <w:r>
        <w:t>12.</w:t>
      </w:r>
      <w:r w:rsidR="002D3C0D">
        <w:tab/>
      </w:r>
      <w:r w:rsidR="002D3C0D" w:rsidRPr="006E32D5">
        <w:t>Il est manifestement prématuré de présenter une proposition de nouveau chapitre</w:t>
      </w:r>
      <w:r w:rsidR="00755F82">
        <w:t> </w:t>
      </w:r>
      <w:r w:rsidR="002D3C0D" w:rsidRPr="006E32D5">
        <w:t>2.1 ou des modifications du Manuel d</w:t>
      </w:r>
      <w:r w:rsidR="006259F8">
        <w:t>’</w:t>
      </w:r>
      <w:r w:rsidR="002D3C0D" w:rsidRPr="006E32D5">
        <w:t>épreuves et de critères. Tel n</w:t>
      </w:r>
      <w:r w:rsidR="006259F8">
        <w:t>’</w:t>
      </w:r>
      <w:r w:rsidR="002D3C0D" w:rsidRPr="006E32D5">
        <w:t>est pas le cas pour le moment.</w:t>
      </w:r>
    </w:p>
    <w:p w14:paraId="3554AFCA" w14:textId="77777777" w:rsidR="002D3C0D" w:rsidRPr="006E32D5" w:rsidRDefault="00755F82" w:rsidP="00755F82">
      <w:pPr>
        <w:pStyle w:val="HChG"/>
      </w:pPr>
      <w:r>
        <w:tab/>
      </w:r>
      <w:r>
        <w:tab/>
      </w:r>
      <w:r w:rsidR="002D3C0D" w:rsidRPr="006E32D5">
        <w:t>Suggestions</w:t>
      </w:r>
    </w:p>
    <w:p w14:paraId="0CE8A4F7" w14:textId="77777777" w:rsidR="002D3C0D" w:rsidRPr="006E32D5" w:rsidRDefault="00755F82" w:rsidP="00755F82">
      <w:pPr>
        <w:pStyle w:val="SingleTxtG"/>
      </w:pPr>
      <w:r>
        <w:t>13.</w:t>
      </w:r>
      <w:r w:rsidR="002D3C0D">
        <w:tab/>
      </w:r>
      <w:r w:rsidR="002D3C0D" w:rsidRPr="006E32D5">
        <w:t xml:space="preserve">Il est proposé que le Sous-Comité du TMD charge le </w:t>
      </w:r>
      <w:r w:rsidR="002D3C0D">
        <w:t>G</w:t>
      </w:r>
      <w:r w:rsidR="002D3C0D" w:rsidRPr="006E32D5">
        <w:t>roupe de travail des explosifs d</w:t>
      </w:r>
      <w:r w:rsidR="006259F8">
        <w:t>’</w:t>
      </w:r>
      <w:r w:rsidR="002D3C0D" w:rsidRPr="006E32D5">
        <w:t>examiner les critères afin de choisir ceux qui seront retenus pour le nouveau système de classification (voir point</w:t>
      </w:r>
      <w:r>
        <w:t> </w:t>
      </w:r>
      <w:r w:rsidR="002D3C0D" w:rsidRPr="006E32D5">
        <w:t>1), et qui seront présenté</w:t>
      </w:r>
      <w:r w:rsidR="00477E73">
        <w:t>s</w:t>
      </w:r>
      <w:r w:rsidR="002D3C0D" w:rsidRPr="006E32D5">
        <w:t xml:space="preserve"> au Sous-Comité du SGH pour une nouvelle évaluation.</w:t>
      </w:r>
    </w:p>
    <w:p w14:paraId="540D3D45" w14:textId="77777777" w:rsidR="002D3C0D" w:rsidRPr="006E32D5" w:rsidRDefault="00755F82" w:rsidP="00755F82">
      <w:pPr>
        <w:pStyle w:val="SingleTxtG"/>
      </w:pPr>
      <w:r>
        <w:lastRenderedPageBreak/>
        <w:t>14.</w:t>
      </w:r>
      <w:r w:rsidR="002D3C0D">
        <w:tab/>
      </w:r>
      <w:r w:rsidR="002D3C0D" w:rsidRPr="006E32D5">
        <w:t>Il est proposé que le Sous-Comité du SGH examine les éléments de communication des dangers pour toutes les classifications dans le nouveau système (voir point</w:t>
      </w:r>
      <w:r w:rsidR="006259F8">
        <w:t> </w:t>
      </w:r>
      <w:r w:rsidR="002D3C0D" w:rsidRPr="006E32D5">
        <w:t>2) ainsi que quelques-unes des questions fondamentales concernant la rédaction d</w:t>
      </w:r>
      <w:r w:rsidR="006259F8">
        <w:t>’</w:t>
      </w:r>
      <w:r w:rsidR="002D3C0D" w:rsidRPr="006E32D5">
        <w:t>un nouveau chapitre</w:t>
      </w:r>
      <w:r>
        <w:t> </w:t>
      </w:r>
      <w:r w:rsidR="002D3C0D" w:rsidRPr="006E32D5">
        <w:t>2.1 (voir point</w:t>
      </w:r>
      <w:r>
        <w:t> </w:t>
      </w:r>
      <w:r w:rsidR="002D3C0D" w:rsidRPr="006E32D5">
        <w:t>3).</w:t>
      </w:r>
    </w:p>
    <w:p w14:paraId="1AF459FC" w14:textId="77777777" w:rsidR="002D3C0D" w:rsidRPr="006E32D5" w:rsidRDefault="00755F82" w:rsidP="00755F82">
      <w:pPr>
        <w:pStyle w:val="SingleTxtG"/>
      </w:pPr>
      <w:r>
        <w:t>15.</w:t>
      </w:r>
      <w:r w:rsidR="002D3C0D">
        <w:tab/>
      </w:r>
      <w:r w:rsidR="002D3C0D" w:rsidRPr="006E32D5">
        <w:t>D</w:t>
      </w:r>
      <w:r w:rsidR="006259F8">
        <w:t>’</w:t>
      </w:r>
      <w:r w:rsidR="002D3C0D" w:rsidRPr="006E32D5">
        <w:t>autres documents pourraient être rédigés avant que les sessions des Sous-Comités ne commencent, afin d</w:t>
      </w:r>
      <w:r w:rsidR="006259F8">
        <w:t>’</w:t>
      </w:r>
      <w:r w:rsidR="002D3C0D" w:rsidRPr="006E32D5">
        <w:t>orienter les discussions. L</w:t>
      </w:r>
      <w:r w:rsidR="006259F8">
        <w:t>’</w:t>
      </w:r>
      <w:r w:rsidR="002D3C0D" w:rsidRPr="006E32D5">
        <w:t>expert de la Suède souhaiterait notamment que davantage d</w:t>
      </w:r>
      <w:r w:rsidR="006259F8">
        <w:t>’</w:t>
      </w:r>
      <w:r w:rsidR="002D3C0D" w:rsidRPr="006E32D5">
        <w:t xml:space="preserve">experts du SGH </w:t>
      </w:r>
      <w:r w:rsidR="002D3C0D">
        <w:t>venus d</w:t>
      </w:r>
      <w:r w:rsidR="006259F8">
        <w:t>’</w:t>
      </w:r>
      <w:r w:rsidR="002D3C0D">
        <w:t>horizons divers</w:t>
      </w:r>
      <w:r w:rsidR="002D3C0D" w:rsidRPr="006E32D5">
        <w:t xml:space="preserve"> (</w:t>
      </w:r>
      <w:r w:rsidR="002D3C0D">
        <w:t>dangers</w:t>
      </w:r>
      <w:r w:rsidR="002D3C0D" w:rsidRPr="006E32D5">
        <w:t xml:space="preserve"> physiques, </w:t>
      </w:r>
      <w:r w:rsidR="002D3C0D">
        <w:t>dangers</w:t>
      </w:r>
      <w:r w:rsidR="002D3C0D" w:rsidRPr="006E32D5">
        <w:t xml:space="preserve"> pour la santé ou </w:t>
      </w:r>
      <w:r w:rsidR="002D3C0D">
        <w:t>dangers</w:t>
      </w:r>
      <w:r w:rsidR="002D3C0D" w:rsidRPr="006E32D5">
        <w:t xml:space="preserve"> pour l</w:t>
      </w:r>
      <w:r w:rsidR="006259F8">
        <w:t>’</w:t>
      </w:r>
      <w:r w:rsidR="002D3C0D" w:rsidRPr="006E32D5">
        <w:t>environnement) participent aux travaux d</w:t>
      </w:r>
      <w:r w:rsidR="006259F8">
        <w:t>’</w:t>
      </w:r>
      <w:r w:rsidR="002D3C0D" w:rsidRPr="006E32D5">
        <w:t>élaboration du nouveau chapitre</w:t>
      </w:r>
      <w:r>
        <w:t> </w:t>
      </w:r>
      <w:r w:rsidR="002D3C0D" w:rsidRPr="006E32D5">
        <w:t>2.1, étant donné qu</w:t>
      </w:r>
      <w:r w:rsidR="006259F8">
        <w:t>’</w:t>
      </w:r>
      <w:r w:rsidR="002D3C0D" w:rsidRPr="006E32D5">
        <w:t xml:space="preserve">ils entrent maintenant dans une phase </w:t>
      </w:r>
      <w:r w:rsidR="002D3C0D">
        <w:t>qui requier</w:t>
      </w:r>
      <w:r w:rsidR="00477E73">
        <w:t>t</w:t>
      </w:r>
      <w:r w:rsidR="002D3C0D">
        <w:t xml:space="preserve"> une</w:t>
      </w:r>
      <w:r w:rsidR="002D3C0D" w:rsidRPr="006E32D5">
        <w:t xml:space="preserve"> connaissance générale</w:t>
      </w:r>
      <w:r w:rsidR="002D3C0D">
        <w:t xml:space="preserve"> du </w:t>
      </w:r>
      <w:r w:rsidR="002D3C0D" w:rsidRPr="006E32D5">
        <w:t>SGH.</w:t>
      </w:r>
    </w:p>
    <w:p w14:paraId="2B2CCAD3" w14:textId="77777777" w:rsidR="002D3C0D" w:rsidRPr="006E32D5" w:rsidRDefault="002D3C0D" w:rsidP="00730830">
      <w:pPr>
        <w:pStyle w:val="HChG"/>
      </w:pPr>
      <w:r w:rsidRPr="006E32D5">
        <w:br w:type="page"/>
      </w:r>
      <w:r w:rsidRPr="006E32D5">
        <w:lastRenderedPageBreak/>
        <w:t>Annexe</w:t>
      </w:r>
    </w:p>
    <w:p w14:paraId="706DD5EB" w14:textId="77777777" w:rsidR="002B60ED" w:rsidRDefault="002D3C0D" w:rsidP="00730830">
      <w:pPr>
        <w:pStyle w:val="H1G"/>
      </w:pPr>
      <w:r w:rsidRPr="006E32D5">
        <w:tab/>
      </w:r>
      <w:r w:rsidR="00730830">
        <w:tab/>
      </w:r>
      <w:r w:rsidRPr="006E32D5">
        <w:t>Aperçu de l</w:t>
      </w:r>
      <w:r w:rsidR="006259F8">
        <w:t>’</w:t>
      </w:r>
      <w:r w:rsidRPr="006E32D5">
        <w:t xml:space="preserve">éventuel nouveau système de classification </w:t>
      </w:r>
      <w:r>
        <w:t>des</w:t>
      </w:r>
      <w:r w:rsidRPr="006E32D5">
        <w:t xml:space="preserve"> explosifs </w:t>
      </w:r>
      <w:r>
        <w:t xml:space="preserve">dans le SGH </w:t>
      </w:r>
      <w:r w:rsidRPr="006E32D5">
        <w:t xml:space="preserve">et </w:t>
      </w:r>
      <w:r>
        <w:t xml:space="preserve">de </w:t>
      </w:r>
      <w:r w:rsidRPr="006E32D5">
        <w:t>ses rapports avec le classement pour le transport</w:t>
      </w:r>
    </w:p>
    <w:tbl>
      <w:tblPr>
        <w:tblStyle w:val="TableGrid"/>
        <w:tblW w:w="7938" w:type="dxa"/>
        <w:tblInd w:w="1129" w:type="dxa"/>
        <w:tblLayout w:type="fixed"/>
        <w:tblLook w:val="04A0" w:firstRow="1" w:lastRow="0" w:firstColumn="1" w:lastColumn="0" w:noHBand="0" w:noVBand="1"/>
      </w:tblPr>
      <w:tblGrid>
        <w:gridCol w:w="2987"/>
        <w:gridCol w:w="1549"/>
        <w:gridCol w:w="1134"/>
        <w:gridCol w:w="1134"/>
        <w:gridCol w:w="1134"/>
      </w:tblGrid>
      <w:tr w:rsidR="00691282" w:rsidRPr="004A77A6" w14:paraId="0FB2B391" w14:textId="77777777" w:rsidTr="00477E73">
        <w:trPr>
          <w:trHeight w:val="486"/>
        </w:trPr>
        <w:tc>
          <w:tcPr>
            <w:tcW w:w="2987" w:type="dxa"/>
            <w:tcBorders>
              <w:top w:val="single" w:sz="4" w:space="0" w:color="auto"/>
              <w:right w:val="single" w:sz="12" w:space="0" w:color="auto"/>
            </w:tcBorders>
            <w:vAlign w:val="center"/>
          </w:tcPr>
          <w:p w14:paraId="40B48D56" w14:textId="77777777" w:rsidR="00691282" w:rsidRPr="00FD70A5" w:rsidRDefault="00691282" w:rsidP="008047D8">
            <w:pPr>
              <w:ind w:left="146"/>
              <w:rPr>
                <w:b/>
              </w:rPr>
            </w:pPr>
            <w:r w:rsidRPr="006E32D5">
              <w:rPr>
                <w:b/>
              </w:rPr>
              <w:t>Classe de danger SGH</w:t>
            </w:r>
          </w:p>
        </w:tc>
        <w:tc>
          <w:tcPr>
            <w:tcW w:w="4951" w:type="dxa"/>
            <w:gridSpan w:val="4"/>
            <w:tcBorders>
              <w:top w:val="single" w:sz="4" w:space="0" w:color="auto"/>
              <w:left w:val="single" w:sz="12" w:space="0" w:color="auto"/>
            </w:tcBorders>
            <w:vAlign w:val="center"/>
          </w:tcPr>
          <w:p w14:paraId="699EE48C" w14:textId="77777777" w:rsidR="00691282" w:rsidRPr="00C66831" w:rsidRDefault="00691282" w:rsidP="008047D8">
            <w:pPr>
              <w:jc w:val="center"/>
              <w:rPr>
                <w:b/>
              </w:rPr>
            </w:pPr>
            <w:r w:rsidRPr="006E32D5">
              <w:rPr>
                <w:b/>
              </w:rPr>
              <w:t>Explosifs</w:t>
            </w:r>
          </w:p>
        </w:tc>
      </w:tr>
      <w:tr w:rsidR="00691282" w:rsidRPr="004A77A6" w14:paraId="4C0A0A57" w14:textId="77777777" w:rsidTr="00477E73">
        <w:trPr>
          <w:trHeight w:val="458"/>
        </w:trPr>
        <w:tc>
          <w:tcPr>
            <w:tcW w:w="2987" w:type="dxa"/>
            <w:tcBorders>
              <w:right w:val="single" w:sz="12" w:space="0" w:color="auto"/>
            </w:tcBorders>
            <w:vAlign w:val="center"/>
          </w:tcPr>
          <w:p w14:paraId="559F79F2" w14:textId="77777777" w:rsidR="00691282" w:rsidRPr="00FD70A5" w:rsidRDefault="00691282" w:rsidP="008047D8">
            <w:pPr>
              <w:ind w:left="146"/>
              <w:rPr>
                <w:b/>
              </w:rPr>
            </w:pPr>
            <w:r w:rsidRPr="006E32D5">
              <w:rPr>
                <w:b/>
              </w:rPr>
              <w:t>Division SGH</w:t>
            </w:r>
          </w:p>
        </w:tc>
        <w:tc>
          <w:tcPr>
            <w:tcW w:w="1549" w:type="dxa"/>
            <w:tcBorders>
              <w:left w:val="single" w:sz="12" w:space="0" w:color="auto"/>
              <w:right w:val="single" w:sz="12" w:space="0" w:color="auto"/>
            </w:tcBorders>
            <w:vAlign w:val="center"/>
          </w:tcPr>
          <w:p w14:paraId="62162290" w14:textId="77777777" w:rsidR="00691282" w:rsidRPr="00F91D77" w:rsidRDefault="00691282" w:rsidP="008047D8">
            <w:pPr>
              <w:jc w:val="center"/>
              <w:rPr>
                <w:i/>
              </w:rPr>
            </w:pPr>
            <w:r w:rsidRPr="006E32D5">
              <w:rPr>
                <w:i/>
              </w:rPr>
              <w:t>Sans objet</w:t>
            </w:r>
            <w:r w:rsidRPr="00A07C0C">
              <w:t xml:space="preserve"> *</w:t>
            </w:r>
          </w:p>
        </w:tc>
        <w:tc>
          <w:tcPr>
            <w:tcW w:w="3402" w:type="dxa"/>
            <w:gridSpan w:val="3"/>
            <w:tcBorders>
              <w:left w:val="single" w:sz="12" w:space="0" w:color="auto"/>
            </w:tcBorders>
            <w:vAlign w:val="center"/>
          </w:tcPr>
          <w:p w14:paraId="0638CC80" w14:textId="4C733605" w:rsidR="00691282" w:rsidRPr="004A77A6" w:rsidRDefault="00691282" w:rsidP="008047D8">
            <w:pPr>
              <w:jc w:val="center"/>
            </w:pPr>
            <w:r>
              <w:t xml:space="preserve">1.1 </w:t>
            </w:r>
            <w:r w:rsidR="00DD05E5">
              <w:t>−</w:t>
            </w:r>
            <w:r>
              <w:t xml:space="preserve"> 1.6</w:t>
            </w:r>
          </w:p>
        </w:tc>
      </w:tr>
      <w:tr w:rsidR="00691282" w:rsidRPr="004A77A6" w14:paraId="2B970DAF" w14:textId="77777777" w:rsidTr="00477E73">
        <w:trPr>
          <w:trHeight w:val="449"/>
        </w:trPr>
        <w:tc>
          <w:tcPr>
            <w:tcW w:w="2987" w:type="dxa"/>
            <w:tcBorders>
              <w:right w:val="single" w:sz="12" w:space="0" w:color="auto"/>
            </w:tcBorders>
            <w:vAlign w:val="center"/>
          </w:tcPr>
          <w:p w14:paraId="383B7C27" w14:textId="77777777" w:rsidR="00691282" w:rsidRPr="00FD70A5" w:rsidRDefault="00691282" w:rsidP="008047D8">
            <w:pPr>
              <w:ind w:left="146"/>
              <w:rPr>
                <w:b/>
              </w:rPr>
            </w:pPr>
            <w:r w:rsidRPr="006E32D5">
              <w:rPr>
                <w:b/>
              </w:rPr>
              <w:t>Catégorie SGH</w:t>
            </w:r>
          </w:p>
        </w:tc>
        <w:tc>
          <w:tcPr>
            <w:tcW w:w="1549" w:type="dxa"/>
            <w:tcBorders>
              <w:left w:val="single" w:sz="12" w:space="0" w:color="auto"/>
              <w:right w:val="single" w:sz="12" w:space="0" w:color="auto"/>
            </w:tcBorders>
            <w:vAlign w:val="center"/>
          </w:tcPr>
          <w:p w14:paraId="5D16C81F" w14:textId="77777777" w:rsidR="00691282" w:rsidRPr="004A77A6" w:rsidRDefault="00691282" w:rsidP="008047D8">
            <w:pPr>
              <w:jc w:val="center"/>
            </w:pPr>
            <w:r w:rsidRPr="004A77A6">
              <w:t>1</w:t>
            </w:r>
          </w:p>
        </w:tc>
        <w:tc>
          <w:tcPr>
            <w:tcW w:w="3402" w:type="dxa"/>
            <w:gridSpan w:val="3"/>
            <w:tcBorders>
              <w:left w:val="single" w:sz="12" w:space="0" w:color="auto"/>
            </w:tcBorders>
            <w:vAlign w:val="center"/>
          </w:tcPr>
          <w:p w14:paraId="4E0832F0" w14:textId="77777777" w:rsidR="00691282" w:rsidRPr="004A77A6" w:rsidRDefault="00691282" w:rsidP="008047D8">
            <w:pPr>
              <w:jc w:val="center"/>
            </w:pPr>
            <w:r w:rsidRPr="004A77A6">
              <w:t>2</w:t>
            </w:r>
          </w:p>
        </w:tc>
      </w:tr>
      <w:tr w:rsidR="00691282" w:rsidRPr="004A77A6" w14:paraId="4F592277" w14:textId="77777777" w:rsidTr="00477E73">
        <w:trPr>
          <w:trHeight w:val="414"/>
        </w:trPr>
        <w:tc>
          <w:tcPr>
            <w:tcW w:w="2987" w:type="dxa"/>
            <w:tcBorders>
              <w:bottom w:val="single" w:sz="18" w:space="0" w:color="auto"/>
              <w:right w:val="single" w:sz="12" w:space="0" w:color="auto"/>
            </w:tcBorders>
            <w:vAlign w:val="center"/>
          </w:tcPr>
          <w:p w14:paraId="5CF4CD03" w14:textId="77777777" w:rsidR="00691282" w:rsidRPr="00FD70A5" w:rsidRDefault="00691282" w:rsidP="008047D8">
            <w:pPr>
              <w:ind w:left="146"/>
              <w:rPr>
                <w:b/>
              </w:rPr>
            </w:pPr>
            <w:r w:rsidRPr="006E32D5">
              <w:rPr>
                <w:b/>
              </w:rPr>
              <w:t>Sous-catégorie SGH</w:t>
            </w:r>
          </w:p>
        </w:tc>
        <w:tc>
          <w:tcPr>
            <w:tcW w:w="1549" w:type="dxa"/>
            <w:tcBorders>
              <w:left w:val="single" w:sz="12" w:space="0" w:color="auto"/>
              <w:bottom w:val="single" w:sz="18" w:space="0" w:color="auto"/>
              <w:right w:val="single" w:sz="12" w:space="0" w:color="auto"/>
            </w:tcBorders>
            <w:vAlign w:val="center"/>
          </w:tcPr>
          <w:p w14:paraId="3669CF25" w14:textId="77777777" w:rsidR="00691282" w:rsidRPr="004A77A6" w:rsidRDefault="00691282" w:rsidP="008047D8">
            <w:pPr>
              <w:jc w:val="center"/>
            </w:pPr>
            <w:r w:rsidRPr="006E32D5">
              <w:rPr>
                <w:i/>
              </w:rPr>
              <w:t>Sans objet</w:t>
            </w:r>
            <w:r>
              <w:t xml:space="preserve"> **</w:t>
            </w:r>
          </w:p>
        </w:tc>
        <w:tc>
          <w:tcPr>
            <w:tcW w:w="1134" w:type="dxa"/>
            <w:tcBorders>
              <w:left w:val="single" w:sz="12" w:space="0" w:color="auto"/>
              <w:bottom w:val="single" w:sz="18" w:space="0" w:color="auto"/>
            </w:tcBorders>
            <w:vAlign w:val="center"/>
          </w:tcPr>
          <w:p w14:paraId="143C9D3B" w14:textId="77777777" w:rsidR="00691282" w:rsidRPr="004A77A6" w:rsidRDefault="00691282" w:rsidP="008047D8">
            <w:pPr>
              <w:jc w:val="center"/>
            </w:pPr>
            <w:r w:rsidRPr="004A77A6">
              <w:t>2A</w:t>
            </w:r>
          </w:p>
        </w:tc>
        <w:tc>
          <w:tcPr>
            <w:tcW w:w="1134" w:type="dxa"/>
            <w:tcBorders>
              <w:bottom w:val="single" w:sz="18" w:space="0" w:color="auto"/>
            </w:tcBorders>
            <w:vAlign w:val="center"/>
          </w:tcPr>
          <w:p w14:paraId="74688B4A" w14:textId="77777777" w:rsidR="00691282" w:rsidRPr="004A77A6" w:rsidRDefault="00691282" w:rsidP="008047D8">
            <w:pPr>
              <w:jc w:val="center"/>
            </w:pPr>
            <w:r w:rsidRPr="004A77A6">
              <w:t>2B</w:t>
            </w:r>
          </w:p>
        </w:tc>
        <w:tc>
          <w:tcPr>
            <w:tcW w:w="1134" w:type="dxa"/>
            <w:tcBorders>
              <w:bottom w:val="single" w:sz="18" w:space="0" w:color="auto"/>
            </w:tcBorders>
            <w:vAlign w:val="center"/>
          </w:tcPr>
          <w:p w14:paraId="69B49230" w14:textId="77777777" w:rsidR="00691282" w:rsidRPr="004A77A6" w:rsidRDefault="00691282" w:rsidP="008047D8">
            <w:pPr>
              <w:jc w:val="center"/>
            </w:pPr>
            <w:r w:rsidRPr="004A77A6">
              <w:t>2C</w:t>
            </w:r>
          </w:p>
        </w:tc>
      </w:tr>
      <w:tr w:rsidR="00691282" w:rsidRPr="004A77A6" w14:paraId="42924F9B" w14:textId="77777777" w:rsidTr="00477E73">
        <w:trPr>
          <w:trHeight w:val="414"/>
        </w:trPr>
        <w:tc>
          <w:tcPr>
            <w:tcW w:w="2987" w:type="dxa"/>
            <w:tcBorders>
              <w:top w:val="single" w:sz="18" w:space="0" w:color="auto"/>
              <w:right w:val="single" w:sz="12" w:space="0" w:color="auto"/>
            </w:tcBorders>
            <w:vAlign w:val="center"/>
          </w:tcPr>
          <w:p w14:paraId="298BFFB5" w14:textId="77777777" w:rsidR="00691282" w:rsidRPr="00FD70A5" w:rsidRDefault="00691282" w:rsidP="008047D8">
            <w:pPr>
              <w:ind w:left="146"/>
              <w:rPr>
                <w:b/>
              </w:rPr>
            </w:pPr>
            <w:r w:rsidRPr="006E32D5">
              <w:rPr>
                <w:b/>
              </w:rPr>
              <w:t>Classe dans le Règlement type</w:t>
            </w:r>
          </w:p>
        </w:tc>
        <w:tc>
          <w:tcPr>
            <w:tcW w:w="1549" w:type="dxa"/>
            <w:tcBorders>
              <w:top w:val="single" w:sz="18" w:space="0" w:color="auto"/>
              <w:left w:val="single" w:sz="12" w:space="0" w:color="auto"/>
              <w:right w:val="single" w:sz="12" w:space="0" w:color="auto"/>
            </w:tcBorders>
            <w:vAlign w:val="center"/>
          </w:tcPr>
          <w:p w14:paraId="7ADD7960" w14:textId="77777777" w:rsidR="00691282" w:rsidRPr="00F91D77" w:rsidRDefault="00691282" w:rsidP="008047D8">
            <w:pPr>
              <w:jc w:val="center"/>
              <w:rPr>
                <w:i/>
              </w:rPr>
            </w:pPr>
            <w:r w:rsidRPr="006E32D5">
              <w:rPr>
                <w:i/>
              </w:rPr>
              <w:t>Sans objet</w:t>
            </w:r>
            <w:r>
              <w:t xml:space="preserve"> ***</w:t>
            </w:r>
          </w:p>
        </w:tc>
        <w:tc>
          <w:tcPr>
            <w:tcW w:w="3402" w:type="dxa"/>
            <w:gridSpan w:val="3"/>
            <w:tcBorders>
              <w:top w:val="single" w:sz="18" w:space="0" w:color="auto"/>
              <w:left w:val="single" w:sz="12" w:space="0" w:color="auto"/>
            </w:tcBorders>
            <w:vAlign w:val="center"/>
          </w:tcPr>
          <w:p w14:paraId="1D8641AD" w14:textId="77777777" w:rsidR="00691282" w:rsidRPr="004A77A6" w:rsidRDefault="00691282" w:rsidP="008047D8">
            <w:pPr>
              <w:jc w:val="center"/>
            </w:pPr>
            <w:r>
              <w:rPr>
                <w:b/>
              </w:rPr>
              <w:t xml:space="preserve">Classe </w:t>
            </w:r>
            <w:r w:rsidRPr="006514B0">
              <w:rPr>
                <w:b/>
              </w:rPr>
              <w:t>1</w:t>
            </w:r>
          </w:p>
        </w:tc>
      </w:tr>
      <w:tr w:rsidR="00691282" w:rsidRPr="004A77A6" w14:paraId="3D92217D" w14:textId="77777777" w:rsidTr="00477E73">
        <w:trPr>
          <w:trHeight w:val="414"/>
        </w:trPr>
        <w:tc>
          <w:tcPr>
            <w:tcW w:w="2987" w:type="dxa"/>
            <w:tcBorders>
              <w:right w:val="single" w:sz="12" w:space="0" w:color="auto"/>
            </w:tcBorders>
            <w:vAlign w:val="center"/>
          </w:tcPr>
          <w:p w14:paraId="0204CB46" w14:textId="77777777" w:rsidR="00691282" w:rsidRPr="00FD70A5" w:rsidRDefault="00691282" w:rsidP="008047D8">
            <w:pPr>
              <w:ind w:left="146"/>
              <w:rPr>
                <w:b/>
              </w:rPr>
            </w:pPr>
            <w:r w:rsidRPr="006E32D5">
              <w:rPr>
                <w:b/>
              </w:rPr>
              <w:t>Division dans le Règlement type</w:t>
            </w:r>
          </w:p>
        </w:tc>
        <w:tc>
          <w:tcPr>
            <w:tcW w:w="1549" w:type="dxa"/>
            <w:tcBorders>
              <w:left w:val="single" w:sz="12" w:space="0" w:color="auto"/>
              <w:right w:val="single" w:sz="12" w:space="0" w:color="auto"/>
            </w:tcBorders>
            <w:vAlign w:val="center"/>
          </w:tcPr>
          <w:p w14:paraId="0CF6E75E" w14:textId="77777777" w:rsidR="00691282" w:rsidRPr="00F91D77" w:rsidRDefault="00691282" w:rsidP="008047D8">
            <w:pPr>
              <w:jc w:val="center"/>
              <w:rPr>
                <w:i/>
              </w:rPr>
            </w:pPr>
            <w:r w:rsidRPr="006E32D5">
              <w:rPr>
                <w:i/>
              </w:rPr>
              <w:t>Sans objet</w:t>
            </w:r>
            <w:r w:rsidRPr="00A07C0C">
              <w:t xml:space="preserve"> ***</w:t>
            </w:r>
          </w:p>
        </w:tc>
        <w:tc>
          <w:tcPr>
            <w:tcW w:w="3402" w:type="dxa"/>
            <w:gridSpan w:val="3"/>
            <w:tcBorders>
              <w:left w:val="single" w:sz="12" w:space="0" w:color="auto"/>
            </w:tcBorders>
            <w:vAlign w:val="center"/>
          </w:tcPr>
          <w:p w14:paraId="7716B7B2" w14:textId="5602B877" w:rsidR="00691282" w:rsidRPr="004A77A6" w:rsidRDefault="00691282" w:rsidP="008047D8">
            <w:pPr>
              <w:jc w:val="center"/>
            </w:pPr>
            <w:r>
              <w:t xml:space="preserve">1.1 </w:t>
            </w:r>
            <w:r w:rsidR="00DD05E5">
              <w:t>−</w:t>
            </w:r>
            <w:r>
              <w:t xml:space="preserve"> 1.6</w:t>
            </w:r>
          </w:p>
        </w:tc>
      </w:tr>
    </w:tbl>
    <w:p w14:paraId="2A1B9074" w14:textId="77777777" w:rsidR="002D3C0D" w:rsidRPr="006E32D5" w:rsidRDefault="002D3C0D" w:rsidP="00477E73">
      <w:pPr>
        <w:pStyle w:val="SingleTxtG"/>
        <w:tabs>
          <w:tab w:val="left" w:pos="1531"/>
        </w:tabs>
        <w:spacing w:before="120"/>
        <w:ind w:right="567"/>
      </w:pPr>
      <w:r w:rsidRPr="00477E73">
        <w:rPr>
          <w:sz w:val="18"/>
          <w:szCs w:val="18"/>
        </w:rPr>
        <w:t>*</w:t>
      </w:r>
      <w:r w:rsidRPr="006E32D5">
        <w:tab/>
      </w:r>
      <w:r w:rsidRPr="00477E73">
        <w:rPr>
          <w:sz w:val="18"/>
          <w:szCs w:val="18"/>
        </w:rPr>
        <w:t>Les explosifs qui ne peuvent être affectés à une division devraient relever de la catégorie 1 (voir le document INF.46 soumis à la trente-sixième session du Sous-Comité du SGH)</w:t>
      </w:r>
    </w:p>
    <w:p w14:paraId="7E817606" w14:textId="77777777" w:rsidR="002D3C0D" w:rsidRPr="00477E73" w:rsidRDefault="002D3C0D" w:rsidP="00477E73">
      <w:pPr>
        <w:pStyle w:val="SingleTxtG"/>
        <w:tabs>
          <w:tab w:val="left" w:pos="1531"/>
        </w:tabs>
        <w:spacing w:before="120"/>
        <w:ind w:right="567"/>
        <w:rPr>
          <w:sz w:val="18"/>
          <w:szCs w:val="18"/>
        </w:rPr>
      </w:pPr>
      <w:r w:rsidRPr="00477E73">
        <w:rPr>
          <w:sz w:val="18"/>
          <w:szCs w:val="18"/>
        </w:rPr>
        <w:t>**</w:t>
      </w:r>
      <w:r w:rsidRPr="00477E73">
        <w:rPr>
          <w:sz w:val="18"/>
          <w:szCs w:val="18"/>
        </w:rPr>
        <w:tab/>
        <w:t>La question de savoir si la catégorie 1 devrait être scindée en sous-catégories n</w:t>
      </w:r>
      <w:r w:rsidR="006259F8" w:rsidRPr="00477E73">
        <w:rPr>
          <w:sz w:val="18"/>
          <w:szCs w:val="18"/>
        </w:rPr>
        <w:t>’</w:t>
      </w:r>
      <w:r w:rsidRPr="00477E73">
        <w:rPr>
          <w:sz w:val="18"/>
          <w:szCs w:val="18"/>
        </w:rPr>
        <w:t>a pas encore été complètement résolue (voir le document INF.19 soumis à la trente-sixième session du Sous</w:t>
      </w:r>
      <w:r w:rsidR="006259F8" w:rsidRPr="00477E73">
        <w:rPr>
          <w:sz w:val="18"/>
          <w:szCs w:val="18"/>
        </w:rPr>
        <w:noBreakHyphen/>
      </w:r>
      <w:r w:rsidRPr="00477E73">
        <w:rPr>
          <w:sz w:val="18"/>
          <w:szCs w:val="18"/>
        </w:rPr>
        <w:t>Comité du SGH et le document INF.29 soumis à la cinquante-quatrième session du Sous</w:t>
      </w:r>
      <w:r w:rsidR="006259F8" w:rsidRPr="00477E73">
        <w:rPr>
          <w:sz w:val="18"/>
          <w:szCs w:val="18"/>
        </w:rPr>
        <w:noBreakHyphen/>
      </w:r>
      <w:r w:rsidRPr="00477E73">
        <w:rPr>
          <w:sz w:val="18"/>
          <w:szCs w:val="18"/>
        </w:rPr>
        <w:t>Comité du TMD).</w:t>
      </w:r>
    </w:p>
    <w:p w14:paraId="4799B3BF" w14:textId="2B35E59E" w:rsidR="00446FE5" w:rsidRDefault="002D3C0D" w:rsidP="00477E73">
      <w:pPr>
        <w:pStyle w:val="SingleTxtG"/>
        <w:tabs>
          <w:tab w:val="left" w:pos="1531"/>
        </w:tabs>
        <w:spacing w:before="120"/>
        <w:ind w:right="567"/>
      </w:pPr>
      <w:r w:rsidRPr="00477E73">
        <w:rPr>
          <w:sz w:val="18"/>
          <w:szCs w:val="18"/>
        </w:rPr>
        <w:t>***</w:t>
      </w:r>
      <w:r w:rsidRPr="00477E73">
        <w:rPr>
          <w:sz w:val="18"/>
          <w:szCs w:val="18"/>
        </w:rPr>
        <w:tab/>
        <w:t>Trop dangereux pour le transport (voir chap</w:t>
      </w:r>
      <w:r w:rsidR="00D13947">
        <w:rPr>
          <w:sz w:val="18"/>
          <w:szCs w:val="18"/>
        </w:rPr>
        <w:t>.</w:t>
      </w:r>
      <w:r w:rsidR="006259F8" w:rsidRPr="00477E73">
        <w:rPr>
          <w:sz w:val="18"/>
          <w:szCs w:val="18"/>
        </w:rPr>
        <w:t> 2</w:t>
      </w:r>
      <w:r w:rsidRPr="00477E73">
        <w:rPr>
          <w:sz w:val="18"/>
          <w:szCs w:val="18"/>
        </w:rPr>
        <w:t>.1 du Règlement type).</w:t>
      </w:r>
    </w:p>
    <w:p w14:paraId="6E91920E" w14:textId="77777777" w:rsidR="006259F8" w:rsidRPr="006259F8" w:rsidRDefault="006259F8" w:rsidP="006259F8">
      <w:pPr>
        <w:pStyle w:val="SingleTxtG"/>
        <w:spacing w:before="240" w:after="0"/>
        <w:jc w:val="center"/>
        <w:rPr>
          <w:u w:val="single"/>
        </w:rPr>
      </w:pPr>
      <w:r>
        <w:rPr>
          <w:u w:val="single"/>
        </w:rPr>
        <w:tab/>
      </w:r>
      <w:r>
        <w:rPr>
          <w:u w:val="single"/>
        </w:rPr>
        <w:tab/>
      </w:r>
      <w:r>
        <w:rPr>
          <w:u w:val="single"/>
        </w:rPr>
        <w:tab/>
      </w:r>
    </w:p>
    <w:sectPr w:rsidR="006259F8" w:rsidRPr="006259F8" w:rsidSect="002B60E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64E2" w14:textId="77777777" w:rsidR="00A91663" w:rsidRDefault="00A91663" w:rsidP="00F95C08">
      <w:pPr>
        <w:spacing w:line="240" w:lineRule="auto"/>
      </w:pPr>
    </w:p>
  </w:endnote>
  <w:endnote w:type="continuationSeparator" w:id="0">
    <w:p w14:paraId="694FF55A" w14:textId="77777777" w:rsidR="00A91663" w:rsidRPr="00AC3823" w:rsidRDefault="00A91663" w:rsidP="00AC3823">
      <w:pPr>
        <w:pStyle w:val="Footer"/>
      </w:pPr>
    </w:p>
  </w:endnote>
  <w:endnote w:type="continuationNotice" w:id="1">
    <w:p w14:paraId="5F866FC9" w14:textId="77777777" w:rsidR="00A91663" w:rsidRDefault="00A916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3DA3" w14:textId="77777777" w:rsidR="002B60ED" w:rsidRPr="002B60ED" w:rsidRDefault="002B60ED" w:rsidP="002B60ED">
    <w:pPr>
      <w:pStyle w:val="Footer"/>
      <w:tabs>
        <w:tab w:val="right" w:pos="9638"/>
      </w:tabs>
    </w:pPr>
    <w:r w:rsidRPr="002B60ED">
      <w:rPr>
        <w:b/>
        <w:sz w:val="18"/>
      </w:rPr>
      <w:fldChar w:fldCharType="begin"/>
    </w:r>
    <w:r w:rsidRPr="002B60ED">
      <w:rPr>
        <w:b/>
        <w:sz w:val="18"/>
      </w:rPr>
      <w:instrText xml:space="preserve"> PAGE  \* MERGEFORMAT </w:instrText>
    </w:r>
    <w:r w:rsidRPr="002B60ED">
      <w:rPr>
        <w:b/>
        <w:sz w:val="18"/>
      </w:rPr>
      <w:fldChar w:fldCharType="separate"/>
    </w:r>
    <w:r w:rsidRPr="002B60ED">
      <w:rPr>
        <w:b/>
        <w:noProof/>
        <w:sz w:val="18"/>
      </w:rPr>
      <w:t>2</w:t>
    </w:r>
    <w:r w:rsidRPr="002B60ED">
      <w:rPr>
        <w:b/>
        <w:sz w:val="18"/>
      </w:rPr>
      <w:fldChar w:fldCharType="end"/>
    </w:r>
    <w:r>
      <w:rPr>
        <w:b/>
        <w:sz w:val="18"/>
      </w:rPr>
      <w:tab/>
    </w:r>
    <w:r>
      <w:t>GE.19-05937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12FF" w14:textId="77777777" w:rsidR="002B60ED" w:rsidRPr="002B60ED" w:rsidRDefault="002B60ED" w:rsidP="002B60ED">
    <w:pPr>
      <w:pStyle w:val="Footer"/>
      <w:tabs>
        <w:tab w:val="right" w:pos="9638"/>
      </w:tabs>
      <w:rPr>
        <w:b/>
        <w:sz w:val="18"/>
      </w:rPr>
    </w:pPr>
    <w:r>
      <w:t>GE.19-05937</w:t>
    </w:r>
    <w:r>
      <w:tab/>
    </w:r>
    <w:r w:rsidRPr="002B60ED">
      <w:rPr>
        <w:b/>
        <w:sz w:val="18"/>
      </w:rPr>
      <w:fldChar w:fldCharType="begin"/>
    </w:r>
    <w:r w:rsidRPr="002B60ED">
      <w:rPr>
        <w:b/>
        <w:sz w:val="18"/>
      </w:rPr>
      <w:instrText xml:space="preserve"> PAGE  \* MERGEFORMAT </w:instrText>
    </w:r>
    <w:r w:rsidRPr="002B60ED">
      <w:rPr>
        <w:b/>
        <w:sz w:val="18"/>
      </w:rPr>
      <w:fldChar w:fldCharType="separate"/>
    </w:r>
    <w:r w:rsidRPr="002B60ED">
      <w:rPr>
        <w:b/>
        <w:noProof/>
        <w:sz w:val="18"/>
      </w:rPr>
      <w:t>3</w:t>
    </w:r>
    <w:r w:rsidRPr="002B60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2809" w14:textId="77777777" w:rsidR="0068456F" w:rsidRPr="002B60ED" w:rsidRDefault="002B60ED" w:rsidP="002B60ED">
    <w:pPr>
      <w:pStyle w:val="Footer"/>
      <w:spacing w:before="120"/>
      <w:rPr>
        <w:sz w:val="20"/>
      </w:rPr>
    </w:pPr>
    <w:r>
      <w:rPr>
        <w:sz w:val="20"/>
      </w:rPr>
      <w:t>GE.</w:t>
    </w:r>
    <w:r w:rsidR="0068456F">
      <w:rPr>
        <w:noProof/>
        <w:lang w:eastAsia="fr-CH"/>
      </w:rPr>
      <w:drawing>
        <wp:anchor distT="0" distB="0" distL="114300" distR="114300" simplePos="0" relativeHeight="251660800" behindDoc="0" locked="0" layoutInCell="1" allowOverlap="0" wp14:anchorId="32EC42C1" wp14:editId="2CC9A1D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19-05937  (F)</w:t>
    </w:r>
    <w:r w:rsidR="00477E73">
      <w:rPr>
        <w:sz w:val="20"/>
      </w:rPr>
      <w:t xml:space="preserve">    </w:t>
    </w:r>
    <w:r w:rsidR="006E0AE7">
      <w:rPr>
        <w:sz w:val="20"/>
      </w:rPr>
      <w:t>020519    090519</w:t>
    </w:r>
    <w:r>
      <w:rPr>
        <w:sz w:val="20"/>
      </w:rPr>
      <w:br/>
    </w:r>
    <w:r w:rsidRPr="002B60ED">
      <w:rPr>
        <w:rFonts w:ascii="C39T30Lfz" w:hAnsi="C39T30Lfz"/>
        <w:sz w:val="56"/>
      </w:rPr>
      <w:t></w:t>
    </w:r>
    <w:r w:rsidRPr="002B60ED">
      <w:rPr>
        <w:rFonts w:ascii="C39T30Lfz" w:hAnsi="C39T30Lfz"/>
        <w:sz w:val="56"/>
      </w:rPr>
      <w:t></w:t>
    </w:r>
    <w:r w:rsidRPr="002B60ED">
      <w:rPr>
        <w:rFonts w:ascii="C39T30Lfz" w:hAnsi="C39T30Lfz"/>
        <w:sz w:val="56"/>
      </w:rPr>
      <w:t></w:t>
    </w:r>
    <w:r w:rsidRPr="002B60ED">
      <w:rPr>
        <w:rFonts w:ascii="C39T30Lfz" w:hAnsi="C39T30Lfz"/>
        <w:sz w:val="56"/>
      </w:rPr>
      <w:t></w:t>
    </w:r>
    <w:r w:rsidRPr="002B60ED">
      <w:rPr>
        <w:rFonts w:ascii="C39T30Lfz" w:hAnsi="C39T30Lfz"/>
        <w:sz w:val="56"/>
      </w:rPr>
      <w:t></w:t>
    </w:r>
    <w:r w:rsidRPr="002B60ED">
      <w:rPr>
        <w:rFonts w:ascii="C39T30Lfz" w:hAnsi="C39T30Lfz"/>
        <w:sz w:val="56"/>
      </w:rPr>
      <w:t></w:t>
    </w:r>
    <w:r w:rsidRPr="002B60ED">
      <w:rPr>
        <w:rFonts w:ascii="C39T30Lfz" w:hAnsi="C39T30Lfz"/>
        <w:sz w:val="56"/>
      </w:rPr>
      <w:t></w:t>
    </w:r>
    <w:r w:rsidRPr="002B60ED">
      <w:rPr>
        <w:rFonts w:ascii="C39T30Lfz" w:hAnsi="C39T30Lfz"/>
        <w:sz w:val="56"/>
      </w:rPr>
      <w:t></w:t>
    </w:r>
    <w:r w:rsidRPr="002B60ED">
      <w:rPr>
        <w:rFonts w:ascii="C39T30Lfz" w:hAnsi="C39T30Lfz"/>
        <w:sz w:val="56"/>
      </w:rPr>
      <w:t></w:t>
    </w:r>
    <w:r>
      <w:rPr>
        <w:noProof/>
        <w:sz w:val="20"/>
      </w:rPr>
      <w:drawing>
        <wp:anchor distT="0" distB="0" distL="114300" distR="114300" simplePos="0" relativeHeight="251660288" behindDoc="0" locked="0" layoutInCell="1" allowOverlap="1" wp14:anchorId="4E52394D" wp14:editId="436D1F6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3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3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065AA" w14:textId="77777777" w:rsidR="00A91663" w:rsidRPr="00AC3823" w:rsidRDefault="00A91663" w:rsidP="00AC3823">
      <w:pPr>
        <w:pStyle w:val="Footer"/>
        <w:tabs>
          <w:tab w:val="right" w:pos="2155"/>
        </w:tabs>
        <w:spacing w:after="80" w:line="240" w:lineRule="atLeast"/>
        <w:ind w:left="680"/>
        <w:rPr>
          <w:u w:val="single"/>
        </w:rPr>
      </w:pPr>
      <w:r>
        <w:rPr>
          <w:u w:val="single"/>
        </w:rPr>
        <w:tab/>
      </w:r>
    </w:p>
  </w:footnote>
  <w:footnote w:type="continuationSeparator" w:id="0">
    <w:p w14:paraId="1CA125B2" w14:textId="77777777" w:rsidR="00A91663" w:rsidRPr="00AC3823" w:rsidRDefault="00A91663" w:rsidP="00AC3823">
      <w:pPr>
        <w:pStyle w:val="Footer"/>
        <w:tabs>
          <w:tab w:val="right" w:pos="2155"/>
        </w:tabs>
        <w:spacing w:after="80" w:line="240" w:lineRule="atLeast"/>
        <w:ind w:left="680"/>
        <w:rPr>
          <w:u w:val="single"/>
        </w:rPr>
      </w:pPr>
      <w:r>
        <w:rPr>
          <w:u w:val="single"/>
        </w:rPr>
        <w:tab/>
      </w:r>
    </w:p>
  </w:footnote>
  <w:footnote w:type="continuationNotice" w:id="1">
    <w:p w14:paraId="5DCAAB82" w14:textId="77777777" w:rsidR="00A91663" w:rsidRPr="00AC3823" w:rsidRDefault="00A91663">
      <w:pPr>
        <w:spacing w:line="240" w:lineRule="auto"/>
        <w:rPr>
          <w:sz w:val="2"/>
          <w:szCs w:val="2"/>
        </w:rPr>
      </w:pPr>
    </w:p>
  </w:footnote>
  <w:footnote w:id="2">
    <w:p w14:paraId="4C5AA9DA" w14:textId="77777777" w:rsidR="00D92221" w:rsidRPr="00D92221" w:rsidRDefault="00D92221">
      <w:pPr>
        <w:pStyle w:val="FootnoteText"/>
      </w:pPr>
      <w:r>
        <w:rPr>
          <w:rStyle w:val="FootnoteReference"/>
        </w:rPr>
        <w:tab/>
      </w:r>
      <w:r w:rsidRPr="00D92221">
        <w:rPr>
          <w:rStyle w:val="FootnoteReference"/>
          <w:sz w:val="20"/>
          <w:vertAlign w:val="baseline"/>
        </w:rPr>
        <w:t>*</w:t>
      </w:r>
      <w:r>
        <w:rPr>
          <w:rStyle w:val="FootnoteReference"/>
          <w:sz w:val="20"/>
          <w:vertAlign w:val="baseline"/>
        </w:rPr>
        <w:tab/>
      </w:r>
      <w:r w:rsidRPr="00762B7C">
        <w:rPr>
          <w:spacing w:val="-1"/>
        </w:rPr>
        <w:t>Conformément au programme de travail du Sous-Comité d</w:t>
      </w:r>
      <w:r w:rsidR="006259F8">
        <w:rPr>
          <w:spacing w:val="-1"/>
        </w:rPr>
        <w:t>’</w:t>
      </w:r>
      <w:r w:rsidRPr="00762B7C">
        <w:rPr>
          <w:spacing w:val="-1"/>
        </w:rPr>
        <w:t xml:space="preserve">experts du SGH pour la période </w:t>
      </w:r>
      <w:r>
        <w:rPr>
          <w:spacing w:val="-1"/>
        </w:rPr>
        <w:t>2019-2020</w:t>
      </w:r>
      <w:r w:rsidRPr="00762B7C">
        <w:rPr>
          <w:spacing w:val="-1"/>
        </w:rPr>
        <w:t>,</w:t>
      </w:r>
      <w:r w:rsidRPr="00762B7C">
        <w:t xml:space="preserve"> approuvé par le Comité à sa </w:t>
      </w:r>
      <w:r>
        <w:t>neuv</w:t>
      </w:r>
      <w:r w:rsidRPr="00762B7C">
        <w:t>ième session (ST/SG/AC.10/C.</w:t>
      </w:r>
      <w:r>
        <w:t>3</w:t>
      </w:r>
      <w:r w:rsidRPr="00762B7C">
        <w:t>/</w:t>
      </w:r>
      <w:r>
        <w:t>108</w:t>
      </w:r>
      <w:r w:rsidRPr="00762B7C">
        <w:t>, par. </w:t>
      </w:r>
      <w:r>
        <w:t>141</w:t>
      </w:r>
      <w:r w:rsidRPr="00762B7C">
        <w:t>, et ST/SG/AC.10/4</w:t>
      </w:r>
      <w:r>
        <w:t>6</w:t>
      </w:r>
      <w:r w:rsidRPr="00762B7C">
        <w:t>, par. 14).</w:t>
      </w:r>
    </w:p>
  </w:footnote>
  <w:footnote w:id="3">
    <w:p w14:paraId="4D32FE90" w14:textId="77777777" w:rsidR="00D92221" w:rsidRDefault="00D92221">
      <w:pPr>
        <w:pStyle w:val="FootnoteText"/>
      </w:pPr>
      <w:r>
        <w:tab/>
      </w:r>
      <w:r>
        <w:rPr>
          <w:rStyle w:val="FootnoteReference"/>
        </w:rPr>
        <w:footnoteRef/>
      </w:r>
      <w:r>
        <w:tab/>
        <w:t>Ces rapports de situation ont aussi été soumis au Sous-Comité d</w:t>
      </w:r>
      <w:r w:rsidR="006259F8">
        <w:t>’</w:t>
      </w:r>
      <w:r>
        <w:t>experts du transport des marchandises dangereuses, en sa qualité de coordonnateur des risques physiques du SGH.</w:t>
      </w:r>
    </w:p>
  </w:footnote>
  <w:footnote w:id="4">
    <w:p w14:paraId="385CC982" w14:textId="23821FEC" w:rsidR="00D92221" w:rsidRDefault="00D92221">
      <w:pPr>
        <w:pStyle w:val="FootnoteText"/>
      </w:pPr>
      <w:r>
        <w:tab/>
      </w:r>
      <w:r>
        <w:rPr>
          <w:rStyle w:val="FootnoteReference"/>
        </w:rPr>
        <w:footnoteRef/>
      </w:r>
      <w:r>
        <w:tab/>
      </w:r>
      <w:r w:rsidRPr="00806742">
        <w:t>Pour un compte-rendu détaillé des problèm</w:t>
      </w:r>
      <w:r>
        <w:t>e</w:t>
      </w:r>
      <w:r w:rsidRPr="00806742">
        <w:t>s que pose l</w:t>
      </w:r>
      <w:r w:rsidR="006259F8">
        <w:t>’</w:t>
      </w:r>
      <w:r w:rsidRPr="00806742">
        <w:t>actuel système de classification et des discussions relatives au nouveau système</w:t>
      </w:r>
      <w:r>
        <w:t xml:space="preserve"> en cours d</w:t>
      </w:r>
      <w:r w:rsidR="006259F8">
        <w:t>’</w:t>
      </w:r>
      <w:r>
        <w:t xml:space="preserve">élaboration, prière de se reporter au rapport de situation concernant les travaux reproduits dans le document </w:t>
      </w:r>
      <w:r w:rsidRPr="00806742">
        <w:t>INF</w:t>
      </w:r>
      <w:r>
        <w:t>.</w:t>
      </w:r>
      <w:r w:rsidRPr="00806742">
        <w:t>16 (</w:t>
      </w:r>
      <w:r>
        <w:t>trente-cinquième</w:t>
      </w:r>
      <w:r w:rsidRPr="00806742">
        <w:t xml:space="preserve"> session</w:t>
      </w:r>
      <w:r>
        <w:t xml:space="preserve"> du Sous-Comité du SGH</w:t>
      </w:r>
      <w:r w:rsidRPr="00806742">
        <w:t xml:space="preserve">) </w:t>
      </w:r>
      <w:r>
        <w:t xml:space="preserve">et le document </w:t>
      </w:r>
      <w:r w:rsidRPr="00806742">
        <w:t>INF</w:t>
      </w:r>
      <w:r>
        <w:t>.</w:t>
      </w:r>
      <w:r w:rsidRPr="00806742">
        <w:t>46 (</w:t>
      </w:r>
      <w:r>
        <w:t>cinquante-troisième</w:t>
      </w:r>
      <w:r w:rsidRPr="00806742">
        <w:t xml:space="preserve"> session</w:t>
      </w:r>
      <w:r>
        <w:t xml:space="preserve"> du Sous-Comité du</w:t>
      </w:r>
      <w:r w:rsidR="003F506E">
        <w:t> </w:t>
      </w:r>
      <w:r>
        <w:t>TMD</w:t>
      </w:r>
      <w:r w:rsidRPr="00806742">
        <w:t>).</w:t>
      </w:r>
    </w:p>
  </w:footnote>
  <w:footnote w:id="5">
    <w:p w14:paraId="5AAB48FB" w14:textId="77777777" w:rsidR="00D92221" w:rsidRDefault="00D92221">
      <w:pPr>
        <w:pStyle w:val="FootnoteText"/>
      </w:pPr>
      <w:r>
        <w:tab/>
      </w:r>
      <w:r>
        <w:rPr>
          <w:rStyle w:val="FootnoteReference"/>
        </w:rPr>
        <w:footnoteRef/>
      </w:r>
      <w:r>
        <w:tab/>
      </w:r>
      <w:r w:rsidRPr="00893017">
        <w:t>Les critères propos</w:t>
      </w:r>
      <w:r>
        <w:t>é</w:t>
      </w:r>
      <w:r w:rsidRPr="00893017">
        <w:t xml:space="preserve">s tiendraient néanmoins compte du </w:t>
      </w:r>
      <w:r>
        <w:t xml:space="preserve">récipient primaire </w:t>
      </w:r>
      <w:r w:rsidRPr="00893017">
        <w:t>(ou de l</w:t>
      </w:r>
      <w:r w:rsidR="006259F8">
        <w:t>’</w:t>
      </w:r>
      <w:r w:rsidRPr="00893017">
        <w:t xml:space="preserve">emballage </w:t>
      </w:r>
      <w:r>
        <w:t>intérieur</w:t>
      </w:r>
      <w:r w:rsidRPr="00893017">
        <w:t>)</w:t>
      </w:r>
      <w:r>
        <w:t> </w:t>
      </w:r>
      <w:r w:rsidRPr="00893017">
        <w:t xml:space="preserve">; </w:t>
      </w:r>
      <w:r>
        <w:t>p</w:t>
      </w:r>
      <w:r w:rsidRPr="00893017">
        <w:t>our plus de d</w:t>
      </w:r>
      <w:r>
        <w:t>étails</w:t>
      </w:r>
      <w:r w:rsidRPr="00893017">
        <w:t>,</w:t>
      </w:r>
      <w:r>
        <w:t xml:space="preserve"> se reporter au document</w:t>
      </w:r>
      <w:r w:rsidRPr="00893017">
        <w:t xml:space="preserve"> INF.46</w:t>
      </w:r>
      <w:r>
        <w:t xml:space="preserve"> (trente-sixième</w:t>
      </w:r>
      <w:r w:rsidRPr="00893017">
        <w:t xml:space="preserve"> session </w:t>
      </w:r>
      <w:r>
        <w:t>du Sous</w:t>
      </w:r>
      <w:r>
        <w:noBreakHyphen/>
        <w:t>Comité du</w:t>
      </w:r>
      <w:r w:rsidRPr="00893017">
        <w:t xml:space="preserve"> SGH</w:t>
      </w:r>
      <w:r w:rsidR="00477E73">
        <w:t>)</w:t>
      </w:r>
      <w:r w:rsidRPr="00893017">
        <w:t>.</w:t>
      </w:r>
    </w:p>
  </w:footnote>
  <w:footnote w:id="6">
    <w:p w14:paraId="781BAD55" w14:textId="77777777" w:rsidR="0048461A" w:rsidRDefault="0048461A">
      <w:pPr>
        <w:pStyle w:val="FootnoteText"/>
      </w:pPr>
      <w:r>
        <w:tab/>
      </w:r>
      <w:r>
        <w:rPr>
          <w:rStyle w:val="FootnoteReference"/>
        </w:rPr>
        <w:footnoteRef/>
      </w:r>
      <w:r>
        <w:tab/>
      </w:r>
      <w:r w:rsidRPr="00893017">
        <w:t xml:space="preserve">Il est courant que les </w:t>
      </w:r>
      <w:r>
        <w:t>r</w:t>
      </w:r>
      <w:r w:rsidRPr="00893017">
        <w:t>èglements et les directives concernant le sto</w:t>
      </w:r>
      <w:r>
        <w:t>ckage des explosifs, par exemple en ce qui concerne les distances de sécurité, mentionnent les divisions</w:t>
      </w:r>
      <w:r w:rsidRPr="00893017">
        <w:t>.</w:t>
      </w:r>
    </w:p>
  </w:footnote>
  <w:footnote w:id="7">
    <w:p w14:paraId="58D58226" w14:textId="77777777" w:rsidR="00C93A53" w:rsidRDefault="00C93A53">
      <w:pPr>
        <w:pStyle w:val="FootnoteText"/>
      </w:pPr>
      <w:r>
        <w:tab/>
      </w:r>
      <w:r>
        <w:rPr>
          <w:rStyle w:val="FootnoteReference"/>
        </w:rPr>
        <w:footnoteRef/>
      </w:r>
      <w:r>
        <w:tab/>
        <w:t xml:space="preserve">Voir </w:t>
      </w:r>
      <w:hyperlink r:id="rId1" w:history="1">
        <w:r w:rsidRPr="00C93A53">
          <w:rPr>
            <w:rStyle w:val="Hyperlink"/>
            <w:color w:val="000000" w:themeColor="text1"/>
          </w:rPr>
          <w:t>www.igus-experts.org</w:t>
        </w:r>
      </w:hyperlink>
      <w:r w:rsidRPr="00C93A53">
        <w:rPr>
          <w:rStyle w:val="Hyperlink"/>
          <w:color w:val="000000" w:themeColor="text1"/>
        </w:rPr>
        <w:t>.</w:t>
      </w:r>
    </w:p>
  </w:footnote>
  <w:footnote w:id="8">
    <w:p w14:paraId="11EED7C8" w14:textId="74955BA3" w:rsidR="00755F82" w:rsidRDefault="00755F82">
      <w:pPr>
        <w:pStyle w:val="FootnoteText"/>
      </w:pPr>
      <w:r>
        <w:tab/>
      </w:r>
      <w:r>
        <w:rPr>
          <w:rStyle w:val="FootnoteReference"/>
        </w:rPr>
        <w:footnoteRef/>
      </w:r>
      <w:r>
        <w:tab/>
      </w:r>
      <w:r w:rsidRPr="00EC2598">
        <w:t xml:space="preserve">Quelques experts du groupe de travail </w:t>
      </w:r>
      <w:r>
        <w:t xml:space="preserve">informel </w:t>
      </w:r>
      <w:r w:rsidRPr="00EC2598">
        <w:t>par correspond</w:t>
      </w:r>
      <w:r>
        <w:t>a</w:t>
      </w:r>
      <w:r w:rsidRPr="00EC2598">
        <w:t>nce seraient favorable</w:t>
      </w:r>
      <w:r>
        <w:t>s</w:t>
      </w:r>
      <w:r w:rsidRPr="00EC2598">
        <w:t xml:space="preserve"> à ce que la catégorie 1 soit scindée en deux, sauf</w:t>
      </w:r>
      <w:r>
        <w:t xml:space="preserve"> si l</w:t>
      </w:r>
      <w:r w:rsidR="006259F8">
        <w:t>’</w:t>
      </w:r>
      <w:r>
        <w:t>on pouvait trouver une mention de danger concernant à la fois la sensibilité mécanique et l</w:t>
      </w:r>
      <w:r w:rsidR="006259F8">
        <w:t>’</w:t>
      </w:r>
      <w:r>
        <w:t xml:space="preserve">instabilité thermique des explosifs actuellement classés comme « instables ». </w:t>
      </w:r>
      <w:r w:rsidRPr="00EC2598">
        <w:t>Pour plus de d</w:t>
      </w:r>
      <w:r>
        <w:t>é</w:t>
      </w:r>
      <w:r w:rsidRPr="00EC2598">
        <w:t>tails, voir les documents INF</w:t>
      </w:r>
      <w:r>
        <w:t>.</w:t>
      </w:r>
      <w:r w:rsidRPr="00EC2598">
        <w:t>19 (trente-sixi</w:t>
      </w:r>
      <w:r>
        <w:t>ème session du Sous-Comité du SGH</w:t>
      </w:r>
      <w:r w:rsidRPr="00EC2598">
        <w:t xml:space="preserve">) </w:t>
      </w:r>
      <w:r>
        <w:t xml:space="preserve">et </w:t>
      </w:r>
      <w:r w:rsidRPr="00EC2598">
        <w:t>INF</w:t>
      </w:r>
      <w:r>
        <w:t>.</w:t>
      </w:r>
      <w:r w:rsidRPr="00EC2598">
        <w:t>29 (</w:t>
      </w:r>
      <w:r>
        <w:t>cinquante-quatrième session du Sous-Comité du TMD).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4093" w14:textId="633D75BC" w:rsidR="002B60ED" w:rsidRPr="002B60ED" w:rsidRDefault="002B60ED">
    <w:pPr>
      <w:pStyle w:val="Header"/>
      <w:rPr>
        <w:lang w:val="en-US"/>
      </w:rPr>
    </w:pPr>
    <w:r>
      <w:fldChar w:fldCharType="begin"/>
    </w:r>
    <w:r w:rsidRPr="002B60ED">
      <w:rPr>
        <w:lang w:val="en-US"/>
      </w:rPr>
      <w:instrText xml:space="preserve"> TITLE  \* MERGEFORMAT </w:instrText>
    </w:r>
    <w:r>
      <w:fldChar w:fldCharType="separate"/>
    </w:r>
    <w:r w:rsidR="0030040A">
      <w:rPr>
        <w:lang w:val="en-US"/>
      </w:rPr>
      <w:t>ST/SG/AC.10/C.3/2019/32</w:t>
    </w:r>
    <w:r>
      <w:fldChar w:fldCharType="end"/>
    </w:r>
    <w:r w:rsidRPr="002B60ED">
      <w:rPr>
        <w:lang w:val="en-US"/>
      </w:rPr>
      <w:br/>
    </w:r>
    <w:r>
      <w:fldChar w:fldCharType="begin"/>
    </w:r>
    <w:r w:rsidRPr="002B60ED">
      <w:rPr>
        <w:lang w:val="en-US"/>
      </w:rPr>
      <w:instrText xml:space="preserve"> KEYWORDS  \* MERGEFORMAT </w:instrText>
    </w:r>
    <w:r>
      <w:fldChar w:fldCharType="separate"/>
    </w:r>
    <w:r w:rsidR="0030040A">
      <w:rPr>
        <w:lang w:val="en-US"/>
      </w:rPr>
      <w:t>ST/SG/AC.10/C.4/2019/5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038C" w14:textId="107CDFD7" w:rsidR="002B60ED" w:rsidRPr="002B60ED" w:rsidRDefault="002B60ED" w:rsidP="002B60ED">
    <w:pPr>
      <w:pStyle w:val="Header"/>
      <w:jc w:val="right"/>
      <w:rPr>
        <w:lang w:val="en-US"/>
      </w:rPr>
    </w:pPr>
    <w:r>
      <w:fldChar w:fldCharType="begin"/>
    </w:r>
    <w:r w:rsidRPr="002B60ED">
      <w:rPr>
        <w:lang w:val="en-US"/>
      </w:rPr>
      <w:instrText xml:space="preserve"> TITLE  \* MERGEFORMAT </w:instrText>
    </w:r>
    <w:r>
      <w:fldChar w:fldCharType="separate"/>
    </w:r>
    <w:r w:rsidR="0030040A">
      <w:rPr>
        <w:lang w:val="en-US"/>
      </w:rPr>
      <w:t>ST/SG/AC.10/C.3/2019/32</w:t>
    </w:r>
    <w:r>
      <w:fldChar w:fldCharType="end"/>
    </w:r>
    <w:r w:rsidRPr="002B60ED">
      <w:rPr>
        <w:lang w:val="en-US"/>
      </w:rPr>
      <w:br/>
    </w:r>
    <w:r>
      <w:fldChar w:fldCharType="begin"/>
    </w:r>
    <w:r w:rsidRPr="002B60ED">
      <w:rPr>
        <w:lang w:val="en-US"/>
      </w:rPr>
      <w:instrText xml:space="preserve"> KEYWORDS  \* MERGEFORMAT </w:instrText>
    </w:r>
    <w:r>
      <w:fldChar w:fldCharType="separate"/>
    </w:r>
    <w:r w:rsidR="0030040A">
      <w:rPr>
        <w:lang w:val="en-US"/>
      </w:rPr>
      <w:t>ST/SG/AC.10/C.4/2019/5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63"/>
    <w:rsid w:val="00017F94"/>
    <w:rsid w:val="00023842"/>
    <w:rsid w:val="000305D3"/>
    <w:rsid w:val="000334F9"/>
    <w:rsid w:val="0007796D"/>
    <w:rsid w:val="000B7790"/>
    <w:rsid w:val="00111F2F"/>
    <w:rsid w:val="00132EA9"/>
    <w:rsid w:val="0014365E"/>
    <w:rsid w:val="00176178"/>
    <w:rsid w:val="001F525A"/>
    <w:rsid w:val="00223272"/>
    <w:rsid w:val="0024247D"/>
    <w:rsid w:val="0024779E"/>
    <w:rsid w:val="00283190"/>
    <w:rsid w:val="002832AC"/>
    <w:rsid w:val="002B60ED"/>
    <w:rsid w:val="002C08F2"/>
    <w:rsid w:val="002D3C0D"/>
    <w:rsid w:val="002D7C93"/>
    <w:rsid w:val="0030040A"/>
    <w:rsid w:val="003A3166"/>
    <w:rsid w:val="003F506E"/>
    <w:rsid w:val="00441C3B"/>
    <w:rsid w:val="00446FE5"/>
    <w:rsid w:val="00447FB4"/>
    <w:rsid w:val="00452396"/>
    <w:rsid w:val="00477E73"/>
    <w:rsid w:val="0048461A"/>
    <w:rsid w:val="004B7F84"/>
    <w:rsid w:val="004C01DC"/>
    <w:rsid w:val="004E468C"/>
    <w:rsid w:val="005505B7"/>
    <w:rsid w:val="00573BE5"/>
    <w:rsid w:val="00584DC4"/>
    <w:rsid w:val="00586ED3"/>
    <w:rsid w:val="00596AA9"/>
    <w:rsid w:val="006259F8"/>
    <w:rsid w:val="0068456F"/>
    <w:rsid w:val="00691282"/>
    <w:rsid w:val="006E0AE7"/>
    <w:rsid w:val="0071601D"/>
    <w:rsid w:val="00730830"/>
    <w:rsid w:val="00755F82"/>
    <w:rsid w:val="007A62E6"/>
    <w:rsid w:val="0080684C"/>
    <w:rsid w:val="00871C75"/>
    <w:rsid w:val="008776DC"/>
    <w:rsid w:val="008B40CD"/>
    <w:rsid w:val="008D484C"/>
    <w:rsid w:val="009705C8"/>
    <w:rsid w:val="009C1CF4"/>
    <w:rsid w:val="00A30353"/>
    <w:rsid w:val="00A37B12"/>
    <w:rsid w:val="00A91663"/>
    <w:rsid w:val="00AA30B2"/>
    <w:rsid w:val="00AC3823"/>
    <w:rsid w:val="00AE323C"/>
    <w:rsid w:val="00B00181"/>
    <w:rsid w:val="00B00B0D"/>
    <w:rsid w:val="00B765F7"/>
    <w:rsid w:val="00BA0CA9"/>
    <w:rsid w:val="00C02897"/>
    <w:rsid w:val="00C2533B"/>
    <w:rsid w:val="00C93A53"/>
    <w:rsid w:val="00D13947"/>
    <w:rsid w:val="00D3439C"/>
    <w:rsid w:val="00D75463"/>
    <w:rsid w:val="00D92221"/>
    <w:rsid w:val="00DB1831"/>
    <w:rsid w:val="00DD05E5"/>
    <w:rsid w:val="00DD3BFD"/>
    <w:rsid w:val="00DF6678"/>
    <w:rsid w:val="00EF2E22"/>
    <w:rsid w:val="00F01738"/>
    <w:rsid w:val="00F47C5E"/>
    <w:rsid w:val="00F660DF"/>
    <w:rsid w:val="00F730C8"/>
    <w:rsid w:val="00F93AD6"/>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2D0E4"/>
  <w15:docId w15:val="{88AC2E2D-30E0-47C9-859A-F87C21FB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gus-expe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1604</Words>
  <Characters>9143</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ST/SG/AC.10/C.3/2019/32</vt:lpstr>
      <vt:lpstr>ST/SG/AC.10/C.3/2019/32</vt:lpstr>
    </vt:vector>
  </TitlesOfParts>
  <Company>DCM</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ST/SG/AC.10/C.3/2019/32</dc:title>
  <dc:creator>Julien OKRZESIK</dc:creator>
  <cp:keywords>ST/SG/AC.10/C.4/2019/5</cp:keywords>
  <cp:lastModifiedBy>Laurence Berthet</cp:lastModifiedBy>
  <cp:revision>2</cp:revision>
  <cp:lastPrinted>2019-05-09T11:44:00Z</cp:lastPrinted>
  <dcterms:created xsi:type="dcterms:W3CDTF">2019-05-09T11:46:00Z</dcterms:created>
  <dcterms:modified xsi:type="dcterms:W3CDTF">2019-05-09T11:46:00Z</dcterms:modified>
</cp:coreProperties>
</file>