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63D0B4C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BFA4A1A" w14:textId="77777777" w:rsidR="00132EA9" w:rsidRPr="00DB58B5" w:rsidRDefault="00132EA9" w:rsidP="0050726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F99E23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234849F" w14:textId="77777777" w:rsidR="00132EA9" w:rsidRPr="00DB58B5" w:rsidRDefault="0050726F" w:rsidP="0050726F">
            <w:pPr>
              <w:jc w:val="right"/>
            </w:pPr>
            <w:r w:rsidRPr="0050726F">
              <w:rPr>
                <w:sz w:val="40"/>
              </w:rPr>
              <w:t>ST</w:t>
            </w:r>
            <w:r>
              <w:t>/SG/AC.10/C.3/2019/1</w:t>
            </w:r>
          </w:p>
        </w:tc>
      </w:tr>
      <w:tr w:rsidR="00132EA9" w:rsidRPr="00DB58B5" w14:paraId="6DADA181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B44195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9E58FEA" wp14:editId="46CEC20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44E4AC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C055168" w14:textId="77777777" w:rsidR="00132EA9" w:rsidRDefault="0050726F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310E218" w14:textId="77777777" w:rsidR="0050726F" w:rsidRDefault="0050726F" w:rsidP="0050726F">
            <w:pPr>
              <w:spacing w:line="240" w:lineRule="exact"/>
            </w:pPr>
            <w:r>
              <w:t>4 mars 2019</w:t>
            </w:r>
          </w:p>
          <w:p w14:paraId="59BE67FE" w14:textId="77777777" w:rsidR="0050726F" w:rsidRDefault="0050726F" w:rsidP="0050726F">
            <w:pPr>
              <w:spacing w:line="240" w:lineRule="exact"/>
            </w:pPr>
            <w:r>
              <w:t>Français</w:t>
            </w:r>
          </w:p>
          <w:p w14:paraId="78A85ABB" w14:textId="77777777" w:rsidR="0050726F" w:rsidRPr="00DB58B5" w:rsidRDefault="0050726F" w:rsidP="0050726F">
            <w:pPr>
              <w:spacing w:line="240" w:lineRule="exact"/>
            </w:pPr>
            <w:r>
              <w:t>Original : anglais</w:t>
            </w:r>
          </w:p>
        </w:tc>
      </w:tr>
    </w:tbl>
    <w:p w14:paraId="3919CF85" w14:textId="77777777" w:rsidR="0050726F" w:rsidRPr="00CA0680" w:rsidRDefault="0050726F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640372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640372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2E3AEC52" w14:textId="77777777" w:rsidR="0050726F" w:rsidRPr="00CA0680" w:rsidRDefault="0050726F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640372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2588D8D0" w14:textId="77777777" w:rsidR="0050726F" w:rsidRDefault="000E3233" w:rsidP="000305D3">
      <w:pPr>
        <w:spacing w:before="120"/>
        <w:rPr>
          <w:b/>
        </w:rPr>
      </w:pPr>
      <w:r w:rsidRPr="00F30848">
        <w:rPr>
          <w:b/>
        </w:rPr>
        <w:t>Cinquante-cinquième</w:t>
      </w:r>
      <w:r w:rsidR="0050726F">
        <w:rPr>
          <w:b/>
        </w:rPr>
        <w:t xml:space="preserve"> </w:t>
      </w:r>
      <w:r w:rsidR="0050726F" w:rsidRPr="00CA0680">
        <w:rPr>
          <w:b/>
        </w:rPr>
        <w:t>session</w:t>
      </w:r>
    </w:p>
    <w:p w14:paraId="0DF260EF" w14:textId="77777777" w:rsidR="0050726F" w:rsidRDefault="0050726F" w:rsidP="000305D3">
      <w:r>
        <w:t xml:space="preserve">Genève, </w:t>
      </w:r>
      <w:r w:rsidR="000E3233" w:rsidRPr="00F30848">
        <w:t>1</w:t>
      </w:r>
      <w:r w:rsidR="000E3233" w:rsidRPr="00F30848">
        <w:rPr>
          <w:vertAlign w:val="superscript"/>
        </w:rPr>
        <w:t>er</w:t>
      </w:r>
      <w:r w:rsidR="000E3233" w:rsidRPr="00F30848">
        <w:t>-5</w:t>
      </w:r>
      <w:r w:rsidR="000E3233">
        <w:t> </w:t>
      </w:r>
      <w:r w:rsidR="000E3233" w:rsidRPr="00F30848">
        <w:t>juillet 2019</w:t>
      </w:r>
    </w:p>
    <w:p w14:paraId="267D5B3C" w14:textId="77777777" w:rsidR="0050726F" w:rsidRDefault="0050726F" w:rsidP="000305D3">
      <w:r>
        <w:t>Point</w:t>
      </w:r>
      <w:r w:rsidR="000E3233">
        <w:t> </w:t>
      </w:r>
      <w:r w:rsidR="000E3233" w:rsidRPr="00F30848">
        <w:t>10</w:t>
      </w:r>
      <w:r w:rsidR="000E3233">
        <w:t> </w:t>
      </w:r>
      <w:r w:rsidR="000E3233" w:rsidRPr="00F30848">
        <w:t>c)</w:t>
      </w:r>
      <w:r>
        <w:t xml:space="preserve"> de l</w:t>
      </w:r>
      <w:r w:rsidR="00640372">
        <w:t>’</w:t>
      </w:r>
      <w:r>
        <w:t>ordre du jour provisoire</w:t>
      </w:r>
    </w:p>
    <w:p w14:paraId="3221DF4B" w14:textId="77777777" w:rsidR="0050726F" w:rsidRPr="00F30848" w:rsidRDefault="0050726F" w:rsidP="0050726F">
      <w:pPr>
        <w:rPr>
          <w:b/>
          <w:bCs/>
        </w:rPr>
      </w:pPr>
      <w:r w:rsidRPr="00C80D67">
        <w:rPr>
          <w:b/>
          <w:bCs/>
        </w:rPr>
        <w:t>Mise à jour des références aux directives de l</w:t>
      </w:r>
      <w:r w:rsidR="00640372">
        <w:rPr>
          <w:b/>
          <w:bCs/>
        </w:rPr>
        <w:t>’</w:t>
      </w:r>
      <w:r w:rsidRPr="00C80D67">
        <w:rPr>
          <w:b/>
          <w:bCs/>
        </w:rPr>
        <w:t>OCDE</w:t>
      </w:r>
    </w:p>
    <w:p w14:paraId="5880198F" w14:textId="77777777" w:rsidR="0050726F" w:rsidRPr="00F30848" w:rsidRDefault="0050726F" w:rsidP="000E3233">
      <w:pPr>
        <w:pStyle w:val="HChG"/>
        <w:rPr>
          <w:bCs/>
        </w:rPr>
      </w:pPr>
      <w:r w:rsidRPr="00F30848">
        <w:tab/>
      </w:r>
      <w:r w:rsidRPr="00F30848">
        <w:tab/>
        <w:t>Révision du paragraphe 2.8.3.2</w:t>
      </w:r>
    </w:p>
    <w:p w14:paraId="45617092" w14:textId="77777777" w:rsidR="0050726F" w:rsidRPr="00F30848" w:rsidRDefault="0050726F" w:rsidP="000E3233">
      <w:pPr>
        <w:pStyle w:val="H1G"/>
        <w:rPr>
          <w:bCs/>
        </w:rPr>
      </w:pPr>
      <w:r w:rsidRPr="00F30848">
        <w:tab/>
      </w:r>
      <w:r w:rsidRPr="00F30848">
        <w:tab/>
        <w:t>Communication de l</w:t>
      </w:r>
      <w:r w:rsidR="00640372">
        <w:t>’</w:t>
      </w:r>
      <w:r w:rsidRPr="00F30848">
        <w:t>Union européenne</w:t>
      </w:r>
      <w:r w:rsidR="000E3233" w:rsidRPr="000E323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62860EA" w14:textId="77777777" w:rsidR="0050726F" w:rsidRPr="00F30848" w:rsidRDefault="0050726F" w:rsidP="000E3233">
      <w:pPr>
        <w:pStyle w:val="HChG"/>
        <w:rPr>
          <w:bCs/>
        </w:rPr>
      </w:pPr>
      <w:r w:rsidRPr="00F30848">
        <w:tab/>
      </w:r>
      <w:r w:rsidRPr="00F30848">
        <w:tab/>
        <w:t>Introduction</w:t>
      </w:r>
    </w:p>
    <w:p w14:paraId="161ABC9D" w14:textId="77777777" w:rsidR="0050726F" w:rsidRPr="00F30848" w:rsidRDefault="000E3233" w:rsidP="000E3233">
      <w:pPr>
        <w:pStyle w:val="SingleTxtG"/>
      </w:pPr>
      <w:r>
        <w:t>1.</w:t>
      </w:r>
      <w:r>
        <w:tab/>
      </w:r>
      <w:r w:rsidR="0050726F" w:rsidRPr="00F30848">
        <w:t>La Commission européenne souhaite remercier tous les représentants qui ont contribué à l</w:t>
      </w:r>
      <w:r w:rsidR="00640372">
        <w:t>’</w:t>
      </w:r>
      <w:r w:rsidR="0050726F" w:rsidRPr="00F30848">
        <w:t>établissement de la version finale du paragraphe 2.8.3.2 ainsi qu</w:t>
      </w:r>
      <w:r w:rsidR="00640372">
        <w:t>’</w:t>
      </w:r>
      <w:r w:rsidR="0050726F" w:rsidRPr="00F30848">
        <w:t>à son adoption, sur la base de la proposition figurant dans le document ST/SG/AC.10/C.3/2018/70, examiné à la cinquante-quatrième session.</w:t>
      </w:r>
    </w:p>
    <w:p w14:paraId="1AC29114" w14:textId="77777777" w:rsidR="0050726F" w:rsidRPr="00F30848" w:rsidRDefault="0050726F" w:rsidP="000E3233">
      <w:pPr>
        <w:pStyle w:val="SingleTxtG"/>
        <w:rPr>
          <w:b/>
          <w:bCs/>
        </w:rPr>
      </w:pPr>
      <w:r w:rsidRPr="00F30848">
        <w:rPr>
          <w:lang w:eastAsia="en-GB"/>
        </w:rPr>
        <w:t>2.</w:t>
      </w:r>
      <w:r w:rsidRPr="00F30848">
        <w:rPr>
          <w:lang w:eastAsia="en-GB"/>
        </w:rPr>
        <w:tab/>
        <w:t>En son annexe I, le rapport du Sous-Comité d</w:t>
      </w:r>
      <w:r w:rsidR="00640372">
        <w:rPr>
          <w:lang w:eastAsia="en-GB"/>
        </w:rPr>
        <w:t>’</w:t>
      </w:r>
      <w:r w:rsidRPr="00F30848">
        <w:rPr>
          <w:lang w:eastAsia="en-GB"/>
        </w:rPr>
        <w:t>experts du transport des marchandises dangereuses sur sa cinquante-quatrième session (</w:t>
      </w:r>
      <w:r w:rsidRPr="00F30848">
        <w:t xml:space="preserve">ST/SG/AC.10/C.3/108/Add.1) </w:t>
      </w:r>
      <w:r>
        <w:t>comprend</w:t>
      </w:r>
      <w:r w:rsidRPr="00F30848">
        <w:t xml:space="preserve"> les propositions d</w:t>
      </w:r>
      <w:r w:rsidR="00640372">
        <w:t>’</w:t>
      </w:r>
      <w:r w:rsidRPr="00F30848">
        <w:t>amendement suivantes au paragraphe 2.8.3.2 de la vingtième édition révisée des Recommandations relatives au transport des marchandises dangereuses, Règlement type (ST/SG/AC.10/1/Rev.20) :</w:t>
      </w:r>
    </w:p>
    <w:p w14:paraId="35446F07" w14:textId="77777777" w:rsidR="0050726F" w:rsidRPr="00F30848" w:rsidRDefault="0050726F" w:rsidP="000E3233">
      <w:pPr>
        <w:pStyle w:val="SingleTxtG"/>
        <w:ind w:left="2268" w:hanging="1134"/>
      </w:pPr>
      <w:r w:rsidRPr="00F30848">
        <w:t>« 2.8.3.2</w:t>
      </w:r>
      <w:r w:rsidRPr="00F30848">
        <w:tab/>
        <w:t xml:space="preserve">Dans la deuxième phrase, remplacer </w:t>
      </w:r>
      <w:r w:rsidR="000E3233" w:rsidRPr="000E3233">
        <w:rPr>
          <w:iCs/>
        </w:rPr>
        <w:t>“</w:t>
      </w:r>
      <w:r w:rsidRPr="00F30848">
        <w:t>conformément à la Ligne directrice de l</w:t>
      </w:r>
      <w:r w:rsidR="00640372">
        <w:t>’</w:t>
      </w:r>
      <w:r w:rsidRPr="00F30848">
        <w:t>OCDE 404</w:t>
      </w:r>
      <w:r w:rsidRPr="00F30848">
        <w:rPr>
          <w:vertAlign w:val="superscript"/>
        </w:rPr>
        <w:t>1</w:t>
      </w:r>
      <w:r w:rsidRPr="00F30848">
        <w:t>, ou 435</w:t>
      </w:r>
      <w:r w:rsidRPr="00F30848">
        <w:rPr>
          <w:vertAlign w:val="superscript"/>
        </w:rPr>
        <w:t>2</w:t>
      </w:r>
      <w:r w:rsidR="00792327">
        <w:rPr>
          <w:vertAlign w:val="superscript"/>
        </w:rPr>
        <w:t xml:space="preserve"> </w:t>
      </w:r>
      <w:r w:rsidRPr="00F30848">
        <w:rPr>
          <w:vertAlign w:val="superscript"/>
        </w:rPr>
        <w:t>,3</w:t>
      </w:r>
      <w:r w:rsidR="00792327">
        <w:rPr>
          <w:vertAlign w:val="superscript"/>
        </w:rPr>
        <w:t xml:space="preserve"> </w:t>
      </w:r>
      <w:r w:rsidRPr="00F30848">
        <w:rPr>
          <w:vertAlign w:val="superscript"/>
        </w:rPr>
        <w:t>,4</w:t>
      </w:r>
      <w:r w:rsidR="000E3233" w:rsidRPr="000E3233">
        <w:rPr>
          <w:iCs/>
        </w:rPr>
        <w:t>”</w:t>
      </w:r>
      <w:r w:rsidRPr="00F30848">
        <w:t xml:space="preserve"> par </w:t>
      </w:r>
      <w:r w:rsidR="000E3233" w:rsidRPr="000E3233">
        <w:rPr>
          <w:iCs/>
        </w:rPr>
        <w:t>“</w:t>
      </w:r>
      <w:r w:rsidRPr="00F30848">
        <w:t>conformément aux Lignes directrices de l</w:t>
      </w:r>
      <w:r w:rsidR="00640372">
        <w:t>’</w:t>
      </w:r>
      <w:r w:rsidRPr="00F30848">
        <w:t>OCDE</w:t>
      </w:r>
      <w:r w:rsidRPr="00F30848">
        <w:rPr>
          <w:vertAlign w:val="superscript"/>
        </w:rPr>
        <w:t>1,</w:t>
      </w:r>
      <w:r w:rsidR="00792327">
        <w:rPr>
          <w:vertAlign w:val="superscript"/>
        </w:rPr>
        <w:t xml:space="preserve"> </w:t>
      </w:r>
      <w:r w:rsidRPr="00F30848">
        <w:rPr>
          <w:vertAlign w:val="superscript"/>
        </w:rPr>
        <w:t>2,</w:t>
      </w:r>
      <w:r w:rsidR="00792327">
        <w:rPr>
          <w:vertAlign w:val="superscript"/>
        </w:rPr>
        <w:t xml:space="preserve"> </w:t>
      </w:r>
      <w:r w:rsidRPr="00F30848">
        <w:rPr>
          <w:vertAlign w:val="superscript"/>
        </w:rPr>
        <w:t>3,</w:t>
      </w:r>
      <w:r w:rsidR="00792327">
        <w:rPr>
          <w:vertAlign w:val="superscript"/>
        </w:rPr>
        <w:t xml:space="preserve"> </w:t>
      </w:r>
      <w:r w:rsidRPr="00F30848">
        <w:rPr>
          <w:vertAlign w:val="superscript"/>
        </w:rPr>
        <w:t>4</w:t>
      </w:r>
      <w:r w:rsidRPr="00F30848">
        <w:t>.</w:t>
      </w:r>
      <w:r w:rsidR="000E3233" w:rsidRPr="000E3233">
        <w:rPr>
          <w:iCs/>
        </w:rPr>
        <w:t>”</w:t>
      </w:r>
      <w:r w:rsidRPr="00F30848">
        <w:t>.</w:t>
      </w:r>
    </w:p>
    <w:p w14:paraId="1D643351" w14:textId="77777777" w:rsidR="0050726F" w:rsidRPr="00F30848" w:rsidRDefault="0050726F" w:rsidP="000E3233">
      <w:pPr>
        <w:pStyle w:val="SingleTxtG"/>
        <w:ind w:left="2268"/>
      </w:pPr>
      <w:r w:rsidRPr="00F30848">
        <w:t xml:space="preserve">Dans la troisième phrase, remplacer </w:t>
      </w:r>
      <w:r w:rsidR="000E3233" w:rsidRPr="000E3233">
        <w:rPr>
          <w:iCs/>
        </w:rPr>
        <w:t>“</w:t>
      </w:r>
      <w:r w:rsidRPr="00F30848">
        <w:t>à la Ligne directrice de l</w:t>
      </w:r>
      <w:r w:rsidR="00640372">
        <w:t>’</w:t>
      </w:r>
      <w:r w:rsidRPr="00F30848">
        <w:t>OCDE 430</w:t>
      </w:r>
      <w:r w:rsidRPr="00F30848">
        <w:rPr>
          <w:vertAlign w:val="superscript"/>
        </w:rPr>
        <w:t>3</w:t>
      </w:r>
      <w:r w:rsidR="00792327">
        <w:rPr>
          <w:vertAlign w:val="superscript"/>
        </w:rPr>
        <w:t xml:space="preserve"> </w:t>
      </w:r>
      <w:r w:rsidRPr="00F30848">
        <w:t>ou 431</w:t>
      </w:r>
      <w:r w:rsidRPr="00F30848">
        <w:rPr>
          <w:vertAlign w:val="superscript"/>
        </w:rPr>
        <w:t>4</w:t>
      </w:r>
      <w:r w:rsidR="000E3233" w:rsidRPr="000E3233">
        <w:rPr>
          <w:iCs/>
        </w:rPr>
        <w:t>”</w:t>
      </w:r>
      <w:r w:rsidRPr="00F30848">
        <w:t xml:space="preserve"> par </w:t>
      </w:r>
      <w:r w:rsidR="000E3233" w:rsidRPr="000E3233">
        <w:rPr>
          <w:iCs/>
        </w:rPr>
        <w:t>“</w:t>
      </w:r>
      <w:r w:rsidRPr="00F30848">
        <w:t>aux Lignes directrices de l</w:t>
      </w:r>
      <w:r w:rsidR="00640372">
        <w:t>’</w:t>
      </w:r>
      <w:r w:rsidRPr="00F30848">
        <w:t>OCDE</w:t>
      </w:r>
      <w:r w:rsidRPr="00F30848">
        <w:rPr>
          <w:vertAlign w:val="superscript"/>
        </w:rPr>
        <w:t>1,</w:t>
      </w:r>
      <w:r w:rsidR="00792327">
        <w:rPr>
          <w:vertAlign w:val="superscript"/>
        </w:rPr>
        <w:t xml:space="preserve"> </w:t>
      </w:r>
      <w:r w:rsidRPr="00F30848">
        <w:rPr>
          <w:vertAlign w:val="superscript"/>
        </w:rPr>
        <w:t>2,</w:t>
      </w:r>
      <w:r w:rsidR="00792327">
        <w:rPr>
          <w:vertAlign w:val="superscript"/>
        </w:rPr>
        <w:t xml:space="preserve"> </w:t>
      </w:r>
      <w:r w:rsidRPr="00F30848">
        <w:rPr>
          <w:vertAlign w:val="superscript"/>
        </w:rPr>
        <w:t>3,</w:t>
      </w:r>
      <w:r w:rsidR="00792327">
        <w:rPr>
          <w:vertAlign w:val="superscript"/>
        </w:rPr>
        <w:t xml:space="preserve"> </w:t>
      </w:r>
      <w:r w:rsidRPr="00F30848">
        <w:rPr>
          <w:vertAlign w:val="superscript"/>
        </w:rPr>
        <w:t>4</w:t>
      </w:r>
      <w:r w:rsidR="000E3233" w:rsidRPr="000E3233">
        <w:rPr>
          <w:iCs/>
        </w:rPr>
        <w:t>”</w:t>
      </w:r>
      <w:r w:rsidRPr="00F30848">
        <w:t>.</w:t>
      </w:r>
    </w:p>
    <w:p w14:paraId="281160C0" w14:textId="77777777" w:rsidR="0050726F" w:rsidRPr="00F30848" w:rsidRDefault="0050726F" w:rsidP="000E3233">
      <w:pPr>
        <w:pStyle w:val="SingleTxtG"/>
        <w:ind w:left="2268"/>
      </w:pPr>
      <w:r w:rsidRPr="00F30848">
        <w:t>Supprimer la note de bas de page</w:t>
      </w:r>
      <w:r w:rsidR="000E3233">
        <w:t> </w:t>
      </w:r>
      <w:r w:rsidRPr="00F30848">
        <w:t>4 et</w:t>
      </w:r>
      <w:r>
        <w:t xml:space="preserve"> attribuer à </w:t>
      </w:r>
      <w:r w:rsidRPr="00F30848">
        <w:t>la note de bas de page</w:t>
      </w:r>
      <w:r w:rsidR="000E3233">
        <w:t> </w:t>
      </w:r>
      <w:r w:rsidRPr="00F30848">
        <w:t>3 actuelle</w:t>
      </w:r>
      <w:r>
        <w:t xml:space="preserve"> le numéro</w:t>
      </w:r>
      <w:r w:rsidR="000E3233">
        <w:t> </w:t>
      </w:r>
      <w:r w:rsidRPr="00F30848">
        <w:t xml:space="preserve">4. Insérer la nouvelle note de bas de page 3 comme suit : </w:t>
      </w:r>
      <w:r w:rsidR="000E3233" w:rsidRPr="000E3233">
        <w:rPr>
          <w:iCs/>
        </w:rPr>
        <w:t>“</w:t>
      </w:r>
      <w:r w:rsidRPr="00F30848">
        <w:rPr>
          <w:vertAlign w:val="superscript"/>
        </w:rPr>
        <w:t>3</w:t>
      </w:r>
      <w:r w:rsidRPr="00F30848">
        <w:t xml:space="preserve"> Ligne directrice de l</w:t>
      </w:r>
      <w:r w:rsidR="00640372">
        <w:t>’</w:t>
      </w:r>
      <w:r w:rsidRPr="00F30848">
        <w:t xml:space="preserve">OCDE pour les essais de produits chimiques </w:t>
      </w:r>
      <w:r w:rsidR="00792327">
        <w:t>n</w:t>
      </w:r>
      <w:r w:rsidR="00792327" w:rsidRPr="00792327">
        <w:rPr>
          <w:vertAlign w:val="superscript"/>
        </w:rPr>
        <w:t>o</w:t>
      </w:r>
      <w:r w:rsidR="00792327">
        <w:t> </w:t>
      </w:r>
      <w:r w:rsidRPr="00F30848">
        <w:t xml:space="preserve">431 “Corrosion cutanée in vitro : </w:t>
      </w:r>
      <w:r>
        <w:t>E</w:t>
      </w:r>
      <w:r w:rsidRPr="00F30848">
        <w:t>ssai sur modèle de peau humaine”, 2016.</w:t>
      </w:r>
      <w:r w:rsidR="000E3233" w:rsidRPr="000E3233">
        <w:rPr>
          <w:iCs/>
        </w:rPr>
        <w:t>”</w:t>
      </w:r>
      <w:r w:rsidRPr="00F30848">
        <w:t>.</w:t>
      </w:r>
    </w:p>
    <w:p w14:paraId="3DB973AD" w14:textId="77777777" w:rsidR="0050726F" w:rsidRPr="00F30848" w:rsidRDefault="0050726F" w:rsidP="00792327">
      <w:pPr>
        <w:pStyle w:val="SingleTxtG"/>
        <w:spacing w:after="100"/>
        <w:ind w:left="2268"/>
      </w:pPr>
      <w:r w:rsidRPr="00F30848">
        <w:t xml:space="preserve">À la fin du paragraphe, ajouter la nouvelle phrase suivante : </w:t>
      </w:r>
      <w:r w:rsidR="000E3233" w:rsidRPr="00F30848">
        <w:t>“</w:t>
      </w:r>
      <w:r w:rsidRPr="00F30848">
        <w:t>Lorsque les résultats de l</w:t>
      </w:r>
      <w:r w:rsidR="00640372">
        <w:t>’</w:t>
      </w:r>
      <w:r w:rsidRPr="00F30848">
        <w:t xml:space="preserve">essai </w:t>
      </w:r>
      <w:r w:rsidRPr="00F30848">
        <w:rPr>
          <w:i/>
        </w:rPr>
        <w:t>in vitro</w:t>
      </w:r>
      <w:r w:rsidRPr="00F30848">
        <w:t xml:space="preserve"> indiquent que la matière est corrosive et non</w:t>
      </w:r>
      <w:r>
        <w:t xml:space="preserve"> </w:t>
      </w:r>
      <w:r w:rsidRPr="00F30848">
        <w:t>affectée au groupe d</w:t>
      </w:r>
      <w:r w:rsidR="00640372">
        <w:t>’</w:t>
      </w:r>
      <w:r w:rsidRPr="00F30848">
        <w:t>emballage</w:t>
      </w:r>
      <w:r w:rsidR="000E3233">
        <w:t> </w:t>
      </w:r>
      <w:r w:rsidRPr="00F30848">
        <w:t>I, mais que l</w:t>
      </w:r>
      <w:r w:rsidR="00640372">
        <w:t>’</w:t>
      </w:r>
      <w:r w:rsidRPr="00F30848">
        <w:t>essai ne permet pas d</w:t>
      </w:r>
      <w:r w:rsidR="00640372">
        <w:t>’</w:t>
      </w:r>
      <w:r w:rsidRPr="00F30848">
        <w:t xml:space="preserve">attribuer </w:t>
      </w:r>
      <w:r w:rsidRPr="00F30848">
        <w:lastRenderedPageBreak/>
        <w:t>les matières soit au groupe</w:t>
      </w:r>
      <w:r w:rsidR="000E3233">
        <w:t> </w:t>
      </w:r>
      <w:r w:rsidRPr="00F30848">
        <w:t>II, soit au groupe</w:t>
      </w:r>
      <w:r w:rsidR="000E3233">
        <w:t> </w:t>
      </w:r>
      <w:r w:rsidRPr="00F30848">
        <w:t>III, on privilégiera le groupe d</w:t>
      </w:r>
      <w:r w:rsidR="00640372">
        <w:t>’</w:t>
      </w:r>
      <w:r w:rsidRPr="00F30848">
        <w:t>emballage</w:t>
      </w:r>
      <w:r w:rsidR="000E3233">
        <w:t> </w:t>
      </w:r>
      <w:r w:rsidRPr="00F30848">
        <w:t>II.</w:t>
      </w:r>
      <w:r w:rsidR="000E3233" w:rsidRPr="000E3233">
        <w:rPr>
          <w:iCs/>
        </w:rPr>
        <w:t>”</w:t>
      </w:r>
      <w:r w:rsidRPr="00F30848">
        <w:t> ».</w:t>
      </w:r>
    </w:p>
    <w:p w14:paraId="0E978A18" w14:textId="77777777" w:rsidR="0050726F" w:rsidRPr="00F30848" w:rsidRDefault="0050726F" w:rsidP="00792327">
      <w:pPr>
        <w:pStyle w:val="SingleTxtG"/>
        <w:spacing w:after="100"/>
      </w:pPr>
      <w:r w:rsidRPr="00F30848">
        <w:rPr>
          <w:lang w:eastAsia="en-GB"/>
        </w:rPr>
        <w:t>3.</w:t>
      </w:r>
      <w:r w:rsidRPr="00F30848">
        <w:rPr>
          <w:lang w:eastAsia="en-GB"/>
        </w:rPr>
        <w:tab/>
        <w:t>À l</w:t>
      </w:r>
      <w:r w:rsidR="00640372">
        <w:rPr>
          <w:lang w:eastAsia="en-GB"/>
        </w:rPr>
        <w:t>’</w:t>
      </w:r>
      <w:r w:rsidRPr="00F30848">
        <w:rPr>
          <w:lang w:eastAsia="en-GB"/>
        </w:rPr>
        <w:t xml:space="preserve">occasion des </w:t>
      </w:r>
      <w:r w:rsidRPr="00F30848">
        <w:t>débats</w:t>
      </w:r>
      <w:r w:rsidRPr="00F30848">
        <w:rPr>
          <w:lang w:eastAsia="en-GB"/>
        </w:rPr>
        <w:t xml:space="preserve"> tenus à la cinquante-quatrième session concernant la révision du paragraphe 2.8.3.2, les observations suivantes ont été formulées :</w:t>
      </w:r>
    </w:p>
    <w:p w14:paraId="669970D1" w14:textId="77777777" w:rsidR="0050726F" w:rsidRPr="00F30848" w:rsidRDefault="0050726F" w:rsidP="00792327">
      <w:pPr>
        <w:pStyle w:val="SingleTxtG"/>
        <w:spacing w:after="100"/>
        <w:ind w:firstLine="567"/>
      </w:pPr>
      <w:r w:rsidRPr="00F30848">
        <w:rPr>
          <w:lang w:eastAsia="en-GB"/>
        </w:rPr>
        <w:t>a)</w:t>
      </w:r>
      <w:r w:rsidRPr="00F30848">
        <w:rPr>
          <w:lang w:eastAsia="en-GB"/>
        </w:rPr>
        <w:tab/>
        <w:t>Une matière ou un mélange ne satisfaisant aux critères d</w:t>
      </w:r>
      <w:r w:rsidR="00640372">
        <w:rPr>
          <w:lang w:eastAsia="en-GB"/>
        </w:rPr>
        <w:t>’</w:t>
      </w:r>
      <w:r w:rsidRPr="00F30848">
        <w:rPr>
          <w:lang w:eastAsia="en-GB"/>
        </w:rPr>
        <w:t xml:space="preserve">aucune classe au sens de la </w:t>
      </w:r>
      <w:r>
        <w:rPr>
          <w:lang w:eastAsia="en-GB"/>
        </w:rPr>
        <w:t>L</w:t>
      </w:r>
      <w:r w:rsidRPr="00F30848">
        <w:rPr>
          <w:lang w:eastAsia="en-GB"/>
        </w:rPr>
        <w:t xml:space="preserve">igne directrice </w:t>
      </w:r>
      <w:r w:rsidRPr="00EB6302">
        <w:rPr>
          <w:lang w:eastAsia="en-GB"/>
        </w:rPr>
        <w:t>n</w:t>
      </w:r>
      <w:r w:rsidRPr="00EB6302">
        <w:rPr>
          <w:vertAlign w:val="superscript"/>
          <w:lang w:eastAsia="en-GB"/>
        </w:rPr>
        <w:t>o</w:t>
      </w:r>
      <w:r>
        <w:rPr>
          <w:lang w:eastAsia="en-GB"/>
        </w:rPr>
        <w:t> </w:t>
      </w:r>
      <w:r w:rsidRPr="00F30848">
        <w:rPr>
          <w:lang w:eastAsia="en-GB"/>
        </w:rPr>
        <w:t>439 de l</w:t>
      </w:r>
      <w:r w:rsidR="00640372">
        <w:rPr>
          <w:lang w:eastAsia="en-GB"/>
        </w:rPr>
        <w:t>’</w:t>
      </w:r>
      <w:r w:rsidRPr="00F30848">
        <w:rPr>
          <w:lang w:eastAsia="en-GB"/>
        </w:rPr>
        <w:t>OCDE</w:t>
      </w:r>
      <w:r>
        <w:rPr>
          <w:lang w:eastAsia="en-GB"/>
        </w:rPr>
        <w:t>,</w:t>
      </w:r>
      <w:r w:rsidRPr="00F30848">
        <w:rPr>
          <w:lang w:eastAsia="en-GB"/>
        </w:rPr>
        <w:t xml:space="preserve"> </w:t>
      </w:r>
      <w:r w:rsidRPr="00F30848">
        <w:rPr>
          <w:i/>
          <w:iCs/>
        </w:rPr>
        <w:t>“</w:t>
      </w:r>
      <w:r w:rsidRPr="00F30848">
        <w:rPr>
          <w:i/>
        </w:rPr>
        <w:t>Irritation cutanée in vitro</w:t>
      </w:r>
      <w:r w:rsidR="00640372">
        <w:rPr>
          <w:i/>
        </w:rPr>
        <w:t> </w:t>
      </w:r>
      <w:r w:rsidRPr="00F30848">
        <w:rPr>
          <w:i/>
        </w:rPr>
        <w:t>: essai sur épiderme humain reconstitué</w:t>
      </w:r>
      <w:r w:rsidRPr="00F30848">
        <w:rPr>
          <w:i/>
          <w:iCs/>
        </w:rPr>
        <w:t>”</w:t>
      </w:r>
      <w:r w:rsidRPr="001E0216">
        <w:rPr>
          <w:iCs/>
        </w:rPr>
        <w:t>,</w:t>
      </w:r>
      <w:r w:rsidRPr="00F30848">
        <w:rPr>
          <w:lang w:eastAsia="en-GB"/>
        </w:rPr>
        <w:t xml:space="preserve"> peuvent également être considérés comme n</w:t>
      </w:r>
      <w:r w:rsidR="00640372">
        <w:rPr>
          <w:lang w:eastAsia="en-GB"/>
        </w:rPr>
        <w:t>’</w:t>
      </w:r>
      <w:r w:rsidRPr="00F30848">
        <w:rPr>
          <w:lang w:eastAsia="en-GB"/>
        </w:rPr>
        <w:t>étant pas corrosifs pour la peau</w:t>
      </w:r>
      <w:r w:rsidRPr="00F30848">
        <w:t xml:space="preserve"> aux fins du Règlement type, sans qu</w:t>
      </w:r>
      <w:r w:rsidR="00640372">
        <w:t>’</w:t>
      </w:r>
      <w:r w:rsidRPr="00F30848">
        <w:t>il soit nécessaire de réaliser de nouvelles épreuves.</w:t>
      </w:r>
      <w:r w:rsidRPr="00F30848">
        <w:rPr>
          <w:lang w:eastAsia="en-GB"/>
        </w:rPr>
        <w:t xml:space="preserve"> La Ligne directrice </w:t>
      </w:r>
      <w:r w:rsidRPr="00EB6302">
        <w:rPr>
          <w:lang w:eastAsia="en-GB"/>
        </w:rPr>
        <w:t>n</w:t>
      </w:r>
      <w:r w:rsidRPr="00EB6302">
        <w:rPr>
          <w:vertAlign w:val="superscript"/>
          <w:lang w:eastAsia="en-GB"/>
        </w:rPr>
        <w:t>o</w:t>
      </w:r>
      <w:r w:rsidRPr="00EB6302">
        <w:rPr>
          <w:lang w:eastAsia="en-GB"/>
        </w:rPr>
        <w:t xml:space="preserve"> 439 </w:t>
      </w:r>
      <w:r w:rsidRPr="00F30848">
        <w:rPr>
          <w:lang w:eastAsia="en-GB"/>
        </w:rPr>
        <w:t xml:space="preserve">prévoit une procédure </w:t>
      </w:r>
      <w:r w:rsidRPr="00F30848">
        <w:rPr>
          <w:i/>
          <w:lang w:eastAsia="en-GB"/>
        </w:rPr>
        <w:t>in vitro</w:t>
      </w:r>
      <w:r w:rsidRPr="00F30848">
        <w:rPr>
          <w:lang w:eastAsia="en-GB"/>
        </w:rPr>
        <w:t xml:space="preserve"> qui peut servir à déterminer les dangers que peuvent poser les produits chimiques irritants (matières et mélanges), conformément à la catégorie 2 du SGH. Les produits chimiques non classés qui sont identifiés </w:t>
      </w:r>
      <w:r>
        <w:rPr>
          <w:lang w:eastAsia="en-GB"/>
        </w:rPr>
        <w:t>au moyen</w:t>
      </w:r>
      <w:r w:rsidRPr="00F30848">
        <w:rPr>
          <w:lang w:eastAsia="en-GB"/>
        </w:rPr>
        <w:t xml:space="preserve"> de </w:t>
      </w:r>
      <w:r>
        <w:rPr>
          <w:lang w:eastAsia="en-GB"/>
        </w:rPr>
        <w:t>l</w:t>
      </w:r>
      <w:r w:rsidR="00640372">
        <w:rPr>
          <w:lang w:eastAsia="en-GB"/>
        </w:rPr>
        <w:t>’</w:t>
      </w:r>
      <w:r>
        <w:rPr>
          <w:lang w:eastAsia="en-GB"/>
        </w:rPr>
        <w:t xml:space="preserve">essai décrit dans </w:t>
      </w:r>
      <w:r w:rsidRPr="00F30848">
        <w:rPr>
          <w:lang w:eastAsia="en-GB"/>
        </w:rPr>
        <w:t>cette Ligne directrice peuvent être considérés comme n</w:t>
      </w:r>
      <w:r w:rsidR="00640372">
        <w:rPr>
          <w:lang w:eastAsia="en-GB"/>
        </w:rPr>
        <w:t>’</w:t>
      </w:r>
      <w:r w:rsidRPr="00F30848">
        <w:rPr>
          <w:lang w:eastAsia="en-GB"/>
        </w:rPr>
        <w:t>étant pas corrosifs pour la peau </w:t>
      </w:r>
      <w:r w:rsidRPr="00F30848">
        <w:t>;</w:t>
      </w:r>
    </w:p>
    <w:p w14:paraId="2789E150" w14:textId="77777777" w:rsidR="0050726F" w:rsidRPr="00792327" w:rsidRDefault="0050726F" w:rsidP="00792327">
      <w:pPr>
        <w:pStyle w:val="SingleTxtG"/>
        <w:spacing w:after="100"/>
        <w:ind w:firstLine="567"/>
        <w:rPr>
          <w:spacing w:val="-2"/>
        </w:rPr>
      </w:pPr>
      <w:r w:rsidRPr="00792327">
        <w:rPr>
          <w:spacing w:val="-2"/>
        </w:rPr>
        <w:t>b)</w:t>
      </w:r>
      <w:r w:rsidRPr="00792327">
        <w:rPr>
          <w:spacing w:val="-2"/>
        </w:rPr>
        <w:tab/>
        <w:t>Il a également été suggéré qu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il serait utile de permettre le classement dans le groupe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emballage I dans le cas où une méthode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essai permettrait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identifier une matière ou un mélange comme étant corrosifs pour la peau, sans qu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il soit toutefois possible de distinguer entre les groupes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emballages I, II ou III à défaut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épreuves supplémentaires. Il s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agirait, ainsi, de suivre la même logique que celle retenue s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agissant du classement dans le groupe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 xml:space="preserve">emballage II lorsque la </w:t>
      </w:r>
      <w:r w:rsidRPr="00792327">
        <w:rPr>
          <w:lang w:eastAsia="en-GB"/>
        </w:rPr>
        <w:t>méthode</w:t>
      </w:r>
      <w:r w:rsidRPr="00792327">
        <w:rPr>
          <w:spacing w:val="-2"/>
        </w:rPr>
        <w:t xml:space="preserve">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essai employée permet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opérer la distinction entre les groupes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emballage I et II, mais pas entre les groupes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emballage II et III, conformément à la disposition arrêtée à la cinquante-quatrième session.</w:t>
      </w:r>
    </w:p>
    <w:p w14:paraId="6F95764D" w14:textId="77777777" w:rsidR="0050726F" w:rsidRPr="00792327" w:rsidRDefault="0050726F" w:rsidP="00792327">
      <w:pPr>
        <w:pStyle w:val="SingleTxtG"/>
        <w:spacing w:after="100"/>
        <w:rPr>
          <w:spacing w:val="-2"/>
        </w:rPr>
      </w:pPr>
      <w:r w:rsidRPr="00792327">
        <w:rPr>
          <w:spacing w:val="-2"/>
        </w:rPr>
        <w:t>4.</w:t>
      </w:r>
      <w:r w:rsidRPr="00792327">
        <w:rPr>
          <w:spacing w:val="-2"/>
        </w:rPr>
        <w:tab/>
        <w:t>Il est probable que l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ajout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une mention, au paragraphe</w:t>
      </w:r>
      <w:r w:rsidR="000E3233" w:rsidRPr="00792327">
        <w:rPr>
          <w:spacing w:val="-2"/>
        </w:rPr>
        <w:t> </w:t>
      </w:r>
      <w:r w:rsidRPr="00792327">
        <w:rPr>
          <w:spacing w:val="-2"/>
        </w:rPr>
        <w:t>2.8.3.2,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une cinquième ligne directrice de l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OCDE entraîne une certaine confusion si les numéros des documents correspondants ne sont pas indiqués dans le texte réglementaire. C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est pourquoi il est suggéré que le Sous-Comité envisage à nouveau de faire figurer dans le texte les numéros des Lignes directrices existantes ainsi que le numéro correspondant à la nouvelle référence qu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il est proposé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ajouter (n</w:t>
      </w:r>
      <w:r w:rsidRPr="00792327">
        <w:rPr>
          <w:spacing w:val="-2"/>
          <w:vertAlign w:val="superscript"/>
        </w:rPr>
        <w:t>o</w:t>
      </w:r>
      <w:r w:rsidRPr="00792327">
        <w:rPr>
          <w:spacing w:val="-2"/>
        </w:rPr>
        <w:t> 439). On peut estimer que la mention précise des Lignes directrices permettra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assurer une plus grande certitude du point de vue juridique et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éviter que les dispositions du Règlement type ne soient utilisées à mauvais escient. En outre, compte tenu du fait que la série des Lignes directrices de l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OCDE applicables aux essais de produits chimiques est longue, l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indication, dans le texte, des numéros correspondants auxdites Lignes permettra d</w:t>
      </w:r>
      <w:r w:rsidR="00640372" w:rsidRPr="00792327">
        <w:rPr>
          <w:spacing w:val="-2"/>
        </w:rPr>
        <w:t>’</w:t>
      </w:r>
      <w:r w:rsidRPr="00792327">
        <w:rPr>
          <w:spacing w:val="-2"/>
        </w:rPr>
        <w:t>y faire référence rapidement en évitant toute confusion.</w:t>
      </w:r>
    </w:p>
    <w:p w14:paraId="53E869AC" w14:textId="77777777" w:rsidR="0050726F" w:rsidRPr="00F30848" w:rsidRDefault="0050726F" w:rsidP="000E3233">
      <w:pPr>
        <w:pStyle w:val="HChG"/>
      </w:pPr>
      <w:r w:rsidRPr="00F30848">
        <w:tab/>
      </w:r>
      <w:r w:rsidRPr="00F30848">
        <w:tab/>
        <w:t>Proposition 1</w:t>
      </w:r>
    </w:p>
    <w:p w14:paraId="162AD583" w14:textId="77777777" w:rsidR="0050726F" w:rsidRPr="00F30848" w:rsidRDefault="0050726F" w:rsidP="00792327">
      <w:pPr>
        <w:pStyle w:val="SingleTxtG"/>
        <w:spacing w:after="100"/>
      </w:pPr>
      <w:r w:rsidRPr="00F30848">
        <w:t>5.</w:t>
      </w:r>
      <w:r w:rsidRPr="00F30848">
        <w:tab/>
        <w:t xml:space="preserve">Compte tenu de ce qui précède, il est suggéré de modifier le paragraphe 2.8.3.2 comme suit (le </w:t>
      </w:r>
      <w:r w:rsidRPr="00F30848">
        <w:rPr>
          <w:strike/>
        </w:rPr>
        <w:t>texte biffé</w:t>
      </w:r>
      <w:r w:rsidRPr="00F30848">
        <w:t xml:space="preserve"> est supprimé, le </w:t>
      </w:r>
      <w:r w:rsidRPr="00F30848">
        <w:rPr>
          <w:u w:val="single"/>
        </w:rPr>
        <w:t>texte souligné</w:t>
      </w:r>
      <w:r w:rsidRPr="00F30848">
        <w:t xml:space="preserve"> est ajouté) :</w:t>
      </w:r>
    </w:p>
    <w:p w14:paraId="044DB6E5" w14:textId="77777777" w:rsidR="0050726F" w:rsidRDefault="0050726F" w:rsidP="00792327">
      <w:pPr>
        <w:pStyle w:val="SingleTxtG"/>
        <w:spacing w:after="100"/>
        <w:ind w:left="2268" w:hanging="1134"/>
        <w:rPr>
          <w:u w:val="single"/>
        </w:rPr>
      </w:pPr>
      <w:r w:rsidRPr="00F30848">
        <w:t>«</w:t>
      </w:r>
      <w:r w:rsidR="000E3233">
        <w:t> </w:t>
      </w:r>
      <w:r w:rsidRPr="00F30848">
        <w:t>2.8.3.2</w:t>
      </w:r>
      <w:r w:rsidRPr="00F30848">
        <w:tab/>
        <w:t>Pour classer une matière dans un groupe d</w:t>
      </w:r>
      <w:r w:rsidR="00640372">
        <w:t>’</w:t>
      </w:r>
      <w:r w:rsidRPr="00F30848">
        <w:t>emballage conformément au 2.8.2.3, il y a lieu de tenir compte de l</w:t>
      </w:r>
      <w:r w:rsidR="00640372">
        <w:t>’</w:t>
      </w:r>
      <w:r w:rsidRPr="00F30848">
        <w:t>expérience acquise sur les êtres humains à l</w:t>
      </w:r>
      <w:r w:rsidR="00640372">
        <w:t>’</w:t>
      </w:r>
      <w:r w:rsidRPr="00F30848">
        <w:t>occasion d</w:t>
      </w:r>
      <w:r w:rsidR="00640372">
        <w:t>’</w:t>
      </w:r>
      <w:r w:rsidRPr="00F30848">
        <w:t>expositions accidentelles. En l</w:t>
      </w:r>
      <w:r w:rsidR="00640372">
        <w:t>’</w:t>
      </w:r>
      <w:r w:rsidRPr="00F30848">
        <w:t>absence d</w:t>
      </w:r>
      <w:r w:rsidR="00640372">
        <w:t>’</w:t>
      </w:r>
      <w:r w:rsidRPr="00F30848">
        <w:t xml:space="preserve">une telle </w:t>
      </w:r>
      <w:proofErr w:type="gramStart"/>
      <w:r w:rsidRPr="00F30848">
        <w:t>expérience</w:t>
      </w:r>
      <w:proofErr w:type="gramEnd"/>
      <w:r w:rsidRPr="00F30848">
        <w:t>, le classement doit se faire sur la base des résultats de l</w:t>
      </w:r>
      <w:r w:rsidR="00640372">
        <w:t>’</w:t>
      </w:r>
      <w:r w:rsidRPr="00F30848">
        <w:t>expérimentation conformément aux Lignes directrices de l</w:t>
      </w:r>
      <w:r w:rsidR="00640372">
        <w:t>’</w:t>
      </w:r>
      <w:r w:rsidRPr="00F30848">
        <w:t xml:space="preserve">OCDE </w:t>
      </w:r>
      <w:r w:rsidRPr="00F30848">
        <w:rPr>
          <w:u w:val="single"/>
        </w:rPr>
        <w:t>n</w:t>
      </w:r>
      <w:r w:rsidRPr="00F30848">
        <w:rPr>
          <w:u w:val="single"/>
          <w:vertAlign w:val="superscript"/>
        </w:rPr>
        <w:t>os</w:t>
      </w:r>
      <w:r w:rsidRPr="00F30848">
        <w:rPr>
          <w:u w:val="single"/>
        </w:rPr>
        <w:t> 404</w:t>
      </w:r>
      <w:r w:rsidRPr="00F30848">
        <w:rPr>
          <w:u w:val="single"/>
          <w:vertAlign w:val="superscript"/>
        </w:rPr>
        <w:t>1</w:t>
      </w:r>
      <w:r w:rsidRPr="00F30848">
        <w:rPr>
          <w:u w:val="single"/>
        </w:rPr>
        <w:t>, 435</w:t>
      </w:r>
      <w:r w:rsidRPr="00F30848">
        <w:rPr>
          <w:u w:val="single"/>
          <w:vertAlign w:val="superscript"/>
        </w:rPr>
        <w:t>2</w:t>
      </w:r>
      <w:r w:rsidRPr="00F30848">
        <w:rPr>
          <w:u w:val="single"/>
        </w:rPr>
        <w:t>,</w:t>
      </w:r>
      <w:r w:rsidRPr="00F30848">
        <w:rPr>
          <w:i/>
          <w:u w:val="single"/>
        </w:rPr>
        <w:t xml:space="preserve"> </w:t>
      </w:r>
      <w:r w:rsidRPr="00F30848">
        <w:rPr>
          <w:u w:val="single"/>
        </w:rPr>
        <w:t>431</w:t>
      </w:r>
      <w:r w:rsidRPr="00F30848">
        <w:rPr>
          <w:u w:val="single"/>
          <w:vertAlign w:val="superscript"/>
        </w:rPr>
        <w:t xml:space="preserve">3 </w:t>
      </w:r>
      <w:r w:rsidRPr="00F30848">
        <w:rPr>
          <w:u w:val="single"/>
        </w:rPr>
        <w:t>et 430</w:t>
      </w:r>
      <w:r w:rsidRPr="00F30848">
        <w:rPr>
          <w:vertAlign w:val="superscript"/>
        </w:rPr>
        <w:t>4</w:t>
      </w:r>
      <w:r w:rsidRPr="00F30848">
        <w:t>.</w:t>
      </w:r>
      <w:r w:rsidRPr="00640372">
        <w:t xml:space="preserve"> </w:t>
      </w:r>
      <w:r w:rsidRPr="00F30848">
        <w:t xml:space="preserve">Aux fins du présent Règlement, une matière </w:t>
      </w:r>
      <w:r w:rsidRPr="00F30848">
        <w:rPr>
          <w:u w:val="single"/>
        </w:rPr>
        <w:t xml:space="preserve">qui est </w:t>
      </w:r>
      <w:r w:rsidRPr="00F30848">
        <w:t>définie comme n</w:t>
      </w:r>
      <w:r w:rsidR="00640372">
        <w:t>’</w:t>
      </w:r>
      <w:r w:rsidRPr="00F30848">
        <w:t xml:space="preserve">étant pas corrosive conformément </w:t>
      </w:r>
      <w:r w:rsidRPr="001E0216">
        <w:rPr>
          <w:strike/>
        </w:rPr>
        <w:t>aux</w:t>
      </w:r>
      <w:r>
        <w:t xml:space="preserve"> </w:t>
      </w:r>
      <w:r w:rsidRPr="001E0216">
        <w:rPr>
          <w:u w:val="single"/>
        </w:rPr>
        <w:t xml:space="preserve">à </w:t>
      </w:r>
      <w:r w:rsidRPr="00F30848">
        <w:rPr>
          <w:u w:val="single"/>
        </w:rPr>
        <w:t>l</w:t>
      </w:r>
      <w:r w:rsidR="00640372">
        <w:rPr>
          <w:u w:val="single"/>
        </w:rPr>
        <w:t>’</w:t>
      </w:r>
      <w:r w:rsidRPr="001E0216">
        <w:rPr>
          <w:u w:val="single"/>
        </w:rPr>
        <w:t xml:space="preserve">une </w:t>
      </w:r>
      <w:r w:rsidRPr="00F30848">
        <w:rPr>
          <w:u w:val="single"/>
        </w:rPr>
        <w:t xml:space="preserve">de ces </w:t>
      </w:r>
      <w:r w:rsidRPr="00F30848">
        <w:t>Ligne</w:t>
      </w:r>
      <w:r w:rsidRPr="001E0216">
        <w:t>s</w:t>
      </w:r>
      <w:r w:rsidRPr="00F30848">
        <w:t xml:space="preserve"> directrice</w:t>
      </w:r>
      <w:r w:rsidRPr="001E0216">
        <w:t>s</w:t>
      </w:r>
      <w:r w:rsidRPr="00F30848">
        <w:t xml:space="preserve"> </w:t>
      </w:r>
      <w:r w:rsidRPr="00F30848">
        <w:rPr>
          <w:strike/>
        </w:rPr>
        <w:t>de l</w:t>
      </w:r>
      <w:r w:rsidR="00640372">
        <w:rPr>
          <w:strike/>
        </w:rPr>
        <w:t>’</w:t>
      </w:r>
      <w:r w:rsidRPr="00F30848">
        <w:rPr>
          <w:strike/>
        </w:rPr>
        <w:t>OCDE</w:t>
      </w:r>
      <w:r w:rsidRPr="00F30848">
        <w:t xml:space="preserve"> </w:t>
      </w:r>
      <w:r w:rsidRPr="00F30848">
        <w:rPr>
          <w:u w:val="single"/>
        </w:rPr>
        <w:t xml:space="preserve">ou </w:t>
      </w:r>
      <w:r>
        <w:rPr>
          <w:u w:val="single"/>
        </w:rPr>
        <w:t xml:space="preserve">qui </w:t>
      </w:r>
      <w:r w:rsidRPr="00F30848">
        <w:rPr>
          <w:u w:val="single"/>
        </w:rPr>
        <w:t>ne satisfait pas aux critères de classification de la Ligne directrice n</w:t>
      </w:r>
      <w:r w:rsidRPr="00F30848">
        <w:rPr>
          <w:u w:val="single"/>
          <w:vertAlign w:val="superscript"/>
        </w:rPr>
        <w:t>o</w:t>
      </w:r>
      <w:r w:rsidRPr="00F30848">
        <w:rPr>
          <w:u w:val="single"/>
        </w:rPr>
        <w:t> 439</w:t>
      </w:r>
      <w:r w:rsidRPr="00F30848">
        <w:rPr>
          <w:u w:val="single"/>
          <w:vertAlign w:val="superscript"/>
        </w:rPr>
        <w:t>5</w:t>
      </w:r>
      <w:r w:rsidRPr="00F30848">
        <w:rPr>
          <w:u w:val="single"/>
        </w:rPr>
        <w:t xml:space="preserve"> de l</w:t>
      </w:r>
      <w:r w:rsidR="00640372">
        <w:rPr>
          <w:u w:val="single"/>
        </w:rPr>
        <w:t>’</w:t>
      </w:r>
      <w:r w:rsidRPr="00F30848">
        <w:rPr>
          <w:u w:val="single"/>
        </w:rPr>
        <w:t>OCDE</w:t>
      </w:r>
      <w:r w:rsidRPr="00F30848">
        <w:t xml:space="preserve"> est considérée comme n</w:t>
      </w:r>
      <w:r w:rsidR="00640372">
        <w:t>’</w:t>
      </w:r>
      <w:r w:rsidRPr="00F30848">
        <w:t>étant pas corrosive pour la peau sans qu</w:t>
      </w:r>
      <w:r w:rsidR="00640372">
        <w:t>’</w:t>
      </w:r>
      <w:r w:rsidRPr="00F30848">
        <w:t>il soit nécessaire de réaliser d</w:t>
      </w:r>
      <w:r w:rsidR="00640372">
        <w:t>’</w:t>
      </w:r>
      <w:r w:rsidRPr="00F30848">
        <w:t>autres épreuves.</w:t>
      </w:r>
      <w:r w:rsidRPr="00F30848">
        <w:rPr>
          <w:u w:val="single"/>
        </w:rPr>
        <w:t xml:space="preserve"> </w:t>
      </w:r>
      <w:r w:rsidRPr="000E3233">
        <w:t>Lorsque les résultats de l</w:t>
      </w:r>
      <w:r w:rsidR="00640372">
        <w:t>’</w:t>
      </w:r>
      <w:r w:rsidRPr="000E3233">
        <w:t xml:space="preserve">essai </w:t>
      </w:r>
      <w:r w:rsidRPr="000E3233">
        <w:rPr>
          <w:i/>
        </w:rPr>
        <w:t>in vitro</w:t>
      </w:r>
      <w:r w:rsidRPr="000E3233">
        <w:t xml:space="preserve"> indiquent que la matière est corrosive et non affectée au groupe d</w:t>
      </w:r>
      <w:r w:rsidR="00640372">
        <w:t>’</w:t>
      </w:r>
      <w:r w:rsidRPr="000E3233">
        <w:t>emballage I, mais que l</w:t>
      </w:r>
      <w:r w:rsidR="00640372">
        <w:t>’</w:t>
      </w:r>
      <w:r w:rsidRPr="000E3233">
        <w:t>essai ne permet pas d</w:t>
      </w:r>
      <w:r w:rsidR="00640372">
        <w:t>’</w:t>
      </w:r>
      <w:r w:rsidRPr="000E3233">
        <w:t>attribuer les matières soit au groupe II, soit au groupe III, on privilégiera le groupe d</w:t>
      </w:r>
      <w:r w:rsidR="00640372">
        <w:t>’</w:t>
      </w:r>
      <w:r w:rsidRPr="000E3233">
        <w:t>emballage II.</w:t>
      </w:r>
      <w:r>
        <w:t xml:space="preserve"> </w:t>
      </w:r>
      <w:r w:rsidRPr="00F30848">
        <w:rPr>
          <w:u w:val="single"/>
        </w:rPr>
        <w:t>Lorsque les résultats de l</w:t>
      </w:r>
      <w:r w:rsidR="00640372">
        <w:rPr>
          <w:u w:val="single"/>
        </w:rPr>
        <w:t>’</w:t>
      </w:r>
      <w:r w:rsidRPr="00F30848">
        <w:rPr>
          <w:u w:val="single"/>
        </w:rPr>
        <w:t xml:space="preserve">essai </w:t>
      </w:r>
      <w:r w:rsidRPr="00F30848">
        <w:rPr>
          <w:i/>
          <w:u w:val="single"/>
        </w:rPr>
        <w:t>in vitro</w:t>
      </w:r>
      <w:r w:rsidRPr="00F30848">
        <w:rPr>
          <w:u w:val="single"/>
        </w:rPr>
        <w:t xml:space="preserve"> indiquent que la matière est corrosive, mais que l</w:t>
      </w:r>
      <w:r w:rsidR="00640372">
        <w:rPr>
          <w:u w:val="single"/>
        </w:rPr>
        <w:t>’</w:t>
      </w:r>
      <w:r w:rsidRPr="00F30848">
        <w:rPr>
          <w:u w:val="single"/>
        </w:rPr>
        <w:t>essai ne permet pas d</w:t>
      </w:r>
      <w:r w:rsidR="00640372">
        <w:rPr>
          <w:u w:val="single"/>
        </w:rPr>
        <w:t>’</w:t>
      </w:r>
      <w:r w:rsidRPr="00F30848">
        <w:rPr>
          <w:u w:val="single"/>
        </w:rPr>
        <w:t>affecter les matières aux groupes I, II ou III, on privilégiera le groupe d</w:t>
      </w:r>
      <w:r w:rsidR="00640372">
        <w:rPr>
          <w:u w:val="single"/>
        </w:rPr>
        <w:t>’</w:t>
      </w:r>
      <w:r w:rsidRPr="00F30848">
        <w:rPr>
          <w:u w:val="single"/>
        </w:rPr>
        <w:t>emballage I.</w:t>
      </w:r>
    </w:p>
    <w:p w14:paraId="346E1A6D" w14:textId="77777777" w:rsidR="00792327" w:rsidRPr="00F30848" w:rsidRDefault="00792327" w:rsidP="00792327">
      <w:pPr>
        <w:pStyle w:val="SingleTxtG"/>
        <w:tabs>
          <w:tab w:val="left" w:leader="underscore" w:pos="2268"/>
        </w:tabs>
        <w:spacing w:after="100"/>
        <w:ind w:left="2268" w:hanging="1559"/>
      </w:pPr>
      <w:r>
        <w:tab/>
      </w:r>
    </w:p>
    <w:p w14:paraId="7EF89A04" w14:textId="77777777" w:rsidR="0050726F" w:rsidRPr="00F30848" w:rsidRDefault="00640372" w:rsidP="00DA6A22">
      <w:pPr>
        <w:pStyle w:val="FootnoteText"/>
      </w:pPr>
      <w:r>
        <w:rPr>
          <w:vertAlign w:val="superscript"/>
        </w:rPr>
        <w:tab/>
      </w:r>
      <w:r w:rsidR="0050726F" w:rsidRPr="00F30848">
        <w:rPr>
          <w:vertAlign w:val="superscript"/>
        </w:rPr>
        <w:t>1</w:t>
      </w:r>
      <w:r>
        <w:rPr>
          <w:vertAlign w:val="superscript"/>
        </w:rPr>
        <w:tab/>
      </w:r>
      <w:r w:rsidR="0050726F" w:rsidRPr="00640372">
        <w:rPr>
          <w:i/>
        </w:rPr>
        <w:t>Ligne directrice de l</w:t>
      </w:r>
      <w:r>
        <w:rPr>
          <w:i/>
        </w:rPr>
        <w:t>’</w:t>
      </w:r>
      <w:r w:rsidR="0050726F" w:rsidRPr="00640372">
        <w:rPr>
          <w:i/>
        </w:rPr>
        <w:t>OCDE pour les essais de produits chimiques n</w:t>
      </w:r>
      <w:r w:rsidR="0050726F" w:rsidRPr="00640372">
        <w:rPr>
          <w:i/>
          <w:vertAlign w:val="superscript"/>
        </w:rPr>
        <w:t>o</w:t>
      </w:r>
      <w:r w:rsidR="0050726F" w:rsidRPr="00640372">
        <w:rPr>
          <w:i/>
        </w:rPr>
        <w:t> 404 “Effet irritant/corrosif aigu sur la peau”, 2015.</w:t>
      </w:r>
    </w:p>
    <w:p w14:paraId="2239842A" w14:textId="77777777" w:rsidR="0050726F" w:rsidRPr="00640372" w:rsidRDefault="00640372" w:rsidP="00640372">
      <w:pPr>
        <w:pStyle w:val="FootnoteText"/>
      </w:pPr>
      <w:r>
        <w:rPr>
          <w:vertAlign w:val="superscript"/>
        </w:rPr>
        <w:lastRenderedPageBreak/>
        <w:tab/>
      </w:r>
      <w:r w:rsidR="0050726F" w:rsidRPr="00640372">
        <w:rPr>
          <w:vertAlign w:val="superscript"/>
        </w:rPr>
        <w:t>2</w:t>
      </w:r>
      <w:r>
        <w:tab/>
      </w:r>
      <w:r w:rsidR="0050726F" w:rsidRPr="00640372">
        <w:rPr>
          <w:i/>
        </w:rPr>
        <w:t>Ligne directrice de l</w:t>
      </w:r>
      <w:r>
        <w:rPr>
          <w:i/>
        </w:rPr>
        <w:t>’</w:t>
      </w:r>
      <w:r w:rsidR="0050726F" w:rsidRPr="00640372">
        <w:rPr>
          <w:i/>
        </w:rPr>
        <w:t xml:space="preserve">OCDE pour les essais de produits chimiques </w:t>
      </w:r>
      <w:r w:rsidR="00792327" w:rsidRPr="00640372">
        <w:rPr>
          <w:i/>
        </w:rPr>
        <w:t>n</w:t>
      </w:r>
      <w:r w:rsidR="00792327" w:rsidRPr="00640372">
        <w:rPr>
          <w:i/>
          <w:vertAlign w:val="superscript"/>
        </w:rPr>
        <w:t>o</w:t>
      </w:r>
      <w:r w:rsidR="00792327" w:rsidRPr="00640372">
        <w:rPr>
          <w:i/>
        </w:rPr>
        <w:t> </w:t>
      </w:r>
      <w:r w:rsidR="0050726F" w:rsidRPr="00640372">
        <w:rPr>
          <w:i/>
        </w:rPr>
        <w:t>435 “Méthode d</w:t>
      </w:r>
      <w:r>
        <w:rPr>
          <w:i/>
        </w:rPr>
        <w:t>’</w:t>
      </w:r>
      <w:r w:rsidR="0050726F" w:rsidRPr="00640372">
        <w:rPr>
          <w:i/>
        </w:rPr>
        <w:t>essai in vitro sur membrane d</w:t>
      </w:r>
      <w:r>
        <w:rPr>
          <w:i/>
        </w:rPr>
        <w:t>’</w:t>
      </w:r>
      <w:r w:rsidR="0050726F" w:rsidRPr="00640372">
        <w:rPr>
          <w:i/>
        </w:rPr>
        <w:t>étanchéité pour la corrosion cutanée”, 2015.</w:t>
      </w:r>
    </w:p>
    <w:p w14:paraId="13900AB7" w14:textId="77777777" w:rsidR="0050726F" w:rsidRPr="00640372" w:rsidRDefault="00640372" w:rsidP="00640372">
      <w:pPr>
        <w:pStyle w:val="FootnoteText"/>
      </w:pPr>
      <w:r>
        <w:rPr>
          <w:vertAlign w:val="superscript"/>
        </w:rPr>
        <w:tab/>
      </w:r>
      <w:r w:rsidR="0050726F" w:rsidRPr="00640372">
        <w:rPr>
          <w:vertAlign w:val="superscript"/>
        </w:rPr>
        <w:t>3</w:t>
      </w:r>
      <w:r>
        <w:tab/>
      </w:r>
      <w:r w:rsidR="0050726F" w:rsidRPr="00640372">
        <w:rPr>
          <w:i/>
        </w:rPr>
        <w:t>Ligne directrice de l</w:t>
      </w:r>
      <w:r>
        <w:rPr>
          <w:i/>
        </w:rPr>
        <w:t>’</w:t>
      </w:r>
      <w:r w:rsidR="0050726F" w:rsidRPr="00640372">
        <w:rPr>
          <w:i/>
        </w:rPr>
        <w:t xml:space="preserve">OCDE pour les essais de produits chimiques </w:t>
      </w:r>
      <w:r w:rsidR="00792327" w:rsidRPr="00640372">
        <w:rPr>
          <w:i/>
        </w:rPr>
        <w:t>n</w:t>
      </w:r>
      <w:r w:rsidR="00792327" w:rsidRPr="00640372">
        <w:rPr>
          <w:i/>
          <w:vertAlign w:val="superscript"/>
        </w:rPr>
        <w:t>o</w:t>
      </w:r>
      <w:r w:rsidR="00792327" w:rsidRPr="00640372">
        <w:rPr>
          <w:i/>
        </w:rPr>
        <w:t> </w:t>
      </w:r>
      <w:r w:rsidR="0050726F" w:rsidRPr="00640372">
        <w:rPr>
          <w:i/>
        </w:rPr>
        <w:t>431 “Corrosion cutanée in vitro : Essai sur modèle de peau humaine”, 2016.</w:t>
      </w:r>
    </w:p>
    <w:p w14:paraId="17F7BE96" w14:textId="77777777" w:rsidR="0050726F" w:rsidRPr="00640372" w:rsidRDefault="00640372" w:rsidP="00640372">
      <w:pPr>
        <w:pStyle w:val="FootnoteText"/>
      </w:pPr>
      <w:r>
        <w:rPr>
          <w:vertAlign w:val="superscript"/>
        </w:rPr>
        <w:tab/>
      </w:r>
      <w:r w:rsidR="0050726F" w:rsidRPr="00640372">
        <w:rPr>
          <w:vertAlign w:val="superscript"/>
        </w:rPr>
        <w:t>4</w:t>
      </w:r>
      <w:r>
        <w:tab/>
      </w:r>
      <w:r w:rsidR="0050726F" w:rsidRPr="00640372">
        <w:rPr>
          <w:i/>
        </w:rPr>
        <w:t>Ligne directrice de l</w:t>
      </w:r>
      <w:r>
        <w:rPr>
          <w:i/>
        </w:rPr>
        <w:t>’</w:t>
      </w:r>
      <w:r w:rsidR="0050726F" w:rsidRPr="00640372">
        <w:rPr>
          <w:i/>
        </w:rPr>
        <w:t xml:space="preserve">OCDE pour les essais de produits chimiques </w:t>
      </w:r>
      <w:r w:rsidR="00792327" w:rsidRPr="00640372">
        <w:rPr>
          <w:i/>
        </w:rPr>
        <w:t>n</w:t>
      </w:r>
      <w:r w:rsidR="00792327" w:rsidRPr="00640372">
        <w:rPr>
          <w:i/>
          <w:vertAlign w:val="superscript"/>
        </w:rPr>
        <w:t>o</w:t>
      </w:r>
      <w:r w:rsidR="00792327" w:rsidRPr="00640372">
        <w:rPr>
          <w:i/>
        </w:rPr>
        <w:t> </w:t>
      </w:r>
      <w:r w:rsidR="0050726F" w:rsidRPr="00640372">
        <w:rPr>
          <w:i/>
        </w:rPr>
        <w:t>430 “Corrosion cutanée in vitro : Essai de résistance électrique transcutanée (RET)”, 2015.</w:t>
      </w:r>
    </w:p>
    <w:p w14:paraId="16574B80" w14:textId="77777777" w:rsidR="0050726F" w:rsidRPr="00F30848" w:rsidRDefault="00640372" w:rsidP="00640372">
      <w:pPr>
        <w:pStyle w:val="FootnoteText"/>
      </w:pPr>
      <w:r>
        <w:rPr>
          <w:vertAlign w:val="superscript"/>
        </w:rPr>
        <w:tab/>
      </w:r>
      <w:r w:rsidR="0050726F" w:rsidRPr="00640372">
        <w:rPr>
          <w:i/>
          <w:u w:val="single"/>
          <w:vertAlign w:val="superscript"/>
        </w:rPr>
        <w:t>5</w:t>
      </w:r>
      <w:r w:rsidRPr="00640372">
        <w:rPr>
          <w:i/>
          <w:u w:val="single"/>
        </w:rPr>
        <w:tab/>
      </w:r>
      <w:r w:rsidR="0050726F" w:rsidRPr="00640372">
        <w:rPr>
          <w:i/>
          <w:u w:val="single"/>
        </w:rPr>
        <w:t>Ligne directrice de l</w:t>
      </w:r>
      <w:r>
        <w:rPr>
          <w:i/>
          <w:u w:val="single"/>
        </w:rPr>
        <w:t>’</w:t>
      </w:r>
      <w:r w:rsidR="0050726F" w:rsidRPr="00640372">
        <w:rPr>
          <w:i/>
          <w:u w:val="single"/>
        </w:rPr>
        <w:t xml:space="preserve">OCDE pour les essais de produits chimiques </w:t>
      </w:r>
      <w:r w:rsidR="00792327" w:rsidRPr="00792327">
        <w:rPr>
          <w:i/>
          <w:u w:val="single"/>
        </w:rPr>
        <w:t>n</w:t>
      </w:r>
      <w:r w:rsidR="00792327" w:rsidRPr="00792327">
        <w:rPr>
          <w:i/>
          <w:u w:val="single"/>
          <w:vertAlign w:val="superscript"/>
        </w:rPr>
        <w:t>o</w:t>
      </w:r>
      <w:r w:rsidR="00792327" w:rsidRPr="00792327">
        <w:rPr>
          <w:i/>
          <w:u w:val="single"/>
        </w:rPr>
        <w:t> </w:t>
      </w:r>
      <w:r w:rsidR="0050726F" w:rsidRPr="00640372">
        <w:rPr>
          <w:i/>
          <w:u w:val="single"/>
        </w:rPr>
        <w:t>439 “Irritation cutanée in vitro</w:t>
      </w:r>
      <w:r>
        <w:rPr>
          <w:i/>
          <w:u w:val="single"/>
        </w:rPr>
        <w:t> </w:t>
      </w:r>
      <w:r w:rsidR="0050726F" w:rsidRPr="00640372">
        <w:rPr>
          <w:i/>
          <w:u w:val="single"/>
        </w:rPr>
        <w:t>: essai sur épiderme humain reconstitué”, 2015.</w:t>
      </w:r>
      <w:r w:rsidR="0050726F" w:rsidRPr="00F30848">
        <w:t> ».</w:t>
      </w:r>
    </w:p>
    <w:p w14:paraId="2DF81A29" w14:textId="77777777" w:rsidR="0050726F" w:rsidRPr="00F30848" w:rsidRDefault="0050726F" w:rsidP="00640372">
      <w:pPr>
        <w:pStyle w:val="HChG"/>
      </w:pPr>
      <w:r w:rsidRPr="00F30848">
        <w:tab/>
      </w:r>
      <w:r w:rsidRPr="00F30848">
        <w:tab/>
        <w:t>Proposition 2</w:t>
      </w:r>
    </w:p>
    <w:p w14:paraId="22105443" w14:textId="77777777" w:rsidR="0050726F" w:rsidRPr="00F30848" w:rsidRDefault="0050726F" w:rsidP="00640372">
      <w:pPr>
        <w:pStyle w:val="SingleTxtG"/>
      </w:pPr>
      <w:r w:rsidRPr="00F30848">
        <w:t>6.</w:t>
      </w:r>
      <w:r w:rsidRPr="00F30848">
        <w:tab/>
      </w:r>
      <w:r>
        <w:t>Il est suggéré, comme solution de rechange à celle avancée au paragraphe 5 ci</w:t>
      </w:r>
      <w:r w:rsidR="00792327">
        <w:noBreakHyphen/>
      </w:r>
      <w:r>
        <w:t>dessus</w:t>
      </w:r>
      <w:r w:rsidRPr="00F30848">
        <w:t xml:space="preserve">, </w:t>
      </w:r>
      <w:r>
        <w:t>que le Sous-Comité envisage de modifier la présentation des notes de bas de page 1 à 4 de sorte à présenter les quatre références sous une seule note de bas de page et ainsi d</w:t>
      </w:r>
      <w:r w:rsidR="00640372">
        <w:t>’</w:t>
      </w:r>
      <w:r>
        <w:t>éviter que le libellé du paragraphe en question ne comprenne une longue liste de telles notes et du texte partiellement récurrent </w:t>
      </w:r>
      <w:r w:rsidRPr="00F30848">
        <w:t>:</w:t>
      </w:r>
    </w:p>
    <w:p w14:paraId="677D5F1C" w14:textId="77777777" w:rsidR="0050726F" w:rsidRDefault="0050726F" w:rsidP="00640372">
      <w:pPr>
        <w:pStyle w:val="SingleTxtG"/>
        <w:ind w:left="2268" w:hanging="1134"/>
        <w:rPr>
          <w:u w:val="single"/>
        </w:rPr>
      </w:pPr>
      <w:r w:rsidRPr="00F30848">
        <w:t>« 2.8.3.2</w:t>
      </w:r>
      <w:r w:rsidRPr="00F30848">
        <w:tab/>
        <w:t>Pour classer une matière dans un groupe d</w:t>
      </w:r>
      <w:r w:rsidR="00640372">
        <w:t>’</w:t>
      </w:r>
      <w:r w:rsidRPr="00F30848">
        <w:t>emballage conformément au 2.8.2.3, il y a lieu de tenir compte de l</w:t>
      </w:r>
      <w:r w:rsidR="00640372">
        <w:t>’</w:t>
      </w:r>
      <w:r w:rsidRPr="00F30848">
        <w:t>expérience acquise sur les êtres humains à l</w:t>
      </w:r>
      <w:r w:rsidR="00640372">
        <w:t>’</w:t>
      </w:r>
      <w:r w:rsidRPr="00F30848">
        <w:t>occasion d</w:t>
      </w:r>
      <w:r w:rsidR="00640372">
        <w:t>’</w:t>
      </w:r>
      <w:r w:rsidRPr="00F30848">
        <w:t>expositions accidentelles. En l</w:t>
      </w:r>
      <w:r w:rsidR="00640372">
        <w:t>’</w:t>
      </w:r>
      <w:r w:rsidRPr="00F30848">
        <w:t>absence d</w:t>
      </w:r>
      <w:r w:rsidR="00640372">
        <w:t>’</w:t>
      </w:r>
      <w:r w:rsidRPr="00F30848">
        <w:t>une telle expérience, le classement doit se faire sur la base des résultats de l</w:t>
      </w:r>
      <w:r w:rsidR="00640372">
        <w:t>’</w:t>
      </w:r>
      <w:r w:rsidRPr="00F30848">
        <w:t>expérimentation conformément aux Lignes directrices de l</w:t>
      </w:r>
      <w:r w:rsidR="00640372">
        <w:t>’</w:t>
      </w:r>
      <w:r w:rsidRPr="00F30848">
        <w:t xml:space="preserve">OCDE </w:t>
      </w:r>
      <w:r w:rsidRPr="00F30848">
        <w:rPr>
          <w:u w:val="single"/>
        </w:rPr>
        <w:t>n</w:t>
      </w:r>
      <w:r w:rsidRPr="00F30848">
        <w:rPr>
          <w:u w:val="single"/>
          <w:vertAlign w:val="superscript"/>
        </w:rPr>
        <w:t>os</w:t>
      </w:r>
      <w:r w:rsidRPr="00F30848">
        <w:rPr>
          <w:u w:val="single"/>
        </w:rPr>
        <w:t> 404, 435,</w:t>
      </w:r>
      <w:r w:rsidRPr="00F30848">
        <w:rPr>
          <w:i/>
          <w:u w:val="single"/>
        </w:rPr>
        <w:t xml:space="preserve"> </w:t>
      </w:r>
      <w:r w:rsidRPr="00F30848">
        <w:rPr>
          <w:u w:val="single"/>
        </w:rPr>
        <w:t>431</w:t>
      </w:r>
      <w:r w:rsidRPr="00F30848">
        <w:rPr>
          <w:u w:val="single"/>
          <w:vertAlign w:val="superscript"/>
        </w:rPr>
        <w:t xml:space="preserve"> </w:t>
      </w:r>
      <w:r w:rsidRPr="00F30848">
        <w:rPr>
          <w:u w:val="single"/>
        </w:rPr>
        <w:t>et 430</w:t>
      </w:r>
      <w:r w:rsidRPr="00F30848">
        <w:rPr>
          <w:vertAlign w:val="superscript"/>
        </w:rPr>
        <w:t>1</w:t>
      </w:r>
      <w:r w:rsidRPr="00F30848">
        <w:t>.</w:t>
      </w:r>
      <w:r w:rsidRPr="00640372">
        <w:t xml:space="preserve"> </w:t>
      </w:r>
      <w:r w:rsidRPr="00F30848">
        <w:t xml:space="preserve">Aux fins du présent Règlement, une matière </w:t>
      </w:r>
      <w:r w:rsidRPr="00F30848">
        <w:rPr>
          <w:u w:val="single"/>
        </w:rPr>
        <w:t xml:space="preserve">qui est </w:t>
      </w:r>
      <w:r w:rsidRPr="00F30848">
        <w:t>définie comme n</w:t>
      </w:r>
      <w:r w:rsidR="00640372">
        <w:t>’</w:t>
      </w:r>
      <w:r w:rsidRPr="00F30848">
        <w:t xml:space="preserve">étant pas corrosive conformément </w:t>
      </w:r>
      <w:r w:rsidRPr="001E0216">
        <w:rPr>
          <w:strike/>
        </w:rPr>
        <w:t>aux</w:t>
      </w:r>
      <w:r>
        <w:t xml:space="preserve"> </w:t>
      </w:r>
      <w:r w:rsidRPr="001E0216">
        <w:rPr>
          <w:u w:val="single"/>
        </w:rPr>
        <w:t xml:space="preserve">à </w:t>
      </w:r>
      <w:r w:rsidRPr="00F30848">
        <w:rPr>
          <w:u w:val="single"/>
        </w:rPr>
        <w:t>l</w:t>
      </w:r>
      <w:r w:rsidR="00640372">
        <w:rPr>
          <w:u w:val="single"/>
        </w:rPr>
        <w:t>’</w:t>
      </w:r>
      <w:r w:rsidRPr="001E0216">
        <w:rPr>
          <w:u w:val="single"/>
        </w:rPr>
        <w:t xml:space="preserve">une </w:t>
      </w:r>
      <w:r w:rsidRPr="00F30848">
        <w:rPr>
          <w:u w:val="single"/>
        </w:rPr>
        <w:t xml:space="preserve">de ces </w:t>
      </w:r>
      <w:r w:rsidRPr="00F30848">
        <w:t>Ligne</w:t>
      </w:r>
      <w:r w:rsidRPr="001E0216">
        <w:t>s</w:t>
      </w:r>
      <w:r w:rsidRPr="00F30848">
        <w:t xml:space="preserve"> directrice</w:t>
      </w:r>
      <w:r w:rsidRPr="001E0216">
        <w:t>s</w:t>
      </w:r>
      <w:r w:rsidRPr="00F30848">
        <w:t xml:space="preserve"> </w:t>
      </w:r>
      <w:r w:rsidRPr="00F30848">
        <w:rPr>
          <w:strike/>
        </w:rPr>
        <w:t>de l</w:t>
      </w:r>
      <w:r w:rsidR="00640372">
        <w:rPr>
          <w:strike/>
        </w:rPr>
        <w:t>’</w:t>
      </w:r>
      <w:r w:rsidRPr="00F30848">
        <w:rPr>
          <w:strike/>
        </w:rPr>
        <w:t>OCDE</w:t>
      </w:r>
      <w:r w:rsidRPr="00F30848">
        <w:t xml:space="preserve"> </w:t>
      </w:r>
      <w:r w:rsidRPr="00F30848">
        <w:rPr>
          <w:u w:val="single"/>
        </w:rPr>
        <w:t xml:space="preserve">ou </w:t>
      </w:r>
      <w:r>
        <w:rPr>
          <w:u w:val="single"/>
        </w:rPr>
        <w:t xml:space="preserve">qui </w:t>
      </w:r>
      <w:r w:rsidRPr="00F30848">
        <w:rPr>
          <w:u w:val="single"/>
        </w:rPr>
        <w:t>ne satisfait pas aux critères de classification de la Ligne directrice n</w:t>
      </w:r>
      <w:r w:rsidRPr="00F30848">
        <w:rPr>
          <w:u w:val="single"/>
          <w:vertAlign w:val="superscript"/>
        </w:rPr>
        <w:t>o</w:t>
      </w:r>
      <w:r w:rsidRPr="00F30848">
        <w:rPr>
          <w:u w:val="single"/>
        </w:rPr>
        <w:t> 439</w:t>
      </w:r>
      <w:r w:rsidRPr="00F30848">
        <w:rPr>
          <w:u w:val="single"/>
          <w:vertAlign w:val="superscript"/>
        </w:rPr>
        <w:t>2</w:t>
      </w:r>
      <w:r>
        <w:rPr>
          <w:u w:val="single"/>
          <w:vertAlign w:val="superscript"/>
        </w:rPr>
        <w:t xml:space="preserve"> </w:t>
      </w:r>
      <w:r w:rsidRPr="00F30848">
        <w:rPr>
          <w:u w:val="single"/>
        </w:rPr>
        <w:t>de l</w:t>
      </w:r>
      <w:r w:rsidR="00640372">
        <w:rPr>
          <w:u w:val="single"/>
        </w:rPr>
        <w:t>’</w:t>
      </w:r>
      <w:r w:rsidRPr="00F30848">
        <w:rPr>
          <w:u w:val="single"/>
        </w:rPr>
        <w:t>OCDE</w:t>
      </w:r>
      <w:r w:rsidRPr="00F30848">
        <w:t xml:space="preserve"> est considérée comme n</w:t>
      </w:r>
      <w:r w:rsidR="00640372">
        <w:t>’</w:t>
      </w:r>
      <w:r w:rsidRPr="00F30848">
        <w:t>étant pas corrosive pour la peau sans qu</w:t>
      </w:r>
      <w:r w:rsidR="00640372">
        <w:t>’</w:t>
      </w:r>
      <w:r w:rsidRPr="00F30848">
        <w:t>il soit nécessaire de réaliser d</w:t>
      </w:r>
      <w:r w:rsidR="00640372">
        <w:t>’</w:t>
      </w:r>
      <w:r w:rsidRPr="00F30848">
        <w:t>autres épreuves.</w:t>
      </w:r>
      <w:r w:rsidRPr="00F30848">
        <w:rPr>
          <w:u w:val="single"/>
        </w:rPr>
        <w:t xml:space="preserve"> </w:t>
      </w:r>
      <w:r w:rsidRPr="00640372">
        <w:t>Lorsque les résultats de l</w:t>
      </w:r>
      <w:r w:rsidR="00640372">
        <w:t>’</w:t>
      </w:r>
      <w:r w:rsidRPr="00640372">
        <w:t xml:space="preserve">essai </w:t>
      </w:r>
      <w:r w:rsidRPr="00640372">
        <w:rPr>
          <w:i/>
        </w:rPr>
        <w:t>in vitro</w:t>
      </w:r>
      <w:r w:rsidRPr="00640372">
        <w:t xml:space="preserve"> indiquent que la matière est corrosive et non affectée au groupe d</w:t>
      </w:r>
      <w:r w:rsidR="00640372">
        <w:t>’</w:t>
      </w:r>
      <w:r w:rsidRPr="00640372">
        <w:t>emballage I, mais que l</w:t>
      </w:r>
      <w:r w:rsidR="00640372">
        <w:t>’</w:t>
      </w:r>
      <w:r w:rsidRPr="00640372">
        <w:t>essai ne permet pas d</w:t>
      </w:r>
      <w:r w:rsidR="00640372">
        <w:t>’</w:t>
      </w:r>
      <w:r w:rsidRPr="00640372">
        <w:t>attribuer les matières soit au groupe II, soit au groupe III, on privilégiera le groupe d</w:t>
      </w:r>
      <w:r w:rsidR="00640372">
        <w:t>’</w:t>
      </w:r>
      <w:r w:rsidRPr="00640372">
        <w:t>emballage II</w:t>
      </w:r>
      <w:r w:rsidR="00640372">
        <w:t xml:space="preserve">. </w:t>
      </w:r>
      <w:r w:rsidRPr="00F30848">
        <w:rPr>
          <w:u w:val="single"/>
        </w:rPr>
        <w:t>Lorsque les résultats de l</w:t>
      </w:r>
      <w:r w:rsidR="00640372">
        <w:rPr>
          <w:u w:val="single"/>
        </w:rPr>
        <w:t>’</w:t>
      </w:r>
      <w:r w:rsidRPr="00F30848">
        <w:rPr>
          <w:u w:val="single"/>
        </w:rPr>
        <w:t xml:space="preserve">essai </w:t>
      </w:r>
      <w:r w:rsidRPr="00F30848">
        <w:rPr>
          <w:i/>
          <w:u w:val="single"/>
        </w:rPr>
        <w:t>in vitro</w:t>
      </w:r>
      <w:r w:rsidRPr="00F30848">
        <w:rPr>
          <w:u w:val="single"/>
        </w:rPr>
        <w:t xml:space="preserve"> indiquent que la matière est corrosive, mais que l</w:t>
      </w:r>
      <w:r w:rsidR="00640372">
        <w:rPr>
          <w:u w:val="single"/>
        </w:rPr>
        <w:t>’</w:t>
      </w:r>
      <w:r w:rsidRPr="00F30848">
        <w:rPr>
          <w:u w:val="single"/>
        </w:rPr>
        <w:t>essai ne permet pas d</w:t>
      </w:r>
      <w:r w:rsidR="00640372">
        <w:rPr>
          <w:u w:val="single"/>
        </w:rPr>
        <w:t>’</w:t>
      </w:r>
      <w:r w:rsidRPr="00F30848">
        <w:rPr>
          <w:u w:val="single"/>
        </w:rPr>
        <w:t>affecter les matières aux groupes I, II ou III, on privilégiera le groupe d</w:t>
      </w:r>
      <w:r w:rsidR="00640372">
        <w:rPr>
          <w:u w:val="single"/>
        </w:rPr>
        <w:t>’</w:t>
      </w:r>
      <w:r w:rsidRPr="00F30848">
        <w:rPr>
          <w:u w:val="single"/>
        </w:rPr>
        <w:t>emballage I.</w:t>
      </w:r>
    </w:p>
    <w:p w14:paraId="4FB6AE08" w14:textId="77777777" w:rsidR="00792327" w:rsidRPr="00F30848" w:rsidRDefault="00792327" w:rsidP="00792327">
      <w:pPr>
        <w:pStyle w:val="SingleTxtG"/>
        <w:tabs>
          <w:tab w:val="left" w:leader="underscore" w:pos="2268"/>
        </w:tabs>
        <w:ind w:left="2268" w:hanging="1559"/>
      </w:pPr>
      <w:r>
        <w:tab/>
      </w:r>
    </w:p>
    <w:p w14:paraId="2E3F4239" w14:textId="77777777" w:rsidR="0050726F" w:rsidRPr="00640372" w:rsidRDefault="00640372" w:rsidP="00640372">
      <w:pPr>
        <w:pStyle w:val="FootnoteText"/>
        <w:rPr>
          <w:i/>
          <w:u w:val="single"/>
        </w:rPr>
      </w:pPr>
      <w:r>
        <w:rPr>
          <w:vertAlign w:val="superscript"/>
        </w:rPr>
        <w:tab/>
      </w:r>
      <w:r w:rsidR="0050726F" w:rsidRPr="00640372">
        <w:rPr>
          <w:i/>
          <w:u w:val="single"/>
          <w:vertAlign w:val="superscript"/>
        </w:rPr>
        <w:t>1</w:t>
      </w:r>
      <w:r w:rsidRPr="00640372">
        <w:rPr>
          <w:i/>
          <w:u w:val="single"/>
        </w:rPr>
        <w:tab/>
      </w:r>
      <w:r w:rsidR="0050726F" w:rsidRPr="00640372">
        <w:rPr>
          <w:i/>
          <w:u w:val="single"/>
        </w:rPr>
        <w:t>Lignes directrices de l</w:t>
      </w:r>
      <w:r>
        <w:rPr>
          <w:i/>
          <w:u w:val="single"/>
        </w:rPr>
        <w:t>’</w:t>
      </w:r>
      <w:r w:rsidR="0050726F" w:rsidRPr="00640372">
        <w:rPr>
          <w:i/>
          <w:u w:val="single"/>
        </w:rPr>
        <w:t>OCDE pour les essais de produits chimiques n</w:t>
      </w:r>
      <w:r w:rsidR="0050726F" w:rsidRPr="00792327">
        <w:rPr>
          <w:i/>
          <w:u w:val="single"/>
          <w:vertAlign w:val="superscript"/>
        </w:rPr>
        <w:t>os</w:t>
      </w:r>
      <w:r w:rsidR="0050726F" w:rsidRPr="00640372">
        <w:rPr>
          <w:i/>
          <w:u w:val="single"/>
        </w:rPr>
        <w:t> 404 “Effet irritant/corrosif aigu sur la peau”, 2015, 435 “Méthode d</w:t>
      </w:r>
      <w:r>
        <w:rPr>
          <w:i/>
          <w:u w:val="single"/>
        </w:rPr>
        <w:t>’</w:t>
      </w:r>
      <w:r w:rsidR="0050726F" w:rsidRPr="00640372">
        <w:rPr>
          <w:i/>
          <w:u w:val="single"/>
        </w:rPr>
        <w:t>essai in vitro sur membrane d</w:t>
      </w:r>
      <w:r>
        <w:rPr>
          <w:i/>
          <w:u w:val="single"/>
        </w:rPr>
        <w:t>’</w:t>
      </w:r>
      <w:r w:rsidR="0050726F" w:rsidRPr="00640372">
        <w:rPr>
          <w:i/>
          <w:u w:val="single"/>
        </w:rPr>
        <w:t>étanchéité pour la corrosion cutanée”, 2015, 431 “Corrosion cutanée in vitro : Essai sur modèle de peau humaine”, 2016 et 430 “Corrosion cutanée in vitro : Essai de résistance électrique transcutanée (RET)”, 2015.</w:t>
      </w:r>
    </w:p>
    <w:p w14:paraId="4BDC4BF7" w14:textId="77777777" w:rsidR="0050726F" w:rsidRDefault="00640372" w:rsidP="00640372">
      <w:pPr>
        <w:pStyle w:val="FootnoteText"/>
      </w:pPr>
      <w:r w:rsidRPr="00640372">
        <w:rPr>
          <w:i/>
          <w:vertAlign w:val="superscript"/>
        </w:rPr>
        <w:tab/>
      </w:r>
      <w:r w:rsidR="0050726F" w:rsidRPr="00640372">
        <w:rPr>
          <w:i/>
          <w:u w:val="single"/>
          <w:vertAlign w:val="superscript"/>
        </w:rPr>
        <w:t>2</w:t>
      </w:r>
      <w:r w:rsidRPr="00640372">
        <w:rPr>
          <w:i/>
          <w:u w:val="single"/>
        </w:rPr>
        <w:tab/>
      </w:r>
      <w:r w:rsidR="0050726F" w:rsidRPr="00640372">
        <w:rPr>
          <w:i/>
          <w:u w:val="single"/>
        </w:rPr>
        <w:t>Ligne directrice de l</w:t>
      </w:r>
      <w:r>
        <w:rPr>
          <w:i/>
          <w:u w:val="single"/>
        </w:rPr>
        <w:t>’</w:t>
      </w:r>
      <w:r w:rsidR="0050726F" w:rsidRPr="00640372">
        <w:rPr>
          <w:i/>
          <w:u w:val="single"/>
        </w:rPr>
        <w:t>OCDE pour les essais de produits chimiques n</w:t>
      </w:r>
      <w:r w:rsidR="0050726F" w:rsidRPr="00792327">
        <w:rPr>
          <w:i/>
          <w:u w:val="single"/>
          <w:vertAlign w:val="superscript"/>
        </w:rPr>
        <w:t>o</w:t>
      </w:r>
      <w:r w:rsidR="0050726F" w:rsidRPr="00640372">
        <w:rPr>
          <w:i/>
          <w:u w:val="single"/>
        </w:rPr>
        <w:t> 439 “Irritation cutanée in vitro</w:t>
      </w:r>
      <w:r>
        <w:rPr>
          <w:i/>
          <w:u w:val="single"/>
        </w:rPr>
        <w:t> </w:t>
      </w:r>
      <w:r w:rsidR="0050726F" w:rsidRPr="00640372">
        <w:rPr>
          <w:i/>
          <w:u w:val="single"/>
        </w:rPr>
        <w:t>: essai sur épiderme humain reconstitué”, 2015.</w:t>
      </w:r>
      <w:r w:rsidR="0050726F" w:rsidRPr="00F30848">
        <w:rPr>
          <w:iCs/>
          <w:lang w:eastAsia="en-GB"/>
        </w:rPr>
        <w:t> ».</w:t>
      </w:r>
    </w:p>
    <w:p w14:paraId="5D5B129A" w14:textId="77777777" w:rsidR="00446FE5" w:rsidRPr="00640372" w:rsidRDefault="00640372" w:rsidP="0064037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640372" w:rsidSect="005072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C6D5" w14:textId="77777777" w:rsidR="001145EB" w:rsidRDefault="001145EB" w:rsidP="00F95C08">
      <w:pPr>
        <w:spacing w:line="240" w:lineRule="auto"/>
      </w:pPr>
    </w:p>
  </w:endnote>
  <w:endnote w:type="continuationSeparator" w:id="0">
    <w:p w14:paraId="6B6F9732" w14:textId="77777777" w:rsidR="001145EB" w:rsidRPr="00AC3823" w:rsidRDefault="001145EB" w:rsidP="00AC3823">
      <w:pPr>
        <w:pStyle w:val="Footer"/>
      </w:pPr>
    </w:p>
  </w:endnote>
  <w:endnote w:type="continuationNotice" w:id="1">
    <w:p w14:paraId="5D7F74C3" w14:textId="77777777" w:rsidR="001145EB" w:rsidRDefault="001145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C5B2" w14:textId="77777777" w:rsidR="0050726F" w:rsidRPr="0050726F" w:rsidRDefault="0050726F" w:rsidP="0050726F">
    <w:pPr>
      <w:pStyle w:val="Footer"/>
      <w:tabs>
        <w:tab w:val="right" w:pos="9638"/>
      </w:tabs>
    </w:pPr>
    <w:r w:rsidRPr="0050726F">
      <w:rPr>
        <w:b/>
        <w:sz w:val="18"/>
      </w:rPr>
      <w:fldChar w:fldCharType="begin"/>
    </w:r>
    <w:r w:rsidRPr="0050726F">
      <w:rPr>
        <w:b/>
        <w:sz w:val="18"/>
      </w:rPr>
      <w:instrText xml:space="preserve"> PAGE  \* MERGEFORMAT </w:instrText>
    </w:r>
    <w:r w:rsidRPr="0050726F">
      <w:rPr>
        <w:b/>
        <w:sz w:val="18"/>
      </w:rPr>
      <w:fldChar w:fldCharType="separate"/>
    </w:r>
    <w:r w:rsidRPr="0050726F">
      <w:rPr>
        <w:b/>
        <w:noProof/>
        <w:sz w:val="18"/>
      </w:rPr>
      <w:t>2</w:t>
    </w:r>
    <w:r w:rsidRPr="0050726F">
      <w:rPr>
        <w:b/>
        <w:sz w:val="18"/>
      </w:rPr>
      <w:fldChar w:fldCharType="end"/>
    </w:r>
    <w:r>
      <w:rPr>
        <w:b/>
        <w:sz w:val="18"/>
      </w:rPr>
      <w:tab/>
    </w:r>
    <w:r>
      <w:t>GE.19-03498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E2E7" w14:textId="77777777" w:rsidR="0050726F" w:rsidRPr="0050726F" w:rsidRDefault="0050726F" w:rsidP="0050726F">
    <w:pPr>
      <w:pStyle w:val="Footer"/>
      <w:tabs>
        <w:tab w:val="right" w:pos="9638"/>
      </w:tabs>
      <w:rPr>
        <w:b/>
        <w:sz w:val="18"/>
      </w:rPr>
    </w:pPr>
    <w:r>
      <w:t>GE.19-03498</w:t>
    </w:r>
    <w:r>
      <w:tab/>
    </w:r>
    <w:r w:rsidRPr="0050726F">
      <w:rPr>
        <w:b/>
        <w:sz w:val="18"/>
      </w:rPr>
      <w:fldChar w:fldCharType="begin"/>
    </w:r>
    <w:r w:rsidRPr="0050726F">
      <w:rPr>
        <w:b/>
        <w:sz w:val="18"/>
      </w:rPr>
      <w:instrText xml:space="preserve"> PAGE  \* MERGEFORMAT </w:instrText>
    </w:r>
    <w:r w:rsidRPr="0050726F">
      <w:rPr>
        <w:b/>
        <w:sz w:val="18"/>
      </w:rPr>
      <w:fldChar w:fldCharType="separate"/>
    </w:r>
    <w:r w:rsidRPr="0050726F">
      <w:rPr>
        <w:b/>
        <w:noProof/>
        <w:sz w:val="18"/>
      </w:rPr>
      <w:t>3</w:t>
    </w:r>
    <w:r w:rsidRPr="005072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A4CE" w14:textId="77777777" w:rsidR="0068456F" w:rsidRPr="0050726F" w:rsidRDefault="0050726F" w:rsidP="0050726F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41B4FC6" wp14:editId="36D0443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03498  (</w:t>
    </w:r>
    <w:proofErr w:type="gramEnd"/>
    <w:r>
      <w:rPr>
        <w:sz w:val="20"/>
      </w:rPr>
      <w:t>F)</w:t>
    </w:r>
    <w:r w:rsidR="00640372">
      <w:rPr>
        <w:sz w:val="20"/>
      </w:rPr>
      <w:t xml:space="preserve">    130319    090519</w:t>
    </w:r>
    <w:r>
      <w:rPr>
        <w:sz w:val="20"/>
      </w:rPr>
      <w:br/>
    </w:r>
    <w:r w:rsidRPr="0050726F">
      <w:rPr>
        <w:rFonts w:ascii="C39T30Lfz" w:hAnsi="C39T30Lfz"/>
        <w:sz w:val="56"/>
      </w:rPr>
      <w:t></w:t>
    </w:r>
    <w:r w:rsidRPr="0050726F">
      <w:rPr>
        <w:rFonts w:ascii="C39T30Lfz" w:hAnsi="C39T30Lfz"/>
        <w:sz w:val="56"/>
      </w:rPr>
      <w:t></w:t>
    </w:r>
    <w:r w:rsidRPr="0050726F">
      <w:rPr>
        <w:rFonts w:ascii="C39T30Lfz" w:hAnsi="C39T30Lfz"/>
        <w:sz w:val="56"/>
      </w:rPr>
      <w:t></w:t>
    </w:r>
    <w:r w:rsidRPr="0050726F">
      <w:rPr>
        <w:rFonts w:ascii="C39T30Lfz" w:hAnsi="C39T30Lfz"/>
        <w:sz w:val="56"/>
      </w:rPr>
      <w:t></w:t>
    </w:r>
    <w:r w:rsidRPr="0050726F">
      <w:rPr>
        <w:rFonts w:ascii="C39T30Lfz" w:hAnsi="C39T30Lfz"/>
        <w:sz w:val="56"/>
      </w:rPr>
      <w:t></w:t>
    </w:r>
    <w:r w:rsidRPr="0050726F">
      <w:rPr>
        <w:rFonts w:ascii="C39T30Lfz" w:hAnsi="C39T30Lfz"/>
        <w:sz w:val="56"/>
      </w:rPr>
      <w:t></w:t>
    </w:r>
    <w:r w:rsidRPr="0050726F">
      <w:rPr>
        <w:rFonts w:ascii="C39T30Lfz" w:hAnsi="C39T30Lfz"/>
        <w:sz w:val="56"/>
      </w:rPr>
      <w:t></w:t>
    </w:r>
    <w:r w:rsidRPr="0050726F">
      <w:rPr>
        <w:rFonts w:ascii="C39T30Lfz" w:hAnsi="C39T30Lfz"/>
        <w:sz w:val="56"/>
      </w:rPr>
      <w:t></w:t>
    </w:r>
    <w:r w:rsidRPr="0050726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ED67B73" wp14:editId="354AD9D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055C7" w14:textId="77777777" w:rsidR="001145EB" w:rsidRPr="00AC3823" w:rsidRDefault="001145E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9E3DFB" w14:textId="77777777" w:rsidR="001145EB" w:rsidRPr="00AC3823" w:rsidRDefault="001145E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2BC52C" w14:textId="77777777" w:rsidR="001145EB" w:rsidRPr="00AC3823" w:rsidRDefault="001145EB">
      <w:pPr>
        <w:spacing w:line="240" w:lineRule="auto"/>
        <w:rPr>
          <w:sz w:val="2"/>
          <w:szCs w:val="2"/>
        </w:rPr>
      </w:pPr>
    </w:p>
  </w:footnote>
  <w:footnote w:id="2">
    <w:p w14:paraId="13932EA0" w14:textId="77777777" w:rsidR="000E3233" w:rsidRPr="000E3233" w:rsidRDefault="000E3233">
      <w:pPr>
        <w:pStyle w:val="FootnoteText"/>
      </w:pPr>
      <w:r>
        <w:rPr>
          <w:rStyle w:val="FootnoteReference"/>
        </w:rPr>
        <w:tab/>
      </w:r>
      <w:r w:rsidRPr="000E323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3420B">
        <w:t xml:space="preserve">Conformément au programme de travail du Sous-Comité pour la période 2019-2020, approuvé par le Comité à sa neuvième </w:t>
      </w:r>
      <w:r>
        <w:t xml:space="preserve">session </w:t>
      </w:r>
      <w:r w:rsidRPr="0083420B">
        <w:t>(voir ST/SG/AC.10/C.3/108, par</w:t>
      </w:r>
      <w:r w:rsidR="00640372">
        <w:t>. </w:t>
      </w:r>
      <w:r w:rsidRPr="0083420B">
        <w:t>141 et ST/SG/AC.10/46, par</w:t>
      </w:r>
      <w:r w:rsidR="00640372">
        <w:t>. </w:t>
      </w:r>
      <w:r w:rsidRPr="0083420B"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7CBB" w14:textId="45988931" w:rsidR="0050726F" w:rsidRPr="0050726F" w:rsidRDefault="000242D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88B0" w14:textId="68F1CB86" w:rsidR="0050726F" w:rsidRPr="0050726F" w:rsidRDefault="000242D9" w:rsidP="0050726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EB"/>
    <w:rsid w:val="00017F94"/>
    <w:rsid w:val="00023842"/>
    <w:rsid w:val="000242D9"/>
    <w:rsid w:val="000305D3"/>
    <w:rsid w:val="000334F9"/>
    <w:rsid w:val="0007796D"/>
    <w:rsid w:val="000B7790"/>
    <w:rsid w:val="000E3233"/>
    <w:rsid w:val="00111F2F"/>
    <w:rsid w:val="001145EB"/>
    <w:rsid w:val="00132EA9"/>
    <w:rsid w:val="0014365E"/>
    <w:rsid w:val="00176178"/>
    <w:rsid w:val="001D4502"/>
    <w:rsid w:val="001F525A"/>
    <w:rsid w:val="00223272"/>
    <w:rsid w:val="0024779E"/>
    <w:rsid w:val="00283190"/>
    <w:rsid w:val="002832AC"/>
    <w:rsid w:val="002D7C93"/>
    <w:rsid w:val="00420D21"/>
    <w:rsid w:val="00441C3B"/>
    <w:rsid w:val="00446FE5"/>
    <w:rsid w:val="00452396"/>
    <w:rsid w:val="004E468C"/>
    <w:rsid w:val="0050726F"/>
    <w:rsid w:val="005505B7"/>
    <w:rsid w:val="00573BE5"/>
    <w:rsid w:val="00584DC4"/>
    <w:rsid w:val="00586ED3"/>
    <w:rsid w:val="00596AA9"/>
    <w:rsid w:val="005F2F38"/>
    <w:rsid w:val="00640372"/>
    <w:rsid w:val="0068456F"/>
    <w:rsid w:val="0071601D"/>
    <w:rsid w:val="00792327"/>
    <w:rsid w:val="007A62E6"/>
    <w:rsid w:val="0080684C"/>
    <w:rsid w:val="00871C75"/>
    <w:rsid w:val="008776DC"/>
    <w:rsid w:val="008B40CD"/>
    <w:rsid w:val="009705C8"/>
    <w:rsid w:val="009C1CF4"/>
    <w:rsid w:val="00A30353"/>
    <w:rsid w:val="00A84EB2"/>
    <w:rsid w:val="00AC3823"/>
    <w:rsid w:val="00AE323C"/>
    <w:rsid w:val="00B00181"/>
    <w:rsid w:val="00B00B0D"/>
    <w:rsid w:val="00B765F7"/>
    <w:rsid w:val="00BA0CA9"/>
    <w:rsid w:val="00C02897"/>
    <w:rsid w:val="00D3439C"/>
    <w:rsid w:val="00DA6A22"/>
    <w:rsid w:val="00DB1831"/>
    <w:rsid w:val="00DD3BFD"/>
    <w:rsid w:val="00DF6678"/>
    <w:rsid w:val="00EF2E22"/>
    <w:rsid w:val="00F01738"/>
    <w:rsid w:val="00F660DF"/>
    <w:rsid w:val="00F730C8"/>
    <w:rsid w:val="00F95C08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A11B85"/>
  <w15:docId w15:val="{BD76DF2F-F83F-4130-81BD-1C7CA20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ST/SG/AC.10/C.3/2019/1</vt:lpstr>
      <vt:lpstr>ST/SG/AC.10/C.3/2019/1</vt:lpstr>
    </vt:vector>
  </TitlesOfParts>
  <Company>DCM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ST/SG/AC.10/C.3/2019/1</dc:title>
  <dc:subject/>
  <dc:creator>Julien OKRZESIK</dc:creator>
  <cp:keywords/>
  <cp:lastModifiedBy>Laurence Berthet</cp:lastModifiedBy>
  <cp:revision>3</cp:revision>
  <cp:lastPrinted>2019-05-09T08:08:00Z</cp:lastPrinted>
  <dcterms:created xsi:type="dcterms:W3CDTF">2019-05-09T08:08:00Z</dcterms:created>
  <dcterms:modified xsi:type="dcterms:W3CDTF">2019-05-09T08:08:00Z</dcterms:modified>
</cp:coreProperties>
</file>